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A6AD8A" w14:textId="77777777" w:rsidR="008C727D" w:rsidRPr="00EB60A7" w:rsidRDefault="008C727D" w:rsidP="008C727D">
      <w:pPr>
        <w:jc w:val="both"/>
        <w:rPr>
          <w:sz w:val="21"/>
          <w:szCs w:val="21"/>
        </w:rPr>
      </w:pPr>
      <w:r w:rsidRPr="00EB60A7">
        <w:rPr>
          <w:noProof/>
          <w:sz w:val="21"/>
          <w:szCs w:val="21"/>
          <w:lang w:eastAsia="en-US"/>
        </w:rPr>
        <w:drawing>
          <wp:anchor distT="0" distB="0" distL="114300" distR="114300" simplePos="0" relativeHeight="251659264" behindDoc="0" locked="0" layoutInCell="1" allowOverlap="1" wp14:anchorId="266004DA" wp14:editId="6C718A76">
            <wp:simplePos x="0" y="0"/>
            <wp:positionH relativeFrom="column">
              <wp:posOffset>1428640</wp:posOffset>
            </wp:positionH>
            <wp:positionV relativeFrom="paragraph">
              <wp:posOffset>2540</wp:posOffset>
            </wp:positionV>
            <wp:extent cx="2628900" cy="828675"/>
            <wp:effectExtent l="0" t="0" r="1270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CL-logo.JPG"/>
                    <pic:cNvPicPr/>
                  </pic:nvPicPr>
                  <pic:blipFill>
                    <a:blip r:embed="rId7">
                      <a:extLst>
                        <a:ext uri="{28A0092B-C50C-407E-A947-70E740481C1C}">
                          <a14:useLocalDpi xmlns:a14="http://schemas.microsoft.com/office/drawing/2010/main" val="0"/>
                        </a:ext>
                      </a:extLst>
                    </a:blip>
                    <a:stretch>
                      <a:fillRect/>
                    </a:stretch>
                  </pic:blipFill>
                  <pic:spPr>
                    <a:xfrm>
                      <a:off x="0" y="0"/>
                      <a:ext cx="2628900" cy="828675"/>
                    </a:xfrm>
                    <a:prstGeom prst="rect">
                      <a:avLst/>
                    </a:prstGeom>
                  </pic:spPr>
                </pic:pic>
              </a:graphicData>
            </a:graphic>
            <wp14:sizeRelH relativeFrom="page">
              <wp14:pctWidth>0</wp14:pctWidth>
            </wp14:sizeRelH>
            <wp14:sizeRelV relativeFrom="page">
              <wp14:pctHeight>0</wp14:pctHeight>
            </wp14:sizeRelV>
          </wp:anchor>
        </w:drawing>
      </w:r>
    </w:p>
    <w:p w14:paraId="695C72A7" w14:textId="77777777" w:rsidR="008C727D" w:rsidRPr="00EB60A7" w:rsidRDefault="008C727D" w:rsidP="008C727D">
      <w:pPr>
        <w:jc w:val="both"/>
        <w:rPr>
          <w:sz w:val="21"/>
          <w:szCs w:val="21"/>
        </w:rPr>
      </w:pPr>
    </w:p>
    <w:p w14:paraId="1AA7639C" w14:textId="77777777" w:rsidR="008C727D" w:rsidRPr="00EB60A7" w:rsidRDefault="008C727D" w:rsidP="008C727D">
      <w:pPr>
        <w:spacing w:after="0"/>
        <w:ind w:left="5760"/>
        <w:jc w:val="both"/>
        <w:rPr>
          <w:sz w:val="21"/>
          <w:szCs w:val="21"/>
        </w:rPr>
      </w:pPr>
    </w:p>
    <w:p w14:paraId="22A52394" w14:textId="77777777" w:rsidR="008C727D" w:rsidRPr="00EB60A7" w:rsidRDefault="008C727D" w:rsidP="008C727D">
      <w:pPr>
        <w:spacing w:after="0"/>
        <w:ind w:left="5760"/>
        <w:jc w:val="both"/>
        <w:rPr>
          <w:sz w:val="21"/>
          <w:szCs w:val="21"/>
        </w:rPr>
      </w:pPr>
    </w:p>
    <w:p w14:paraId="34529851" w14:textId="77777777" w:rsidR="008C727D" w:rsidRPr="00EB60A7" w:rsidRDefault="008C727D" w:rsidP="008C727D">
      <w:pPr>
        <w:spacing w:after="0"/>
        <w:ind w:left="5760"/>
        <w:jc w:val="both"/>
        <w:rPr>
          <w:sz w:val="21"/>
          <w:szCs w:val="21"/>
        </w:rPr>
      </w:pPr>
      <w:r w:rsidRPr="00EB60A7">
        <w:rPr>
          <w:sz w:val="21"/>
          <w:szCs w:val="21"/>
        </w:rPr>
        <w:t>Josh Blackman</w:t>
      </w:r>
    </w:p>
    <w:p w14:paraId="5FAA3410" w14:textId="77777777" w:rsidR="008C727D" w:rsidRPr="00EB60A7" w:rsidRDefault="008C727D" w:rsidP="008C727D">
      <w:pPr>
        <w:spacing w:after="0"/>
        <w:ind w:left="5760"/>
        <w:jc w:val="both"/>
        <w:rPr>
          <w:sz w:val="21"/>
          <w:szCs w:val="21"/>
        </w:rPr>
      </w:pPr>
      <w:bookmarkStart w:id="0" w:name="_GoBack"/>
      <w:bookmarkEnd w:id="0"/>
      <w:r w:rsidRPr="00EB60A7">
        <w:rPr>
          <w:sz w:val="21"/>
          <w:szCs w:val="21"/>
        </w:rPr>
        <w:t>Associate Professor</w:t>
      </w:r>
    </w:p>
    <w:p w14:paraId="1F9C4572" w14:textId="742CD56E" w:rsidR="008C727D" w:rsidRPr="00EB60A7" w:rsidRDefault="008C727D" w:rsidP="008C727D">
      <w:pPr>
        <w:spacing w:after="0"/>
        <w:ind w:left="5760"/>
        <w:jc w:val="both"/>
        <w:rPr>
          <w:sz w:val="21"/>
          <w:szCs w:val="21"/>
        </w:rPr>
      </w:pPr>
      <w:r w:rsidRPr="00EB60A7">
        <w:rPr>
          <w:sz w:val="21"/>
          <w:szCs w:val="21"/>
        </w:rPr>
        <w:t>South Texas College of Law</w:t>
      </w:r>
      <w:r w:rsidR="00EB60A7">
        <w:rPr>
          <w:sz w:val="21"/>
          <w:szCs w:val="21"/>
        </w:rPr>
        <w:t xml:space="preserve"> Houston</w:t>
      </w:r>
    </w:p>
    <w:p w14:paraId="4920F503" w14:textId="77777777" w:rsidR="008C727D" w:rsidRPr="00EB60A7" w:rsidRDefault="008C727D" w:rsidP="008C727D">
      <w:pPr>
        <w:spacing w:after="0"/>
        <w:ind w:left="5760"/>
        <w:jc w:val="both"/>
        <w:rPr>
          <w:sz w:val="21"/>
          <w:szCs w:val="21"/>
        </w:rPr>
      </w:pPr>
      <w:r w:rsidRPr="00EB60A7">
        <w:rPr>
          <w:sz w:val="21"/>
          <w:szCs w:val="21"/>
        </w:rPr>
        <w:t>1303 San Jacinto Street</w:t>
      </w:r>
    </w:p>
    <w:p w14:paraId="106462B0" w14:textId="77777777" w:rsidR="008C727D" w:rsidRPr="00EB60A7" w:rsidRDefault="008C727D" w:rsidP="008C727D">
      <w:pPr>
        <w:spacing w:after="0"/>
        <w:ind w:left="5760"/>
        <w:jc w:val="both"/>
        <w:rPr>
          <w:sz w:val="21"/>
          <w:szCs w:val="21"/>
        </w:rPr>
      </w:pPr>
      <w:r w:rsidRPr="00EB60A7">
        <w:rPr>
          <w:sz w:val="21"/>
          <w:szCs w:val="21"/>
        </w:rPr>
        <w:t>Houston, TX 77002</w:t>
      </w:r>
    </w:p>
    <w:p w14:paraId="762AB14E" w14:textId="77777777" w:rsidR="008C727D" w:rsidRPr="00EB60A7" w:rsidRDefault="00201E5D" w:rsidP="008C727D">
      <w:pPr>
        <w:spacing w:after="0"/>
        <w:ind w:left="5760"/>
        <w:jc w:val="both"/>
        <w:rPr>
          <w:sz w:val="21"/>
          <w:szCs w:val="21"/>
        </w:rPr>
      </w:pPr>
      <w:hyperlink r:id="rId8" w:history="1">
        <w:r w:rsidR="008C727D" w:rsidRPr="00EB60A7">
          <w:rPr>
            <w:rStyle w:val="Hyperlink"/>
            <w:sz w:val="21"/>
            <w:szCs w:val="21"/>
          </w:rPr>
          <w:t>JBlackman@stcl.edu</w:t>
        </w:r>
      </w:hyperlink>
    </w:p>
    <w:p w14:paraId="5EE10674" w14:textId="77777777" w:rsidR="008C727D" w:rsidRPr="00EB60A7" w:rsidRDefault="008C727D" w:rsidP="008C727D">
      <w:pPr>
        <w:spacing w:after="0"/>
        <w:jc w:val="both"/>
        <w:rPr>
          <w:sz w:val="21"/>
          <w:szCs w:val="21"/>
        </w:rPr>
      </w:pPr>
    </w:p>
    <w:p w14:paraId="79C6D391" w14:textId="77777777" w:rsidR="008F27D1" w:rsidRPr="00EB60A7" w:rsidRDefault="008F27D1" w:rsidP="008C727D">
      <w:pPr>
        <w:spacing w:after="0"/>
        <w:jc w:val="both"/>
        <w:rPr>
          <w:sz w:val="21"/>
          <w:szCs w:val="21"/>
        </w:rPr>
      </w:pPr>
    </w:p>
    <w:p w14:paraId="56E65803" w14:textId="77777777" w:rsidR="00631181" w:rsidRPr="00631181" w:rsidRDefault="00631181" w:rsidP="00631181">
      <w:pPr>
        <w:spacing w:after="0"/>
        <w:jc w:val="both"/>
        <w:rPr>
          <w:sz w:val="21"/>
          <w:szCs w:val="21"/>
        </w:rPr>
      </w:pPr>
      <w:r w:rsidRPr="00631181">
        <w:rPr>
          <w:sz w:val="21"/>
          <w:szCs w:val="21"/>
        </w:rPr>
        <w:t>The Honorable Scott Bales, Chief Justice</w:t>
      </w:r>
    </w:p>
    <w:p w14:paraId="5DCB539D" w14:textId="77777777" w:rsidR="00631181" w:rsidRPr="00631181" w:rsidRDefault="00631181" w:rsidP="00631181">
      <w:pPr>
        <w:spacing w:after="0"/>
        <w:jc w:val="both"/>
        <w:rPr>
          <w:sz w:val="21"/>
          <w:szCs w:val="21"/>
        </w:rPr>
      </w:pPr>
      <w:r w:rsidRPr="00631181">
        <w:rPr>
          <w:sz w:val="21"/>
          <w:szCs w:val="21"/>
        </w:rPr>
        <w:t xml:space="preserve">The Honorable Robert M. </w:t>
      </w:r>
      <w:proofErr w:type="spellStart"/>
      <w:r w:rsidRPr="00631181">
        <w:rPr>
          <w:sz w:val="21"/>
          <w:szCs w:val="21"/>
        </w:rPr>
        <w:t>Brutinel</w:t>
      </w:r>
      <w:proofErr w:type="spellEnd"/>
      <w:r w:rsidRPr="00631181">
        <w:rPr>
          <w:sz w:val="21"/>
          <w:szCs w:val="21"/>
        </w:rPr>
        <w:t>, Vice Chief Justice</w:t>
      </w:r>
    </w:p>
    <w:p w14:paraId="5C5396C9" w14:textId="77777777" w:rsidR="00631181" w:rsidRPr="00631181" w:rsidRDefault="00631181" w:rsidP="00631181">
      <w:pPr>
        <w:spacing w:after="0"/>
        <w:jc w:val="both"/>
        <w:rPr>
          <w:sz w:val="21"/>
          <w:szCs w:val="21"/>
        </w:rPr>
      </w:pPr>
      <w:r w:rsidRPr="00631181">
        <w:rPr>
          <w:sz w:val="21"/>
          <w:szCs w:val="21"/>
        </w:rPr>
        <w:t xml:space="preserve">The Honorable John </w:t>
      </w:r>
      <w:proofErr w:type="spellStart"/>
      <w:r w:rsidRPr="00631181">
        <w:rPr>
          <w:sz w:val="21"/>
          <w:szCs w:val="21"/>
        </w:rPr>
        <w:t>Pelander</w:t>
      </w:r>
      <w:proofErr w:type="spellEnd"/>
      <w:r w:rsidRPr="00631181">
        <w:rPr>
          <w:sz w:val="21"/>
          <w:szCs w:val="21"/>
        </w:rPr>
        <w:t>, Justice</w:t>
      </w:r>
    </w:p>
    <w:p w14:paraId="0DCC7450" w14:textId="77777777" w:rsidR="00631181" w:rsidRPr="00631181" w:rsidRDefault="00631181" w:rsidP="00631181">
      <w:pPr>
        <w:spacing w:after="0"/>
        <w:jc w:val="both"/>
        <w:rPr>
          <w:sz w:val="21"/>
          <w:szCs w:val="21"/>
        </w:rPr>
      </w:pPr>
      <w:r w:rsidRPr="00631181">
        <w:rPr>
          <w:sz w:val="21"/>
          <w:szCs w:val="21"/>
        </w:rPr>
        <w:t xml:space="preserve">The Honorable Ann A. Scott </w:t>
      </w:r>
      <w:proofErr w:type="spellStart"/>
      <w:r w:rsidRPr="00631181">
        <w:rPr>
          <w:sz w:val="21"/>
          <w:szCs w:val="21"/>
        </w:rPr>
        <w:t>Timmer</w:t>
      </w:r>
      <w:proofErr w:type="spellEnd"/>
      <w:r w:rsidRPr="00631181">
        <w:rPr>
          <w:sz w:val="21"/>
          <w:szCs w:val="21"/>
        </w:rPr>
        <w:t>, Justice</w:t>
      </w:r>
    </w:p>
    <w:p w14:paraId="7796EBFD" w14:textId="77777777" w:rsidR="00631181" w:rsidRPr="00631181" w:rsidRDefault="00631181" w:rsidP="00631181">
      <w:pPr>
        <w:spacing w:after="0"/>
        <w:jc w:val="both"/>
        <w:rPr>
          <w:sz w:val="21"/>
          <w:szCs w:val="21"/>
        </w:rPr>
      </w:pPr>
      <w:r w:rsidRPr="00631181">
        <w:rPr>
          <w:sz w:val="21"/>
          <w:szCs w:val="21"/>
        </w:rPr>
        <w:t xml:space="preserve">The Honorable Clint </w:t>
      </w:r>
      <w:proofErr w:type="spellStart"/>
      <w:r w:rsidRPr="00631181">
        <w:rPr>
          <w:sz w:val="21"/>
          <w:szCs w:val="21"/>
        </w:rPr>
        <w:t>Bolick</w:t>
      </w:r>
      <w:proofErr w:type="spellEnd"/>
      <w:r w:rsidRPr="00631181">
        <w:rPr>
          <w:sz w:val="21"/>
          <w:szCs w:val="21"/>
        </w:rPr>
        <w:t>, Justice</w:t>
      </w:r>
    </w:p>
    <w:p w14:paraId="73E83B53" w14:textId="77777777" w:rsidR="00631181" w:rsidRPr="00631181" w:rsidRDefault="00631181" w:rsidP="00631181">
      <w:pPr>
        <w:spacing w:after="0"/>
        <w:jc w:val="both"/>
        <w:rPr>
          <w:sz w:val="21"/>
          <w:szCs w:val="21"/>
        </w:rPr>
      </w:pPr>
      <w:r w:rsidRPr="00631181">
        <w:rPr>
          <w:sz w:val="21"/>
          <w:szCs w:val="21"/>
        </w:rPr>
        <w:t>The Honorable John R. Lopez, Justice</w:t>
      </w:r>
    </w:p>
    <w:p w14:paraId="2F38C714" w14:textId="77777777" w:rsidR="00631181" w:rsidRPr="00631181" w:rsidRDefault="00631181" w:rsidP="00631181">
      <w:pPr>
        <w:spacing w:after="0"/>
        <w:jc w:val="both"/>
        <w:rPr>
          <w:sz w:val="21"/>
          <w:szCs w:val="21"/>
        </w:rPr>
      </w:pPr>
      <w:r w:rsidRPr="00631181">
        <w:rPr>
          <w:sz w:val="21"/>
          <w:szCs w:val="21"/>
        </w:rPr>
        <w:t>The Honorable Andrew Gould, Justice</w:t>
      </w:r>
    </w:p>
    <w:p w14:paraId="303A21B5" w14:textId="77777777" w:rsidR="00631181" w:rsidRPr="00631181" w:rsidRDefault="00631181" w:rsidP="00631181">
      <w:pPr>
        <w:spacing w:after="0"/>
        <w:jc w:val="both"/>
        <w:rPr>
          <w:sz w:val="21"/>
          <w:szCs w:val="21"/>
        </w:rPr>
      </w:pPr>
      <w:r w:rsidRPr="00631181">
        <w:rPr>
          <w:sz w:val="21"/>
          <w:szCs w:val="21"/>
        </w:rPr>
        <w:t>The Arizona Supreme Court</w:t>
      </w:r>
    </w:p>
    <w:p w14:paraId="412BF59E" w14:textId="77777777" w:rsidR="00631181" w:rsidRPr="00631181" w:rsidRDefault="00631181" w:rsidP="00631181">
      <w:pPr>
        <w:spacing w:after="0"/>
        <w:jc w:val="both"/>
        <w:rPr>
          <w:sz w:val="21"/>
          <w:szCs w:val="21"/>
        </w:rPr>
      </w:pPr>
      <w:r w:rsidRPr="00631181">
        <w:rPr>
          <w:sz w:val="21"/>
          <w:szCs w:val="21"/>
        </w:rPr>
        <w:t>1501 W. Washington St., Room 402 Phoenix, Arizona 85007</w:t>
      </w:r>
    </w:p>
    <w:p w14:paraId="503C01A3" w14:textId="77777777" w:rsidR="00631181" w:rsidRDefault="00631181" w:rsidP="00631181">
      <w:pPr>
        <w:spacing w:after="0"/>
        <w:jc w:val="both"/>
        <w:rPr>
          <w:sz w:val="21"/>
          <w:szCs w:val="21"/>
        </w:rPr>
      </w:pPr>
    </w:p>
    <w:p w14:paraId="29BAFDB5" w14:textId="4E7A9892" w:rsidR="008F27D1" w:rsidRPr="00EB60A7" w:rsidRDefault="00631181" w:rsidP="00631181">
      <w:pPr>
        <w:spacing w:after="0"/>
        <w:jc w:val="both"/>
        <w:rPr>
          <w:sz w:val="21"/>
          <w:szCs w:val="21"/>
        </w:rPr>
      </w:pPr>
      <w:r w:rsidRPr="00631181">
        <w:rPr>
          <w:sz w:val="21"/>
          <w:szCs w:val="21"/>
        </w:rPr>
        <w:t>Attn: Clerk of the Supreme Court</w:t>
      </w:r>
    </w:p>
    <w:p w14:paraId="79C17990" w14:textId="17D887E1" w:rsidR="008C727D" w:rsidRPr="00EB60A7" w:rsidRDefault="00631181" w:rsidP="008C727D">
      <w:pPr>
        <w:spacing w:after="0"/>
        <w:jc w:val="right"/>
        <w:rPr>
          <w:sz w:val="21"/>
          <w:szCs w:val="21"/>
        </w:rPr>
      </w:pPr>
      <w:r>
        <w:rPr>
          <w:sz w:val="21"/>
          <w:szCs w:val="21"/>
        </w:rPr>
        <w:t>May 17, 2018</w:t>
      </w:r>
    </w:p>
    <w:p w14:paraId="0E6178F6" w14:textId="77777777" w:rsidR="008C727D" w:rsidRPr="00EB60A7" w:rsidRDefault="008C727D" w:rsidP="008C727D">
      <w:pPr>
        <w:spacing w:after="0"/>
        <w:jc w:val="right"/>
        <w:rPr>
          <w:sz w:val="21"/>
          <w:szCs w:val="21"/>
        </w:rPr>
      </w:pPr>
    </w:p>
    <w:p w14:paraId="1DA84F6C" w14:textId="43347576" w:rsidR="008C727D" w:rsidRDefault="00C21B92" w:rsidP="008C727D">
      <w:pPr>
        <w:spacing w:after="0"/>
        <w:jc w:val="both"/>
        <w:rPr>
          <w:sz w:val="21"/>
          <w:szCs w:val="21"/>
        </w:rPr>
      </w:pPr>
      <w:r w:rsidRPr="00C21B92">
        <w:rPr>
          <w:sz w:val="21"/>
          <w:szCs w:val="21"/>
        </w:rPr>
        <w:t xml:space="preserve">Dear Chief Justice Bales, Vice Chief Justice </w:t>
      </w:r>
      <w:proofErr w:type="spellStart"/>
      <w:r w:rsidRPr="00C21B92">
        <w:rPr>
          <w:sz w:val="21"/>
          <w:szCs w:val="21"/>
        </w:rPr>
        <w:t>Brutinel</w:t>
      </w:r>
      <w:proofErr w:type="spellEnd"/>
      <w:r w:rsidRPr="00C21B92">
        <w:rPr>
          <w:sz w:val="21"/>
          <w:szCs w:val="21"/>
        </w:rPr>
        <w:t xml:space="preserve">, Justice </w:t>
      </w:r>
      <w:proofErr w:type="spellStart"/>
      <w:r w:rsidRPr="00C21B92">
        <w:rPr>
          <w:sz w:val="21"/>
          <w:szCs w:val="21"/>
        </w:rPr>
        <w:t>Pelander</w:t>
      </w:r>
      <w:proofErr w:type="spellEnd"/>
      <w:r w:rsidRPr="00C21B92">
        <w:rPr>
          <w:sz w:val="21"/>
          <w:szCs w:val="21"/>
        </w:rPr>
        <w:t xml:space="preserve">, Justice </w:t>
      </w:r>
      <w:proofErr w:type="spellStart"/>
      <w:r w:rsidRPr="00C21B92">
        <w:rPr>
          <w:sz w:val="21"/>
          <w:szCs w:val="21"/>
        </w:rPr>
        <w:t>Timmer</w:t>
      </w:r>
      <w:proofErr w:type="spellEnd"/>
      <w:r w:rsidRPr="00C21B92">
        <w:rPr>
          <w:sz w:val="21"/>
          <w:szCs w:val="21"/>
        </w:rPr>
        <w:t xml:space="preserve">, Justice </w:t>
      </w:r>
      <w:proofErr w:type="spellStart"/>
      <w:r w:rsidRPr="00C21B92">
        <w:rPr>
          <w:sz w:val="21"/>
          <w:szCs w:val="21"/>
        </w:rPr>
        <w:t>Bolick</w:t>
      </w:r>
      <w:proofErr w:type="spellEnd"/>
      <w:r w:rsidRPr="00C21B92">
        <w:rPr>
          <w:sz w:val="21"/>
          <w:szCs w:val="21"/>
        </w:rPr>
        <w:t>, Justice Lopez, and Justice Gould:</w:t>
      </w:r>
    </w:p>
    <w:p w14:paraId="6329E36F" w14:textId="77777777" w:rsidR="00C21B92" w:rsidRDefault="00C21B92" w:rsidP="008C727D">
      <w:pPr>
        <w:spacing w:after="0"/>
        <w:jc w:val="both"/>
        <w:rPr>
          <w:sz w:val="21"/>
          <w:szCs w:val="21"/>
        </w:rPr>
      </w:pPr>
    </w:p>
    <w:p w14:paraId="1F389CBF" w14:textId="77777777" w:rsidR="00C21B92" w:rsidRDefault="00C21B92" w:rsidP="008C727D">
      <w:pPr>
        <w:spacing w:after="0"/>
        <w:jc w:val="both"/>
        <w:rPr>
          <w:sz w:val="21"/>
          <w:szCs w:val="21"/>
        </w:rPr>
      </w:pPr>
      <w:r w:rsidRPr="00C21B92">
        <w:rPr>
          <w:sz w:val="21"/>
          <w:szCs w:val="21"/>
        </w:rPr>
        <w:t>This comment letter is filed pursuant to this Court’s Order of January 18, 2018, soliciting public comment on Petition R-17-0032. In its petition, the National Lawyers Guild, Central Arizona Chapter, urges this Court to amend Rule 42, ER 8.4, by</w:t>
      </w:r>
      <w:r>
        <w:rPr>
          <w:sz w:val="21"/>
          <w:szCs w:val="21"/>
        </w:rPr>
        <w:t xml:space="preserve"> adopting ABA Model Rule 8.4(g).</w:t>
      </w:r>
      <w:r w:rsidR="00D92025" w:rsidRPr="00EB60A7">
        <w:rPr>
          <w:sz w:val="21"/>
          <w:szCs w:val="21"/>
        </w:rPr>
        <w:t xml:space="preserve"> </w:t>
      </w:r>
    </w:p>
    <w:p w14:paraId="4EC46CE7" w14:textId="77777777" w:rsidR="00C21B92" w:rsidRDefault="00C21B92" w:rsidP="008C727D">
      <w:pPr>
        <w:spacing w:after="0"/>
        <w:jc w:val="both"/>
        <w:rPr>
          <w:sz w:val="21"/>
          <w:szCs w:val="21"/>
        </w:rPr>
      </w:pPr>
    </w:p>
    <w:p w14:paraId="179CC3FF" w14:textId="77777777" w:rsidR="00D15892" w:rsidRDefault="00DE3823" w:rsidP="008C727D">
      <w:pPr>
        <w:spacing w:after="0"/>
        <w:jc w:val="both"/>
        <w:rPr>
          <w:iCs/>
          <w:sz w:val="21"/>
          <w:szCs w:val="21"/>
        </w:rPr>
      </w:pPr>
      <w:r w:rsidRPr="00EB60A7">
        <w:rPr>
          <w:sz w:val="21"/>
          <w:szCs w:val="21"/>
        </w:rPr>
        <w:t xml:space="preserve">This proposed rule raises significant First Amendment issues. </w:t>
      </w:r>
      <w:r w:rsidR="00434D1F" w:rsidRPr="00EB60A7">
        <w:rPr>
          <w:sz w:val="21"/>
          <w:szCs w:val="21"/>
        </w:rPr>
        <w:t>Rule 8.4(g)</w:t>
      </w:r>
      <w:r w:rsidR="0001033C" w:rsidRPr="00EB60A7">
        <w:rPr>
          <w:sz w:val="21"/>
          <w:szCs w:val="21"/>
        </w:rPr>
        <w:t xml:space="preserve"> has an unprecedented scope. It disfavors the expression of certain viewpoints in forums completely disconnected with the servicing of clients or provision of legal services. </w:t>
      </w:r>
      <w:r w:rsidR="00240C3B">
        <w:rPr>
          <w:sz w:val="21"/>
          <w:szCs w:val="21"/>
        </w:rPr>
        <w:t xml:space="preserve">I explain these arguments at length in my </w:t>
      </w:r>
      <w:r w:rsidR="00C3178D" w:rsidRPr="00EB60A7">
        <w:rPr>
          <w:sz w:val="21"/>
          <w:szCs w:val="21"/>
        </w:rPr>
        <w:t>recently-</w:t>
      </w:r>
      <w:r w:rsidR="0086548C" w:rsidRPr="00EB60A7">
        <w:rPr>
          <w:sz w:val="21"/>
          <w:szCs w:val="21"/>
        </w:rPr>
        <w:t xml:space="preserve">published article in </w:t>
      </w:r>
      <w:r w:rsidR="00240C3B">
        <w:rPr>
          <w:sz w:val="21"/>
          <w:szCs w:val="21"/>
        </w:rPr>
        <w:t>Volume 30 of the</w:t>
      </w:r>
      <w:r w:rsidR="0086548C" w:rsidRPr="00EB60A7">
        <w:rPr>
          <w:sz w:val="21"/>
          <w:szCs w:val="21"/>
        </w:rPr>
        <w:t xml:space="preserve"> </w:t>
      </w:r>
      <w:r w:rsidR="0086548C" w:rsidRPr="00EB60A7">
        <w:rPr>
          <w:smallCaps/>
          <w:sz w:val="21"/>
          <w:szCs w:val="21"/>
        </w:rPr>
        <w:t>Georgetown Journal of Legal Ethics</w:t>
      </w:r>
      <w:r w:rsidR="0086548C" w:rsidRPr="00EB60A7">
        <w:rPr>
          <w:sz w:val="21"/>
          <w:szCs w:val="21"/>
        </w:rPr>
        <w:t xml:space="preserve">, titled </w:t>
      </w:r>
      <w:r w:rsidR="0086548C" w:rsidRPr="00507D4E">
        <w:rPr>
          <w:bCs/>
          <w:i/>
          <w:sz w:val="21"/>
          <w:szCs w:val="21"/>
        </w:rPr>
        <w:t xml:space="preserve">Reply: A Pause for State Courts Considering Model Rule 8.4(g), </w:t>
      </w:r>
      <w:r w:rsidR="0086548C" w:rsidRPr="00507D4E">
        <w:rPr>
          <w:i/>
          <w:iCs/>
          <w:sz w:val="21"/>
          <w:szCs w:val="21"/>
        </w:rPr>
        <w:t>The First Amendment and “Conduct Related to the Practice of Law</w:t>
      </w:r>
      <w:r w:rsidR="0086548C" w:rsidRPr="00507D4E">
        <w:rPr>
          <w:iCs/>
          <w:sz w:val="21"/>
          <w:szCs w:val="21"/>
        </w:rPr>
        <w:t>.”</w:t>
      </w:r>
      <w:r w:rsidR="0086548C" w:rsidRPr="00EB60A7">
        <w:rPr>
          <w:iCs/>
          <w:sz w:val="21"/>
          <w:szCs w:val="21"/>
        </w:rPr>
        <w:t xml:space="preserve"> </w:t>
      </w:r>
      <w:r w:rsidR="008A317D">
        <w:rPr>
          <w:iCs/>
          <w:sz w:val="21"/>
          <w:szCs w:val="21"/>
        </w:rPr>
        <w:t xml:space="preserve">For your convenience, I have enclosed </w:t>
      </w:r>
      <w:r w:rsidR="00783F2F">
        <w:rPr>
          <w:iCs/>
          <w:sz w:val="21"/>
          <w:szCs w:val="21"/>
        </w:rPr>
        <w:t>a copy</w:t>
      </w:r>
      <w:r w:rsidR="008A317D">
        <w:rPr>
          <w:iCs/>
          <w:sz w:val="21"/>
          <w:szCs w:val="21"/>
        </w:rPr>
        <w:t xml:space="preserve"> of the article, which</w:t>
      </w:r>
      <w:r w:rsidR="00C50DE4">
        <w:rPr>
          <w:iCs/>
          <w:sz w:val="21"/>
          <w:szCs w:val="21"/>
        </w:rPr>
        <w:t xml:space="preserve"> can also be </w:t>
      </w:r>
      <w:r w:rsidR="00507D4E">
        <w:rPr>
          <w:iCs/>
          <w:sz w:val="21"/>
          <w:szCs w:val="21"/>
        </w:rPr>
        <w:t>downloaded</w:t>
      </w:r>
      <w:r w:rsidR="00C50DE4">
        <w:rPr>
          <w:iCs/>
          <w:sz w:val="21"/>
          <w:szCs w:val="21"/>
        </w:rPr>
        <w:t xml:space="preserve"> at </w:t>
      </w:r>
      <w:hyperlink r:id="rId9" w:history="1">
        <w:r w:rsidR="00C50DE4" w:rsidRPr="00507D4E">
          <w:rPr>
            <w:rStyle w:val="Hyperlink"/>
            <w:iCs/>
            <w:sz w:val="21"/>
            <w:szCs w:val="21"/>
          </w:rPr>
          <w:t>https://ssrn.com/abstract=2888204</w:t>
        </w:r>
      </w:hyperlink>
      <w:r w:rsidR="00C50DE4">
        <w:rPr>
          <w:iCs/>
          <w:sz w:val="21"/>
          <w:szCs w:val="21"/>
        </w:rPr>
        <w:t>.</w:t>
      </w:r>
      <w:r w:rsidR="003060C1">
        <w:rPr>
          <w:iCs/>
          <w:sz w:val="21"/>
          <w:szCs w:val="21"/>
        </w:rPr>
        <w:t xml:space="preserve"> </w:t>
      </w:r>
    </w:p>
    <w:p w14:paraId="50B6CBEB" w14:textId="77777777" w:rsidR="00D15892" w:rsidRDefault="00D15892" w:rsidP="008C727D">
      <w:pPr>
        <w:spacing w:after="0"/>
        <w:jc w:val="both"/>
        <w:rPr>
          <w:iCs/>
          <w:sz w:val="21"/>
          <w:szCs w:val="21"/>
        </w:rPr>
      </w:pPr>
    </w:p>
    <w:p w14:paraId="409EDDF4" w14:textId="7B1B3D0C" w:rsidR="003060C1" w:rsidRPr="003060C1" w:rsidRDefault="003060C1" w:rsidP="008C727D">
      <w:pPr>
        <w:spacing w:after="0"/>
        <w:jc w:val="both"/>
        <w:rPr>
          <w:sz w:val="21"/>
          <w:szCs w:val="21"/>
        </w:rPr>
      </w:pPr>
      <w:r>
        <w:rPr>
          <w:iCs/>
          <w:sz w:val="21"/>
          <w:szCs w:val="21"/>
        </w:rPr>
        <w:t>This article has been useful to deliberations in other states. For example,</w:t>
      </w:r>
      <w:r w:rsidR="00783F2F">
        <w:rPr>
          <w:iCs/>
          <w:sz w:val="21"/>
          <w:szCs w:val="21"/>
        </w:rPr>
        <w:t xml:space="preserve"> </w:t>
      </w:r>
      <w:r>
        <w:rPr>
          <w:iCs/>
          <w:sz w:val="21"/>
          <w:szCs w:val="21"/>
        </w:rPr>
        <w:t>t</w:t>
      </w:r>
      <w:r w:rsidR="006C45C9">
        <w:rPr>
          <w:iCs/>
          <w:sz w:val="21"/>
          <w:szCs w:val="21"/>
        </w:rPr>
        <w:t xml:space="preserve">he Tennessee Bar Association adopted several of my proposals to address the First Amendment problems raised by </w:t>
      </w:r>
      <w:r w:rsidR="00E803C6">
        <w:rPr>
          <w:iCs/>
          <w:sz w:val="21"/>
          <w:szCs w:val="21"/>
        </w:rPr>
        <w:t xml:space="preserve">a modified version of </w:t>
      </w:r>
      <w:r w:rsidR="006C45C9">
        <w:rPr>
          <w:iCs/>
          <w:sz w:val="21"/>
          <w:szCs w:val="21"/>
        </w:rPr>
        <w:t>Rule 8.4(g).</w:t>
      </w:r>
      <w:r w:rsidR="006C45C9">
        <w:rPr>
          <w:rStyle w:val="FootnoteReference"/>
          <w:iCs/>
          <w:sz w:val="21"/>
          <w:szCs w:val="21"/>
        </w:rPr>
        <w:footnoteReference w:id="1"/>
      </w:r>
      <w:r w:rsidR="006C45C9">
        <w:rPr>
          <w:iCs/>
          <w:sz w:val="21"/>
          <w:szCs w:val="21"/>
        </w:rPr>
        <w:t xml:space="preserve"> Ultimately, the Tennessee Supreme Court rejected the rule altogether.</w:t>
      </w:r>
      <w:r w:rsidR="005A74BE">
        <w:rPr>
          <w:rStyle w:val="FootnoteReference"/>
          <w:iCs/>
          <w:sz w:val="21"/>
          <w:szCs w:val="21"/>
        </w:rPr>
        <w:footnoteReference w:id="2"/>
      </w:r>
      <w:r w:rsidR="006C45C9">
        <w:rPr>
          <w:iCs/>
          <w:sz w:val="21"/>
          <w:szCs w:val="21"/>
        </w:rPr>
        <w:t xml:space="preserve"> </w:t>
      </w:r>
      <w:r>
        <w:rPr>
          <w:iCs/>
          <w:sz w:val="21"/>
          <w:szCs w:val="21"/>
        </w:rPr>
        <w:t xml:space="preserve">I recommend the same course of conduct for Arizona. </w:t>
      </w:r>
    </w:p>
    <w:p w14:paraId="76A1EB5A" w14:textId="77777777" w:rsidR="00A82E36" w:rsidRDefault="00A82E36" w:rsidP="00C34070">
      <w:pPr>
        <w:spacing w:after="0"/>
        <w:jc w:val="both"/>
        <w:rPr>
          <w:sz w:val="21"/>
          <w:szCs w:val="21"/>
        </w:rPr>
      </w:pPr>
    </w:p>
    <w:p w14:paraId="0BA58B32" w14:textId="245EC2E4" w:rsidR="00C34070" w:rsidRPr="00EB60A7" w:rsidRDefault="00C34070" w:rsidP="00C34070">
      <w:pPr>
        <w:spacing w:after="0"/>
        <w:jc w:val="both"/>
        <w:rPr>
          <w:sz w:val="21"/>
          <w:szCs w:val="21"/>
        </w:rPr>
      </w:pPr>
      <w:r w:rsidRPr="00EB60A7">
        <w:rPr>
          <w:sz w:val="21"/>
          <w:szCs w:val="21"/>
        </w:rPr>
        <w:t xml:space="preserve">Over the past two decades, nearly three dozen jurisdictions have amended their local version of Rule 8.4 to prohibit discrimination, harassment, or other forms of bias against specifically defined groups. With few exceptions, these rules </w:t>
      </w:r>
      <w:r w:rsidRPr="00EB60A7">
        <w:rPr>
          <w:i/>
          <w:iCs/>
          <w:sz w:val="21"/>
          <w:szCs w:val="21"/>
        </w:rPr>
        <w:t xml:space="preserve">only </w:t>
      </w:r>
      <w:r w:rsidRPr="00EB60A7">
        <w:rPr>
          <w:sz w:val="21"/>
          <w:szCs w:val="21"/>
        </w:rPr>
        <w:t xml:space="preserve">govern conduct within the three heads of conduct reached by Rule 8.4(a)–(f). First, the narrowest category regulated bias </w:t>
      </w:r>
      <w:r w:rsidRPr="00EB60A7">
        <w:rPr>
          <w:i/>
          <w:iCs/>
          <w:sz w:val="21"/>
          <w:szCs w:val="21"/>
        </w:rPr>
        <w:t xml:space="preserve">during the representation of a client </w:t>
      </w:r>
      <w:r w:rsidRPr="00EB60A7">
        <w:rPr>
          <w:sz w:val="21"/>
          <w:szCs w:val="21"/>
        </w:rPr>
        <w:t xml:space="preserve">or </w:t>
      </w:r>
      <w:r w:rsidRPr="00EB60A7">
        <w:rPr>
          <w:i/>
          <w:iCs/>
          <w:sz w:val="21"/>
          <w:szCs w:val="21"/>
        </w:rPr>
        <w:t>in the practice of law</w:t>
      </w:r>
      <w:r w:rsidRPr="00EB60A7">
        <w:rPr>
          <w:sz w:val="21"/>
          <w:szCs w:val="21"/>
        </w:rPr>
        <w:t xml:space="preserve">. This standard is set by fifteen states in their rules, and ten states in their comments. Second, a far broader standard regulates bias that implicates a </w:t>
      </w:r>
      <w:r w:rsidRPr="00EB60A7">
        <w:rPr>
          <w:i/>
          <w:iCs/>
          <w:sz w:val="21"/>
          <w:szCs w:val="21"/>
        </w:rPr>
        <w:t>lawyer’s fitness to practice law</w:t>
      </w:r>
      <w:r w:rsidRPr="00EB60A7">
        <w:rPr>
          <w:sz w:val="21"/>
          <w:szCs w:val="21"/>
        </w:rPr>
        <w:t xml:space="preserve">, whether or not it occurs in the practice of law. Only two states impose this standard in their rules. Third, the broadest, most nebulous standard at issue prohibits bias that would </w:t>
      </w:r>
      <w:r w:rsidRPr="00EB60A7">
        <w:rPr>
          <w:i/>
          <w:iCs/>
          <w:sz w:val="21"/>
          <w:szCs w:val="21"/>
        </w:rPr>
        <w:t>prejudice the administration of justice</w:t>
      </w:r>
      <w:r w:rsidRPr="00EB60A7">
        <w:rPr>
          <w:sz w:val="21"/>
          <w:szCs w:val="21"/>
        </w:rPr>
        <w:t xml:space="preserve">. This standard, which can reach conduct entirely outside the client-lawyer relationship or the practice of law, is imposed by seven states. None of these jurisdictions provide a precedent for the Rule 8.4(g). </w:t>
      </w:r>
    </w:p>
    <w:p w14:paraId="3AE16A12" w14:textId="77777777" w:rsidR="00C34070" w:rsidRPr="00EB60A7" w:rsidRDefault="00C34070" w:rsidP="00C34070">
      <w:pPr>
        <w:spacing w:after="0"/>
        <w:jc w:val="both"/>
        <w:rPr>
          <w:sz w:val="21"/>
          <w:szCs w:val="21"/>
        </w:rPr>
      </w:pPr>
    </w:p>
    <w:p w14:paraId="4DE32922" w14:textId="34F7BFC2" w:rsidR="007D7070" w:rsidRDefault="00FE6622" w:rsidP="00C50DE4">
      <w:pPr>
        <w:rPr>
          <w:iCs/>
          <w:sz w:val="21"/>
          <w:szCs w:val="21"/>
        </w:rPr>
      </w:pPr>
      <w:r w:rsidRPr="00EB60A7">
        <w:rPr>
          <w:iCs/>
          <w:sz w:val="21"/>
          <w:szCs w:val="21"/>
        </w:rPr>
        <w:t xml:space="preserve">Three jurisdictions have adopted far broader scopes to their anti-bias provisions. First, Indiana regulates such misconduct when “engage[d] . . </w:t>
      </w:r>
      <w:r w:rsidR="00807AA0" w:rsidRPr="00EB60A7">
        <w:rPr>
          <w:iCs/>
          <w:sz w:val="21"/>
          <w:szCs w:val="21"/>
        </w:rPr>
        <w:t>. in a professional capacity.”</w:t>
      </w:r>
      <w:r w:rsidRPr="00EB60A7">
        <w:rPr>
          <w:iCs/>
          <w:sz w:val="21"/>
          <w:szCs w:val="21"/>
        </w:rPr>
        <w:t xml:space="preserve"> Second and third, Washington state and Wisconsin both regulate such misconduct that is committed “in connection with the lawy</w:t>
      </w:r>
      <w:r w:rsidR="00807AA0" w:rsidRPr="00EB60A7">
        <w:rPr>
          <w:iCs/>
          <w:sz w:val="21"/>
          <w:szCs w:val="21"/>
        </w:rPr>
        <w:t>er’s professional activities.”</w:t>
      </w:r>
      <w:r w:rsidRPr="00EB60A7">
        <w:rPr>
          <w:iCs/>
          <w:sz w:val="21"/>
          <w:szCs w:val="21"/>
        </w:rPr>
        <w:t xml:space="preserve"> None of these rules define “professional capacity” or “professional activities.” Yet, these three provisions still have a concrete nexus</w:t>
      </w:r>
      <w:r w:rsidR="00807AA0" w:rsidRPr="00EB60A7">
        <w:rPr>
          <w:iCs/>
          <w:sz w:val="21"/>
          <w:szCs w:val="21"/>
        </w:rPr>
        <w:t xml:space="preserve"> to delivering legal services,</w:t>
      </w:r>
      <w:r w:rsidRPr="00EB60A7">
        <w:rPr>
          <w:iCs/>
          <w:sz w:val="21"/>
          <w:szCs w:val="21"/>
        </w:rPr>
        <w:t xml:space="preserve"> and do not purport to reach “social activities,” such as bar-sponsored dinners that are merely “connected with the practice of law.” Rule 8.4(g) is unprecedented in its scope. Efforts to cite precedents from these states as evidence that Rule 8.4(g) would not censor protected speech are unavailing.</w:t>
      </w:r>
      <w:r w:rsidR="00EB60A7" w:rsidRPr="00EB60A7">
        <w:rPr>
          <w:iCs/>
          <w:sz w:val="21"/>
          <w:szCs w:val="21"/>
        </w:rPr>
        <w:t xml:space="preserve"> </w:t>
      </w:r>
      <w:r w:rsidR="0091031F">
        <w:rPr>
          <w:iCs/>
          <w:sz w:val="21"/>
          <w:szCs w:val="21"/>
        </w:rPr>
        <w:t>Because t</w:t>
      </w:r>
      <w:r w:rsidR="006C1DE0">
        <w:rPr>
          <w:iCs/>
          <w:sz w:val="21"/>
          <w:szCs w:val="21"/>
        </w:rPr>
        <w:t xml:space="preserve">hey are far more circumscribed, </w:t>
      </w:r>
      <w:r w:rsidR="0091031F">
        <w:rPr>
          <w:iCs/>
          <w:sz w:val="21"/>
          <w:szCs w:val="21"/>
        </w:rPr>
        <w:t xml:space="preserve">it is unsurprising that they have not given rise to litigation. </w:t>
      </w:r>
    </w:p>
    <w:p w14:paraId="183717DE" w14:textId="1AE1E5B5" w:rsidR="00807AA0" w:rsidRPr="00C50DE4" w:rsidRDefault="007D7070" w:rsidP="00C50DE4">
      <w:pPr>
        <w:rPr>
          <w:iCs/>
          <w:sz w:val="21"/>
          <w:szCs w:val="21"/>
        </w:rPr>
      </w:pPr>
      <w:r>
        <w:rPr>
          <w:iCs/>
          <w:sz w:val="21"/>
          <w:szCs w:val="21"/>
        </w:rPr>
        <w:t>To avoid the chilling, and potential infringement, of protected free speech, t</w:t>
      </w:r>
      <w:r w:rsidR="00EB60A7" w:rsidRPr="00EB60A7">
        <w:rPr>
          <w:iCs/>
          <w:sz w:val="21"/>
          <w:szCs w:val="21"/>
        </w:rPr>
        <w:t xml:space="preserve">he </w:t>
      </w:r>
      <w:r w:rsidR="006C45C9">
        <w:rPr>
          <w:iCs/>
          <w:sz w:val="21"/>
          <w:szCs w:val="21"/>
        </w:rPr>
        <w:t>Arizona</w:t>
      </w:r>
      <w:r w:rsidR="00EB60A7" w:rsidRPr="00EB60A7">
        <w:rPr>
          <w:iCs/>
          <w:sz w:val="21"/>
          <w:szCs w:val="21"/>
        </w:rPr>
        <w:t xml:space="preserve"> </w:t>
      </w:r>
      <w:r w:rsidR="0039507D">
        <w:rPr>
          <w:iCs/>
          <w:sz w:val="21"/>
          <w:szCs w:val="21"/>
        </w:rPr>
        <w:t xml:space="preserve">Supreme Court </w:t>
      </w:r>
      <w:r w:rsidR="00EB60A7" w:rsidRPr="00EB60A7">
        <w:rPr>
          <w:iCs/>
          <w:sz w:val="21"/>
          <w:szCs w:val="21"/>
        </w:rPr>
        <w:t xml:space="preserve">should </w:t>
      </w:r>
      <w:r>
        <w:rPr>
          <w:iCs/>
          <w:sz w:val="21"/>
          <w:szCs w:val="21"/>
        </w:rPr>
        <w:t>deny</w:t>
      </w:r>
      <w:r w:rsidR="00EB60A7" w:rsidRPr="00EB60A7">
        <w:rPr>
          <w:iCs/>
          <w:sz w:val="21"/>
          <w:szCs w:val="21"/>
        </w:rPr>
        <w:t xml:space="preserve"> </w:t>
      </w:r>
      <w:r w:rsidR="006C45C9">
        <w:rPr>
          <w:iCs/>
          <w:sz w:val="21"/>
          <w:szCs w:val="21"/>
        </w:rPr>
        <w:t xml:space="preserve">the </w:t>
      </w:r>
      <w:r w:rsidR="00EB60A7" w:rsidRPr="00EB60A7">
        <w:rPr>
          <w:iCs/>
          <w:sz w:val="21"/>
          <w:szCs w:val="21"/>
        </w:rPr>
        <w:t xml:space="preserve">petition. </w:t>
      </w:r>
      <w:r w:rsidR="00807AA0" w:rsidRPr="00EB60A7">
        <w:rPr>
          <w:sz w:val="21"/>
          <w:szCs w:val="21"/>
        </w:rPr>
        <w:t>It would be my pleasure to provide any further insights to inform your deliberations.</w:t>
      </w:r>
    </w:p>
    <w:p w14:paraId="29C776A6" w14:textId="62413665" w:rsidR="00807AA0" w:rsidRPr="00EB60A7" w:rsidRDefault="00807AA0" w:rsidP="00EB60A7">
      <w:pPr>
        <w:spacing w:after="0"/>
        <w:ind w:left="5040"/>
        <w:jc w:val="both"/>
        <w:rPr>
          <w:sz w:val="21"/>
          <w:szCs w:val="21"/>
        </w:rPr>
      </w:pPr>
      <w:r w:rsidRPr="00EB60A7">
        <w:rPr>
          <w:sz w:val="21"/>
          <w:szCs w:val="21"/>
        </w:rPr>
        <w:t>Sincerely,</w:t>
      </w:r>
    </w:p>
    <w:p w14:paraId="641F7467" w14:textId="77777777" w:rsidR="00807AA0" w:rsidRPr="00EB60A7" w:rsidRDefault="00807AA0" w:rsidP="00EB60A7">
      <w:pPr>
        <w:spacing w:after="0"/>
        <w:ind w:left="5040"/>
        <w:jc w:val="both"/>
        <w:rPr>
          <w:sz w:val="21"/>
          <w:szCs w:val="21"/>
        </w:rPr>
      </w:pPr>
    </w:p>
    <w:p w14:paraId="365C277B" w14:textId="39F97CED" w:rsidR="00C31904" w:rsidRDefault="00807AA0" w:rsidP="00EB60A7">
      <w:pPr>
        <w:spacing w:after="0"/>
        <w:ind w:left="5040"/>
        <w:jc w:val="both"/>
        <w:rPr>
          <w:sz w:val="21"/>
          <w:szCs w:val="21"/>
        </w:rPr>
      </w:pPr>
      <w:r w:rsidRPr="00EB60A7">
        <w:rPr>
          <w:sz w:val="21"/>
          <w:szCs w:val="21"/>
        </w:rPr>
        <w:t>Josh Blackman</w:t>
      </w:r>
    </w:p>
    <w:p w14:paraId="75780818" w14:textId="77777777" w:rsidR="00EB60A7" w:rsidRDefault="00EB60A7" w:rsidP="00EB60A7">
      <w:pPr>
        <w:spacing w:after="0"/>
        <w:ind w:left="5040"/>
        <w:jc w:val="both"/>
        <w:rPr>
          <w:sz w:val="21"/>
          <w:szCs w:val="21"/>
        </w:rPr>
      </w:pPr>
      <w:r>
        <w:rPr>
          <w:sz w:val="21"/>
          <w:szCs w:val="21"/>
        </w:rPr>
        <w:t xml:space="preserve">Associate Professor </w:t>
      </w:r>
    </w:p>
    <w:p w14:paraId="7AD09D86" w14:textId="18DB6799" w:rsidR="00EB60A7" w:rsidRPr="00EB60A7" w:rsidRDefault="00EB60A7" w:rsidP="00EB60A7">
      <w:pPr>
        <w:spacing w:after="0"/>
        <w:ind w:left="5040"/>
        <w:jc w:val="both"/>
        <w:rPr>
          <w:sz w:val="21"/>
          <w:szCs w:val="21"/>
        </w:rPr>
      </w:pPr>
      <w:r>
        <w:rPr>
          <w:sz w:val="21"/>
          <w:szCs w:val="21"/>
        </w:rPr>
        <w:t>South Texas College of Law Houston</w:t>
      </w:r>
    </w:p>
    <w:sectPr w:rsidR="00EB60A7" w:rsidRPr="00EB60A7" w:rsidSect="005A74B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26776E" w14:textId="77777777" w:rsidR="00201E5D" w:rsidRDefault="00201E5D" w:rsidP="006C45C9">
      <w:pPr>
        <w:spacing w:after="0"/>
      </w:pPr>
      <w:r>
        <w:separator/>
      </w:r>
    </w:p>
  </w:endnote>
  <w:endnote w:type="continuationSeparator" w:id="0">
    <w:p w14:paraId="49AE5A9B" w14:textId="77777777" w:rsidR="00201E5D" w:rsidRDefault="00201E5D" w:rsidP="006C45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D8A775" w14:textId="77777777" w:rsidR="00201E5D" w:rsidRDefault="00201E5D" w:rsidP="006C45C9">
      <w:pPr>
        <w:spacing w:after="0"/>
      </w:pPr>
      <w:r>
        <w:separator/>
      </w:r>
    </w:p>
  </w:footnote>
  <w:footnote w:type="continuationSeparator" w:id="0">
    <w:p w14:paraId="4409B8C7" w14:textId="77777777" w:rsidR="00201E5D" w:rsidRDefault="00201E5D" w:rsidP="006C45C9">
      <w:pPr>
        <w:spacing w:after="0"/>
      </w:pPr>
      <w:r>
        <w:continuationSeparator/>
      </w:r>
    </w:p>
  </w:footnote>
  <w:footnote w:id="1">
    <w:p w14:paraId="73E1D7EF" w14:textId="1A323384" w:rsidR="006C45C9" w:rsidRPr="006C45C9" w:rsidRDefault="006C45C9" w:rsidP="005A74BE">
      <w:pPr>
        <w:spacing w:after="0"/>
        <w:rPr>
          <w:rFonts w:eastAsia="Times New Roman" w:cs="Times New Roman"/>
          <w:color w:val="000000"/>
          <w:sz w:val="20"/>
          <w:szCs w:val="24"/>
          <w:lang w:eastAsia="en-US"/>
        </w:rPr>
      </w:pPr>
      <w:r>
        <w:rPr>
          <w:rStyle w:val="FootnoteReference"/>
        </w:rPr>
        <w:footnoteRef/>
      </w:r>
      <w:r>
        <w:t xml:space="preserve"> </w:t>
      </w:r>
      <w:r w:rsidRPr="006C45C9">
        <w:rPr>
          <w:rFonts w:eastAsia="Times New Roman" w:cs="Times New Roman"/>
          <w:color w:val="000000"/>
          <w:sz w:val="20"/>
          <w:szCs w:val="20"/>
          <w:lang w:eastAsia="en-US"/>
        </w:rPr>
        <w:t>Mindy Rattan,</w:t>
      </w:r>
      <w:r w:rsidR="005A74BE">
        <w:rPr>
          <w:rFonts w:eastAsia="Times New Roman" w:cs="Times New Roman"/>
          <w:color w:val="000000"/>
          <w:sz w:val="20"/>
          <w:szCs w:val="20"/>
          <w:lang w:eastAsia="en-US"/>
        </w:rPr>
        <w:t xml:space="preserve"> </w:t>
      </w:r>
      <w:r w:rsidR="005A74BE" w:rsidRPr="005A74BE">
        <w:rPr>
          <w:rFonts w:eastAsia="Times New Roman" w:cs="Times New Roman"/>
          <w:color w:val="000000"/>
          <w:sz w:val="20"/>
          <w:szCs w:val="20"/>
          <w:lang w:eastAsia="en-US"/>
        </w:rPr>
        <w:t>Tennessee Again Rejects Anti-Discrimination Ethics Rule</w:t>
      </w:r>
      <w:r w:rsidR="005A74BE">
        <w:rPr>
          <w:rFonts w:eastAsia="Times New Roman" w:cs="Times New Roman"/>
          <w:color w:val="000000"/>
          <w:sz w:val="20"/>
          <w:szCs w:val="20"/>
          <w:lang w:eastAsia="en-US"/>
        </w:rPr>
        <w:t>, Bloomberg BNA (May 1, 2018),</w:t>
      </w:r>
      <w:r w:rsidRPr="006C45C9">
        <w:rPr>
          <w:rFonts w:eastAsia="Times New Roman" w:cs="Times New Roman"/>
          <w:color w:val="000000"/>
          <w:sz w:val="20"/>
          <w:szCs w:val="20"/>
          <w:lang w:eastAsia="en-US"/>
        </w:rPr>
        <w:t xml:space="preserve"> </w:t>
      </w:r>
      <w:hyperlink r:id="rId1" w:history="1">
        <w:r w:rsidR="005A74BE" w:rsidRPr="00873C83">
          <w:rPr>
            <w:rStyle w:val="Hyperlink"/>
            <w:sz w:val="20"/>
            <w:szCs w:val="20"/>
          </w:rPr>
          <w:t>https://www.bna.com/tennessee-again-rejects-n57982091727/</w:t>
        </w:r>
      </w:hyperlink>
      <w:r w:rsidR="005A74BE">
        <w:rPr>
          <w:sz w:val="20"/>
          <w:szCs w:val="20"/>
        </w:rPr>
        <w:t xml:space="preserve"> (“</w:t>
      </w:r>
      <w:r w:rsidR="005A74BE" w:rsidRPr="005A74BE">
        <w:rPr>
          <w:sz w:val="20"/>
          <w:szCs w:val="20"/>
        </w:rPr>
        <w:t>In response to the comments, particularly those from Blackman, the board and Tennessee bar proposed modifications to the revised Rule 8.4(g) on the day the public comment period closed. Those revisions focused on trying to avoid confusion and clarify the legitimate advocacy exception and that the rule does not apply to conduct protected by the First Amendment.</w:t>
      </w:r>
      <w:r w:rsidR="005A74BE">
        <w:rPr>
          <w:sz w:val="20"/>
          <w:szCs w:val="20"/>
        </w:rPr>
        <w:t>”).</w:t>
      </w:r>
    </w:p>
  </w:footnote>
  <w:footnote w:id="2">
    <w:p w14:paraId="75CA0CCE" w14:textId="0B10C59E" w:rsidR="005A74BE" w:rsidRPr="005A74BE" w:rsidRDefault="005A74BE" w:rsidP="005A74BE">
      <w:pPr>
        <w:pStyle w:val="FootnoteText"/>
        <w:rPr>
          <w:i/>
        </w:rPr>
      </w:pPr>
      <w:r>
        <w:rPr>
          <w:rStyle w:val="FootnoteReference"/>
        </w:rPr>
        <w:footnoteRef/>
      </w:r>
      <w:r>
        <w:t xml:space="preserve"> </w:t>
      </w:r>
      <w:r>
        <w:rPr>
          <w:i/>
        </w:rPr>
        <w:t>Id.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1"/>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27D"/>
    <w:rsid w:val="00002104"/>
    <w:rsid w:val="0001033C"/>
    <w:rsid w:val="00023403"/>
    <w:rsid w:val="00030F4D"/>
    <w:rsid w:val="000619E7"/>
    <w:rsid w:val="00067A7C"/>
    <w:rsid w:val="000B7E3A"/>
    <w:rsid w:val="0015126D"/>
    <w:rsid w:val="00152E05"/>
    <w:rsid w:val="0016305A"/>
    <w:rsid w:val="001D67C6"/>
    <w:rsid w:val="00201E5D"/>
    <w:rsid w:val="00240C3B"/>
    <w:rsid w:val="00292AA3"/>
    <w:rsid w:val="002D229F"/>
    <w:rsid w:val="003060C1"/>
    <w:rsid w:val="003732D7"/>
    <w:rsid w:val="0038194C"/>
    <w:rsid w:val="0039507D"/>
    <w:rsid w:val="003B327C"/>
    <w:rsid w:val="003D5F55"/>
    <w:rsid w:val="003F5904"/>
    <w:rsid w:val="00421F18"/>
    <w:rsid w:val="004251A4"/>
    <w:rsid w:val="00434D1F"/>
    <w:rsid w:val="004734BE"/>
    <w:rsid w:val="004E3F1E"/>
    <w:rsid w:val="00502420"/>
    <w:rsid w:val="00507D4E"/>
    <w:rsid w:val="005553F7"/>
    <w:rsid w:val="005665CD"/>
    <w:rsid w:val="005A74BE"/>
    <w:rsid w:val="00631181"/>
    <w:rsid w:val="0067461F"/>
    <w:rsid w:val="006B6DEE"/>
    <w:rsid w:val="006C1DE0"/>
    <w:rsid w:val="006C45C9"/>
    <w:rsid w:val="00767C43"/>
    <w:rsid w:val="00783F2F"/>
    <w:rsid w:val="007B6671"/>
    <w:rsid w:val="007C10FA"/>
    <w:rsid w:val="007D7070"/>
    <w:rsid w:val="00807AA0"/>
    <w:rsid w:val="0086548C"/>
    <w:rsid w:val="008A317D"/>
    <w:rsid w:val="008C727D"/>
    <w:rsid w:val="008F27D1"/>
    <w:rsid w:val="0091031F"/>
    <w:rsid w:val="009401F9"/>
    <w:rsid w:val="009674D4"/>
    <w:rsid w:val="00982C06"/>
    <w:rsid w:val="00A41515"/>
    <w:rsid w:val="00A5536A"/>
    <w:rsid w:val="00A82E36"/>
    <w:rsid w:val="00AA6434"/>
    <w:rsid w:val="00AC452E"/>
    <w:rsid w:val="00AF727F"/>
    <w:rsid w:val="00B976C0"/>
    <w:rsid w:val="00C21B92"/>
    <w:rsid w:val="00C3178D"/>
    <w:rsid w:val="00C31904"/>
    <w:rsid w:val="00C339BE"/>
    <w:rsid w:val="00C34070"/>
    <w:rsid w:val="00C50DE4"/>
    <w:rsid w:val="00C7200B"/>
    <w:rsid w:val="00D15892"/>
    <w:rsid w:val="00D92025"/>
    <w:rsid w:val="00DE3823"/>
    <w:rsid w:val="00DF2586"/>
    <w:rsid w:val="00E57BEE"/>
    <w:rsid w:val="00E803C6"/>
    <w:rsid w:val="00EB5D0D"/>
    <w:rsid w:val="00EB60A7"/>
    <w:rsid w:val="00EC0D32"/>
    <w:rsid w:val="00EF3BF5"/>
    <w:rsid w:val="00F158D8"/>
    <w:rsid w:val="00F46632"/>
    <w:rsid w:val="00F66876"/>
    <w:rsid w:val="00FD019F"/>
    <w:rsid w:val="00FD50B5"/>
    <w:rsid w:val="00FE6622"/>
    <w:rsid w:val="00FF43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DA3FE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27D"/>
    <w:pPr>
      <w:spacing w:after="200"/>
    </w:pPr>
    <w:rPr>
      <w:rFonts w:eastAsiaTheme="majorEastAsia" w:cstheme="majorBidi"/>
      <w:szCs w:val="22"/>
      <w:lang w:eastAsia="ja-JP"/>
    </w:rPr>
  </w:style>
  <w:style w:type="paragraph" w:styleId="Heading1">
    <w:name w:val="heading 1"/>
    <w:basedOn w:val="Normal"/>
    <w:next w:val="Normal"/>
    <w:link w:val="Heading1Char"/>
    <w:uiPriority w:val="9"/>
    <w:qFormat/>
    <w:rsid w:val="00982C06"/>
    <w:pPr>
      <w:keepNext/>
      <w:keepLines/>
      <w:spacing w:before="240" w:after="0"/>
      <w:jc w:val="both"/>
      <w:outlineLvl w:val="0"/>
    </w:pPr>
    <w:rPr>
      <w:rFonts w:asciiTheme="majorHAnsi" w:hAnsiTheme="majorHAnsi"/>
      <w:color w:val="000000" w:themeColor="text1"/>
      <w:sz w:val="28"/>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2C06"/>
    <w:rPr>
      <w:rFonts w:asciiTheme="majorHAnsi" w:eastAsiaTheme="majorEastAsia" w:hAnsiTheme="majorHAnsi" w:cstheme="majorBidi"/>
      <w:color w:val="000000" w:themeColor="text1"/>
      <w:sz w:val="28"/>
      <w:szCs w:val="32"/>
    </w:rPr>
  </w:style>
  <w:style w:type="paragraph" w:styleId="FootnoteText">
    <w:name w:val="footnote text"/>
    <w:basedOn w:val="Normal"/>
    <w:link w:val="FootnoteTextChar"/>
    <w:qFormat/>
    <w:rsid w:val="004E3F1E"/>
    <w:pPr>
      <w:spacing w:after="0"/>
      <w:jc w:val="both"/>
    </w:pPr>
    <w:rPr>
      <w:rFonts w:eastAsia="Times New Roman" w:cs="Times New Roman"/>
      <w:color w:val="000000"/>
      <w:sz w:val="20"/>
      <w:szCs w:val="24"/>
      <w:lang w:eastAsia="en-US"/>
    </w:rPr>
  </w:style>
  <w:style w:type="character" w:customStyle="1" w:styleId="FootnoteTextChar">
    <w:name w:val="Footnote Text Char"/>
    <w:basedOn w:val="DefaultParagraphFont"/>
    <w:link w:val="FootnoteText"/>
    <w:rsid w:val="004E3F1E"/>
    <w:rPr>
      <w:color w:val="000000"/>
      <w:sz w:val="20"/>
    </w:rPr>
  </w:style>
  <w:style w:type="character" w:styleId="Hyperlink">
    <w:name w:val="Hyperlink"/>
    <w:basedOn w:val="DefaultParagraphFont"/>
    <w:uiPriority w:val="99"/>
    <w:unhideWhenUsed/>
    <w:rsid w:val="008C727D"/>
    <w:rPr>
      <w:color w:val="0563C1" w:themeColor="hyperlink"/>
      <w:u w:val="single"/>
    </w:rPr>
  </w:style>
  <w:style w:type="character" w:styleId="FollowedHyperlink">
    <w:name w:val="FollowedHyperlink"/>
    <w:basedOn w:val="DefaultParagraphFont"/>
    <w:uiPriority w:val="99"/>
    <w:semiHidden/>
    <w:unhideWhenUsed/>
    <w:rsid w:val="00240C3B"/>
    <w:rPr>
      <w:color w:val="954F72" w:themeColor="followedHyperlink"/>
      <w:u w:val="single"/>
    </w:rPr>
  </w:style>
  <w:style w:type="character" w:customStyle="1" w:styleId="UnresolvedMention">
    <w:name w:val="Unresolved Mention"/>
    <w:basedOn w:val="DefaultParagraphFont"/>
    <w:uiPriority w:val="99"/>
    <w:rsid w:val="00783F2F"/>
    <w:rPr>
      <w:color w:val="808080"/>
      <w:shd w:val="clear" w:color="auto" w:fill="E6E6E6"/>
    </w:rPr>
  </w:style>
  <w:style w:type="character" w:styleId="FootnoteReference">
    <w:name w:val="footnote reference"/>
    <w:basedOn w:val="DefaultParagraphFont"/>
    <w:uiPriority w:val="99"/>
    <w:semiHidden/>
    <w:unhideWhenUsed/>
    <w:rsid w:val="006C45C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27D"/>
    <w:pPr>
      <w:spacing w:after="200"/>
    </w:pPr>
    <w:rPr>
      <w:rFonts w:eastAsiaTheme="majorEastAsia" w:cstheme="majorBidi"/>
      <w:szCs w:val="22"/>
      <w:lang w:eastAsia="ja-JP"/>
    </w:rPr>
  </w:style>
  <w:style w:type="paragraph" w:styleId="Heading1">
    <w:name w:val="heading 1"/>
    <w:basedOn w:val="Normal"/>
    <w:next w:val="Normal"/>
    <w:link w:val="Heading1Char"/>
    <w:uiPriority w:val="9"/>
    <w:qFormat/>
    <w:rsid w:val="00982C06"/>
    <w:pPr>
      <w:keepNext/>
      <w:keepLines/>
      <w:spacing w:before="240" w:after="0"/>
      <w:jc w:val="both"/>
      <w:outlineLvl w:val="0"/>
    </w:pPr>
    <w:rPr>
      <w:rFonts w:asciiTheme="majorHAnsi" w:hAnsiTheme="majorHAnsi"/>
      <w:color w:val="000000" w:themeColor="text1"/>
      <w:sz w:val="28"/>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2C06"/>
    <w:rPr>
      <w:rFonts w:asciiTheme="majorHAnsi" w:eastAsiaTheme="majorEastAsia" w:hAnsiTheme="majorHAnsi" w:cstheme="majorBidi"/>
      <w:color w:val="000000" w:themeColor="text1"/>
      <w:sz w:val="28"/>
      <w:szCs w:val="32"/>
    </w:rPr>
  </w:style>
  <w:style w:type="paragraph" w:styleId="FootnoteText">
    <w:name w:val="footnote text"/>
    <w:basedOn w:val="Normal"/>
    <w:link w:val="FootnoteTextChar"/>
    <w:qFormat/>
    <w:rsid w:val="004E3F1E"/>
    <w:pPr>
      <w:spacing w:after="0"/>
      <w:jc w:val="both"/>
    </w:pPr>
    <w:rPr>
      <w:rFonts w:eastAsia="Times New Roman" w:cs="Times New Roman"/>
      <w:color w:val="000000"/>
      <w:sz w:val="20"/>
      <w:szCs w:val="24"/>
      <w:lang w:eastAsia="en-US"/>
    </w:rPr>
  </w:style>
  <w:style w:type="character" w:customStyle="1" w:styleId="FootnoteTextChar">
    <w:name w:val="Footnote Text Char"/>
    <w:basedOn w:val="DefaultParagraphFont"/>
    <w:link w:val="FootnoteText"/>
    <w:rsid w:val="004E3F1E"/>
    <w:rPr>
      <w:color w:val="000000"/>
      <w:sz w:val="20"/>
    </w:rPr>
  </w:style>
  <w:style w:type="character" w:styleId="Hyperlink">
    <w:name w:val="Hyperlink"/>
    <w:basedOn w:val="DefaultParagraphFont"/>
    <w:uiPriority w:val="99"/>
    <w:unhideWhenUsed/>
    <w:rsid w:val="008C727D"/>
    <w:rPr>
      <w:color w:val="0563C1" w:themeColor="hyperlink"/>
      <w:u w:val="single"/>
    </w:rPr>
  </w:style>
  <w:style w:type="character" w:styleId="FollowedHyperlink">
    <w:name w:val="FollowedHyperlink"/>
    <w:basedOn w:val="DefaultParagraphFont"/>
    <w:uiPriority w:val="99"/>
    <w:semiHidden/>
    <w:unhideWhenUsed/>
    <w:rsid w:val="00240C3B"/>
    <w:rPr>
      <w:color w:val="954F72" w:themeColor="followedHyperlink"/>
      <w:u w:val="single"/>
    </w:rPr>
  </w:style>
  <w:style w:type="character" w:customStyle="1" w:styleId="UnresolvedMention">
    <w:name w:val="Unresolved Mention"/>
    <w:basedOn w:val="DefaultParagraphFont"/>
    <w:uiPriority w:val="99"/>
    <w:rsid w:val="00783F2F"/>
    <w:rPr>
      <w:color w:val="808080"/>
      <w:shd w:val="clear" w:color="auto" w:fill="E6E6E6"/>
    </w:rPr>
  </w:style>
  <w:style w:type="character" w:styleId="FootnoteReference">
    <w:name w:val="footnote reference"/>
    <w:basedOn w:val="DefaultParagraphFont"/>
    <w:uiPriority w:val="99"/>
    <w:semiHidden/>
    <w:unhideWhenUsed/>
    <w:rsid w:val="006C45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619691">
      <w:bodyDiv w:val="1"/>
      <w:marLeft w:val="0"/>
      <w:marRight w:val="0"/>
      <w:marTop w:val="0"/>
      <w:marBottom w:val="0"/>
      <w:divBdr>
        <w:top w:val="none" w:sz="0" w:space="0" w:color="auto"/>
        <w:left w:val="none" w:sz="0" w:space="0" w:color="auto"/>
        <w:bottom w:val="none" w:sz="0" w:space="0" w:color="auto"/>
        <w:right w:val="none" w:sz="0" w:space="0" w:color="auto"/>
      </w:divBdr>
    </w:div>
    <w:div w:id="1355378151">
      <w:bodyDiv w:val="1"/>
      <w:marLeft w:val="0"/>
      <w:marRight w:val="0"/>
      <w:marTop w:val="0"/>
      <w:marBottom w:val="0"/>
      <w:divBdr>
        <w:top w:val="none" w:sz="0" w:space="0" w:color="auto"/>
        <w:left w:val="none" w:sz="0" w:space="0" w:color="auto"/>
        <w:bottom w:val="none" w:sz="0" w:space="0" w:color="auto"/>
        <w:right w:val="none" w:sz="0" w:space="0" w:color="auto"/>
      </w:divBdr>
    </w:div>
    <w:div w:id="1693073451">
      <w:bodyDiv w:val="1"/>
      <w:marLeft w:val="0"/>
      <w:marRight w:val="0"/>
      <w:marTop w:val="0"/>
      <w:marBottom w:val="0"/>
      <w:divBdr>
        <w:top w:val="none" w:sz="0" w:space="0" w:color="auto"/>
        <w:left w:val="none" w:sz="0" w:space="0" w:color="auto"/>
        <w:bottom w:val="none" w:sz="0" w:space="0" w:color="auto"/>
        <w:right w:val="none" w:sz="0" w:space="0" w:color="auto"/>
      </w:divBdr>
    </w:div>
    <w:div w:id="1896619790">
      <w:bodyDiv w:val="1"/>
      <w:marLeft w:val="0"/>
      <w:marRight w:val="0"/>
      <w:marTop w:val="0"/>
      <w:marBottom w:val="0"/>
      <w:divBdr>
        <w:top w:val="none" w:sz="0" w:space="0" w:color="auto"/>
        <w:left w:val="none" w:sz="0" w:space="0" w:color="auto"/>
        <w:bottom w:val="none" w:sz="0" w:space="0" w:color="auto"/>
        <w:right w:val="none" w:sz="0" w:space="0" w:color="auto"/>
      </w:divBdr>
      <w:divsChild>
        <w:div w:id="1351907836">
          <w:marLeft w:val="0"/>
          <w:marRight w:val="0"/>
          <w:marTop w:val="0"/>
          <w:marBottom w:val="36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Blackman@stcl.edu" TargetMode="Externa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srn.com/abstract=288820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na.com/tennessee-again-rejects-n5798209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641</Words>
  <Characters>3659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 Blackman</dc:creator>
  <cp:lastModifiedBy>Hernandez</cp:lastModifiedBy>
  <cp:revision>2</cp:revision>
  <cp:lastPrinted>2018-05-18T00:01:00Z</cp:lastPrinted>
  <dcterms:created xsi:type="dcterms:W3CDTF">2018-05-18T00:02:00Z</dcterms:created>
  <dcterms:modified xsi:type="dcterms:W3CDTF">2018-05-18T00:02:00Z</dcterms:modified>
</cp:coreProperties>
</file>