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B6D" w:rsidRPr="003F1B73" w:rsidRDefault="00182B6D" w:rsidP="00182B6D">
      <w:pPr>
        <w:pStyle w:val="AttorneyName"/>
        <w:rPr>
          <w:sz w:val="28"/>
        </w:rPr>
      </w:pPr>
      <w:r w:rsidRPr="003F1B73">
        <w:rPr>
          <w:sz w:val="28"/>
        </w:rPr>
        <w:t>Lawrence F. Winthrop</w:t>
      </w:r>
    </w:p>
    <w:p w:rsidR="00182B6D" w:rsidRPr="003F1B73" w:rsidRDefault="00182B6D" w:rsidP="00182B6D">
      <w:pPr>
        <w:pStyle w:val="AttorneyName"/>
        <w:rPr>
          <w:sz w:val="28"/>
        </w:rPr>
      </w:pPr>
      <w:r w:rsidRPr="003F1B73">
        <w:rPr>
          <w:sz w:val="28"/>
        </w:rPr>
        <w:t>Arizona Commission on Access to Justice</w:t>
      </w:r>
    </w:p>
    <w:p w:rsidR="00182B6D" w:rsidRPr="003F1B73" w:rsidRDefault="00182B6D" w:rsidP="00182B6D">
      <w:pPr>
        <w:pStyle w:val="AttorneyName"/>
        <w:rPr>
          <w:sz w:val="28"/>
        </w:rPr>
      </w:pPr>
      <w:r w:rsidRPr="003F1B73">
        <w:rPr>
          <w:sz w:val="28"/>
        </w:rPr>
        <w:t>1</w:t>
      </w:r>
      <w:r>
        <w:rPr>
          <w:sz w:val="28"/>
        </w:rPr>
        <w:t>501 W. Washington St.</w:t>
      </w:r>
      <w:r w:rsidRPr="003F1B73">
        <w:rPr>
          <w:sz w:val="28"/>
        </w:rPr>
        <w:t>, Suite 410</w:t>
      </w:r>
    </w:p>
    <w:p w:rsidR="00182B6D" w:rsidRPr="003F1B73" w:rsidRDefault="00182B6D" w:rsidP="00182B6D">
      <w:pPr>
        <w:pStyle w:val="AttorneyName"/>
        <w:rPr>
          <w:sz w:val="28"/>
        </w:rPr>
      </w:pPr>
      <w:r w:rsidRPr="003F1B73">
        <w:rPr>
          <w:sz w:val="28"/>
        </w:rPr>
        <w:t>Phoenix, AZ 85007</w:t>
      </w:r>
    </w:p>
    <w:p w:rsidR="00182B6D" w:rsidRPr="003F1B73" w:rsidRDefault="00182B6D" w:rsidP="00182B6D">
      <w:pPr>
        <w:pStyle w:val="AttorneyName"/>
        <w:ind w:firstLine="180"/>
        <w:rPr>
          <w:sz w:val="28"/>
        </w:rPr>
      </w:pPr>
    </w:p>
    <w:p w:rsidR="00182B6D" w:rsidRPr="00BC2145" w:rsidRDefault="00182B6D" w:rsidP="00182B6D">
      <w:pPr>
        <w:pStyle w:val="CourtName"/>
        <w:ind w:firstLine="180"/>
        <w:rPr>
          <w:rStyle w:val="CourtNameChar"/>
          <w:b/>
          <w:caps/>
          <w:sz w:val="28"/>
        </w:rPr>
      </w:pPr>
      <w:r w:rsidRPr="00BC2145">
        <w:rPr>
          <w:rStyle w:val="CourtNameChar"/>
          <w:b/>
          <w:sz w:val="28"/>
        </w:rPr>
        <w:t>IN THE SUPREME COURT</w:t>
      </w:r>
    </w:p>
    <w:p w:rsidR="00182B6D" w:rsidRPr="00BC2145" w:rsidRDefault="00182B6D" w:rsidP="00182B6D">
      <w:pPr>
        <w:pStyle w:val="CourtName"/>
        <w:ind w:firstLine="180"/>
        <w:rPr>
          <w:rStyle w:val="CourtNameChar"/>
          <w:b/>
          <w:caps/>
          <w:sz w:val="28"/>
        </w:rPr>
      </w:pPr>
      <w:r>
        <w:rPr>
          <w:rStyle w:val="CourtNameChar"/>
          <w:b/>
          <w:sz w:val="28"/>
        </w:rPr>
        <w:t>S</w:t>
      </w:r>
      <w:r w:rsidRPr="00BC2145">
        <w:rPr>
          <w:rStyle w:val="CourtNameChar"/>
          <w:b/>
          <w:sz w:val="28"/>
        </w:rPr>
        <w:t xml:space="preserve">TATE OF </w:t>
      </w:r>
      <w:r>
        <w:rPr>
          <w:rStyle w:val="CourtNameChar"/>
          <w:b/>
          <w:sz w:val="28"/>
        </w:rPr>
        <w:t>A</w:t>
      </w:r>
      <w:r w:rsidRPr="00BC2145">
        <w:rPr>
          <w:rStyle w:val="CourtNameChar"/>
          <w:b/>
          <w:sz w:val="28"/>
        </w:rPr>
        <w:t>RIZONA</w:t>
      </w:r>
    </w:p>
    <w:tbl>
      <w:tblPr>
        <w:tblW w:w="5000" w:type="pct"/>
        <w:tblLayout w:type="fixed"/>
        <w:tblCellMar>
          <w:left w:w="0" w:type="dxa"/>
          <w:right w:w="0" w:type="dxa"/>
        </w:tblCellMar>
        <w:tblLook w:val="04A0" w:firstRow="1" w:lastRow="0" w:firstColumn="1" w:lastColumn="0" w:noHBand="0" w:noVBand="1"/>
        <w:tblDescription w:val="Pleading information"/>
      </w:tblPr>
      <w:tblGrid>
        <w:gridCol w:w="4896"/>
        <w:gridCol w:w="4896"/>
      </w:tblGrid>
      <w:tr w:rsidR="00182B6D" w:rsidRPr="003F1B73" w:rsidTr="00621EB5">
        <w:tc>
          <w:tcPr>
            <w:tcW w:w="2500" w:type="pct"/>
          </w:tcPr>
          <w:p w:rsidR="00182B6D" w:rsidRDefault="00182B6D" w:rsidP="00621EB5">
            <w:pPr>
              <w:spacing w:line="264" w:lineRule="auto"/>
              <w:ind w:firstLine="180"/>
              <w:rPr>
                <w:sz w:val="28"/>
              </w:rPr>
            </w:pPr>
          </w:p>
          <w:p w:rsidR="00182B6D" w:rsidRDefault="00182B6D" w:rsidP="00621EB5">
            <w:pPr>
              <w:spacing w:line="264" w:lineRule="auto"/>
              <w:ind w:firstLine="0"/>
              <w:rPr>
                <w:sz w:val="28"/>
              </w:rPr>
            </w:pPr>
            <w:r>
              <w:rPr>
                <w:sz w:val="28"/>
              </w:rPr>
              <w:t>In the Matter of:</w:t>
            </w:r>
          </w:p>
          <w:p w:rsidR="00182B6D" w:rsidRDefault="00182B6D" w:rsidP="00621EB5">
            <w:pPr>
              <w:spacing w:line="264" w:lineRule="auto"/>
              <w:ind w:firstLine="0"/>
              <w:rPr>
                <w:sz w:val="28"/>
              </w:rPr>
            </w:pPr>
          </w:p>
          <w:p w:rsidR="00182B6D" w:rsidRDefault="00182B6D" w:rsidP="00621EB5">
            <w:pPr>
              <w:spacing w:line="264" w:lineRule="auto"/>
              <w:ind w:firstLine="0"/>
              <w:rPr>
                <w:sz w:val="28"/>
              </w:rPr>
            </w:pPr>
            <w:r>
              <w:rPr>
                <w:sz w:val="28"/>
              </w:rPr>
              <w:t>PETITION TO AMEND RULE</w:t>
            </w:r>
            <w:r w:rsidR="00A26BB4">
              <w:rPr>
                <w:sz w:val="28"/>
              </w:rPr>
              <w:t>S</w:t>
            </w:r>
            <w:r>
              <w:rPr>
                <w:sz w:val="28"/>
              </w:rPr>
              <w:t xml:space="preserve"> </w:t>
            </w:r>
            <w:r w:rsidR="00A26BB4">
              <w:rPr>
                <w:sz w:val="28"/>
              </w:rPr>
              <w:t>5(a) AND (b), AND RULE</w:t>
            </w:r>
            <w:r>
              <w:rPr>
                <w:sz w:val="28"/>
              </w:rPr>
              <w:t xml:space="preserve"> </w:t>
            </w:r>
            <w:r w:rsidR="00A26BB4">
              <w:rPr>
                <w:sz w:val="28"/>
              </w:rPr>
              <w:t xml:space="preserve">13(a) </w:t>
            </w:r>
            <w:r>
              <w:rPr>
                <w:sz w:val="28"/>
              </w:rPr>
              <w:t xml:space="preserve">OF THE ARIZONA RULES OF </w:t>
            </w:r>
            <w:r w:rsidR="00A26BB4">
              <w:rPr>
                <w:sz w:val="28"/>
              </w:rPr>
              <w:t>PROCEDURE FOR EVICTION ACTIONS</w:t>
            </w:r>
          </w:p>
          <w:p w:rsidR="00531AE2" w:rsidRDefault="00531AE2" w:rsidP="00621EB5">
            <w:pPr>
              <w:spacing w:line="264" w:lineRule="auto"/>
              <w:ind w:firstLine="0"/>
              <w:rPr>
                <w:sz w:val="28"/>
              </w:rPr>
            </w:pPr>
          </w:p>
          <w:p w:rsidR="00531AE2" w:rsidRDefault="00531AE2" w:rsidP="00621EB5">
            <w:pPr>
              <w:spacing w:line="264" w:lineRule="auto"/>
              <w:ind w:firstLine="0"/>
              <w:rPr>
                <w:sz w:val="28"/>
              </w:rPr>
            </w:pPr>
          </w:p>
          <w:p w:rsidR="00531AE2" w:rsidRDefault="00531AE2" w:rsidP="00621EB5">
            <w:pPr>
              <w:spacing w:line="264" w:lineRule="auto"/>
              <w:ind w:firstLine="0"/>
              <w:rPr>
                <w:sz w:val="28"/>
              </w:rPr>
            </w:pPr>
          </w:p>
          <w:p w:rsidR="00531AE2" w:rsidRDefault="00531AE2" w:rsidP="00621EB5">
            <w:pPr>
              <w:spacing w:line="264" w:lineRule="auto"/>
              <w:ind w:firstLine="0"/>
              <w:rPr>
                <w:sz w:val="28"/>
              </w:rPr>
            </w:pPr>
          </w:p>
          <w:p w:rsidR="00531AE2" w:rsidRPr="00531AE2" w:rsidRDefault="00531AE2" w:rsidP="00621EB5">
            <w:pPr>
              <w:spacing w:line="264" w:lineRule="auto"/>
              <w:ind w:firstLine="0"/>
              <w:rPr>
                <w:b/>
                <w:sz w:val="28"/>
              </w:rPr>
            </w:pPr>
            <w:r w:rsidRPr="00531AE2">
              <w:rPr>
                <w:b/>
                <w:sz w:val="28"/>
              </w:rPr>
              <w:t xml:space="preserve">            </w:t>
            </w:r>
          </w:p>
        </w:tc>
        <w:tc>
          <w:tcPr>
            <w:tcW w:w="2500" w:type="pct"/>
            <w:tcMar>
              <w:left w:w="115" w:type="dxa"/>
            </w:tcMar>
          </w:tcPr>
          <w:p w:rsidR="00182B6D" w:rsidRDefault="00182B6D" w:rsidP="0006693A">
            <w:pPr>
              <w:pStyle w:val="Pleadingtitle"/>
              <w:jc w:val="center"/>
              <w:rPr>
                <w:sz w:val="28"/>
              </w:rPr>
            </w:pPr>
          </w:p>
          <w:p w:rsidR="00A26BB4" w:rsidRDefault="00A26BB4" w:rsidP="0006693A">
            <w:pPr>
              <w:pStyle w:val="Pleadingtitle"/>
              <w:jc w:val="center"/>
              <w:rPr>
                <w:sz w:val="28"/>
              </w:rPr>
            </w:pPr>
            <w:r>
              <w:rPr>
                <w:sz w:val="28"/>
              </w:rPr>
              <w:t>suPREME COURT</w:t>
            </w:r>
            <w:r w:rsidR="0006693A">
              <w:rPr>
                <w:sz w:val="28"/>
              </w:rPr>
              <w:t xml:space="preserve"> NO. r-18-0020</w:t>
            </w:r>
          </w:p>
          <w:p w:rsidR="00A26BB4" w:rsidRDefault="00A26BB4" w:rsidP="0006693A">
            <w:pPr>
              <w:pStyle w:val="Pleadingtitle"/>
              <w:jc w:val="center"/>
              <w:rPr>
                <w:sz w:val="28"/>
              </w:rPr>
            </w:pPr>
          </w:p>
          <w:p w:rsidR="0006693A" w:rsidRDefault="0006693A" w:rsidP="0006693A">
            <w:pPr>
              <w:pStyle w:val="Pleadingtitle"/>
              <w:jc w:val="center"/>
              <w:rPr>
                <w:sz w:val="28"/>
              </w:rPr>
            </w:pPr>
            <w:r>
              <w:rPr>
                <w:sz w:val="28"/>
              </w:rPr>
              <w:t>COMMENT BY ARIZONA</w:t>
            </w:r>
          </w:p>
          <w:p w:rsidR="00C84A2C" w:rsidRPr="003F1B73" w:rsidRDefault="00C84A2C" w:rsidP="0006693A">
            <w:pPr>
              <w:pStyle w:val="Pleadingtitle"/>
              <w:jc w:val="center"/>
              <w:rPr>
                <w:sz w:val="28"/>
              </w:rPr>
            </w:pPr>
            <w:r>
              <w:rPr>
                <w:sz w:val="28"/>
              </w:rPr>
              <w:t>COMMISSION ON ACCESS TO JUSTICE</w:t>
            </w:r>
          </w:p>
        </w:tc>
      </w:tr>
    </w:tbl>
    <w:p w:rsidR="00182B6D" w:rsidRPr="003F1B73" w:rsidRDefault="00182B6D" w:rsidP="00182B6D">
      <w:pPr>
        <w:pStyle w:val="NoSpacing"/>
        <w:ind w:firstLine="180"/>
        <w:rPr>
          <w:sz w:val="28"/>
        </w:rPr>
      </w:pPr>
    </w:p>
    <w:p w:rsidR="0006693A" w:rsidRDefault="0006693A" w:rsidP="00182B6D">
      <w:pPr>
        <w:ind w:right="180" w:firstLine="720"/>
        <w:jc w:val="both"/>
        <w:rPr>
          <w:sz w:val="28"/>
          <w:szCs w:val="28"/>
        </w:rPr>
      </w:pPr>
      <w:r w:rsidRPr="00531AE2">
        <w:rPr>
          <w:b/>
          <w:sz w:val="28"/>
        </w:rPr>
        <w:t>Introduction</w:t>
      </w:r>
      <w:r w:rsidRPr="00603602">
        <w:rPr>
          <w:sz w:val="28"/>
          <w:szCs w:val="28"/>
        </w:rPr>
        <w:t xml:space="preserve"> </w:t>
      </w:r>
    </w:p>
    <w:p w:rsidR="009C53BC" w:rsidRDefault="00182B6D" w:rsidP="00182B6D">
      <w:pPr>
        <w:ind w:right="180" w:firstLine="720"/>
        <w:jc w:val="both"/>
        <w:rPr>
          <w:sz w:val="28"/>
          <w:szCs w:val="28"/>
        </w:rPr>
      </w:pPr>
      <w:r w:rsidRPr="00603602">
        <w:rPr>
          <w:sz w:val="28"/>
          <w:szCs w:val="28"/>
        </w:rPr>
        <w:t xml:space="preserve">The Arizona Commission on Access to Justice (ACAJ) was established by Administrative Order 2014-83, pursuant to the Court’s </w:t>
      </w:r>
      <w:r>
        <w:rPr>
          <w:sz w:val="28"/>
          <w:szCs w:val="28"/>
        </w:rPr>
        <w:t xml:space="preserve">5-year </w:t>
      </w:r>
      <w:r w:rsidRPr="00603602">
        <w:rPr>
          <w:sz w:val="28"/>
          <w:szCs w:val="28"/>
        </w:rPr>
        <w:t xml:space="preserve">strategic agenda of “Advancing Justice Together:  Courts and Communities.”  The order specifically directs the ACAJ, among other things, to make recommendations </w:t>
      </w:r>
      <w:r w:rsidR="006C07E0">
        <w:rPr>
          <w:sz w:val="28"/>
          <w:szCs w:val="28"/>
        </w:rPr>
        <w:t xml:space="preserve">that provide meaningful access to the court system, particularly for those individuals representing themselves in </w:t>
      </w:r>
      <w:r>
        <w:rPr>
          <w:sz w:val="28"/>
          <w:szCs w:val="28"/>
        </w:rPr>
        <w:t>eviction matters.</w:t>
      </w:r>
    </w:p>
    <w:p w:rsidR="00531AE2" w:rsidRDefault="00531AE2" w:rsidP="00182B6D">
      <w:pPr>
        <w:ind w:right="180" w:firstLine="720"/>
        <w:jc w:val="both"/>
        <w:rPr>
          <w:sz w:val="28"/>
          <w:szCs w:val="28"/>
        </w:rPr>
      </w:pPr>
    </w:p>
    <w:p w:rsidR="00531AE2" w:rsidRPr="00531AE2" w:rsidRDefault="00531AE2" w:rsidP="00182B6D">
      <w:pPr>
        <w:ind w:right="180" w:firstLine="720"/>
        <w:jc w:val="both"/>
        <w:rPr>
          <w:b/>
          <w:sz w:val="28"/>
          <w:szCs w:val="28"/>
        </w:rPr>
      </w:pPr>
      <w:r w:rsidRPr="00531AE2">
        <w:rPr>
          <w:b/>
          <w:sz w:val="28"/>
          <w:szCs w:val="28"/>
        </w:rPr>
        <w:t>The Need for Rule Changes</w:t>
      </w:r>
    </w:p>
    <w:p w:rsidR="000556A2" w:rsidRDefault="000556A2" w:rsidP="000556A2">
      <w:pPr>
        <w:ind w:right="180" w:firstLine="720"/>
        <w:jc w:val="both"/>
        <w:rPr>
          <w:sz w:val="28"/>
          <w:szCs w:val="28"/>
        </w:rPr>
      </w:pPr>
      <w:r>
        <w:rPr>
          <w:sz w:val="28"/>
          <w:szCs w:val="28"/>
        </w:rPr>
        <w:t xml:space="preserve">The proposed </w:t>
      </w:r>
      <w:r w:rsidR="003F4A48">
        <w:rPr>
          <w:sz w:val="28"/>
          <w:szCs w:val="28"/>
        </w:rPr>
        <w:t>R</w:t>
      </w:r>
      <w:r>
        <w:rPr>
          <w:sz w:val="28"/>
          <w:szCs w:val="28"/>
        </w:rPr>
        <w:t xml:space="preserve">ule </w:t>
      </w:r>
      <w:r w:rsidR="003F4A48">
        <w:rPr>
          <w:sz w:val="28"/>
          <w:szCs w:val="28"/>
        </w:rPr>
        <w:t xml:space="preserve">changes </w:t>
      </w:r>
      <w:r>
        <w:rPr>
          <w:sz w:val="28"/>
          <w:szCs w:val="28"/>
        </w:rPr>
        <w:t xml:space="preserve">provide (1) that the landlord is required in the complaint to advise the court that the subject housing unit is a subsidized unit, and if so, to specifically allege what portion of the unpaid rent is the responsibility of the tenant (proposed Rule 5(b)(8)); and (2) that the court </w:t>
      </w:r>
      <w:r w:rsidR="00C84A2C">
        <w:rPr>
          <w:sz w:val="28"/>
          <w:szCs w:val="28"/>
        </w:rPr>
        <w:t>determine</w:t>
      </w:r>
      <w:r w:rsidR="00F473B4">
        <w:rPr>
          <w:sz w:val="28"/>
          <w:szCs w:val="28"/>
        </w:rPr>
        <w:t xml:space="preserve"> whether the rental is subsidized, and if so, determine whether there is unpaid rent</w:t>
      </w:r>
      <w:r>
        <w:rPr>
          <w:sz w:val="28"/>
          <w:szCs w:val="28"/>
        </w:rPr>
        <w:t xml:space="preserve"> </w:t>
      </w:r>
      <w:r w:rsidR="00F473B4">
        <w:rPr>
          <w:sz w:val="28"/>
          <w:szCs w:val="28"/>
        </w:rPr>
        <w:t>that the tenant is obligated to pay as his/her portion of the rent.</w:t>
      </w:r>
      <w:r w:rsidR="00777CA3">
        <w:rPr>
          <w:sz w:val="28"/>
          <w:szCs w:val="28"/>
        </w:rPr>
        <w:t xml:space="preserve"> </w:t>
      </w:r>
      <w:r>
        <w:rPr>
          <w:sz w:val="28"/>
          <w:szCs w:val="28"/>
        </w:rPr>
        <w:t>(proposed Rule 13(a)(5)).</w:t>
      </w:r>
    </w:p>
    <w:p w:rsidR="00A2360B" w:rsidRDefault="00C14D72" w:rsidP="00182B6D">
      <w:pPr>
        <w:ind w:right="180" w:firstLine="720"/>
        <w:jc w:val="both"/>
        <w:rPr>
          <w:sz w:val="28"/>
          <w:szCs w:val="28"/>
        </w:rPr>
      </w:pPr>
      <w:r>
        <w:rPr>
          <w:sz w:val="28"/>
          <w:szCs w:val="28"/>
        </w:rPr>
        <w:t>W</w:t>
      </w:r>
      <w:r w:rsidR="009C53BC">
        <w:rPr>
          <w:sz w:val="28"/>
          <w:szCs w:val="28"/>
        </w:rPr>
        <w:t xml:space="preserve">hether a tenant being sued for forcible detainer is living in subsidized housing is an important factor for the court’s consideration in determining whether and to what extent, if at all, a tenant is in default as to his or her portion of the total rent allegedly owed for the premises.  </w:t>
      </w:r>
      <w:r>
        <w:rPr>
          <w:sz w:val="28"/>
          <w:szCs w:val="28"/>
        </w:rPr>
        <w:t xml:space="preserve">The proposed </w:t>
      </w:r>
      <w:r w:rsidR="003F4A48">
        <w:rPr>
          <w:sz w:val="28"/>
          <w:szCs w:val="28"/>
        </w:rPr>
        <w:t>R</w:t>
      </w:r>
      <w:r>
        <w:rPr>
          <w:sz w:val="28"/>
          <w:szCs w:val="28"/>
        </w:rPr>
        <w:t>ule change is critical because</w:t>
      </w:r>
      <w:r w:rsidR="000556A2">
        <w:rPr>
          <w:sz w:val="28"/>
          <w:szCs w:val="28"/>
        </w:rPr>
        <w:t xml:space="preserve">, under the existing </w:t>
      </w:r>
      <w:r w:rsidR="003F4A48">
        <w:rPr>
          <w:sz w:val="28"/>
          <w:szCs w:val="28"/>
        </w:rPr>
        <w:t>R</w:t>
      </w:r>
      <w:r w:rsidR="000556A2">
        <w:rPr>
          <w:sz w:val="28"/>
          <w:szCs w:val="28"/>
        </w:rPr>
        <w:t>ule</w:t>
      </w:r>
      <w:r w:rsidR="00A2360B">
        <w:rPr>
          <w:sz w:val="28"/>
          <w:szCs w:val="28"/>
        </w:rPr>
        <w:t xml:space="preserve">, the judges are </w:t>
      </w:r>
      <w:r w:rsidR="00531AE2">
        <w:rPr>
          <w:sz w:val="28"/>
          <w:szCs w:val="28"/>
        </w:rPr>
        <w:t>not in</w:t>
      </w:r>
      <w:r w:rsidR="000556A2">
        <w:rPr>
          <w:sz w:val="28"/>
          <w:szCs w:val="28"/>
        </w:rPr>
        <w:t xml:space="preserve"> some instances</w:t>
      </w:r>
      <w:r w:rsidR="00A2360B">
        <w:rPr>
          <w:sz w:val="28"/>
          <w:szCs w:val="28"/>
        </w:rPr>
        <w:t xml:space="preserve"> </w:t>
      </w:r>
      <w:r w:rsidR="003F4A48">
        <w:rPr>
          <w:sz w:val="28"/>
          <w:szCs w:val="28"/>
        </w:rPr>
        <w:t xml:space="preserve">being advised </w:t>
      </w:r>
      <w:r w:rsidR="00A2360B">
        <w:rPr>
          <w:sz w:val="28"/>
          <w:szCs w:val="28"/>
        </w:rPr>
        <w:t>whether the property is subsidized.  Without requiring that information, the court may inadvertently and illegally evict a tenant who is not in default.</w:t>
      </w:r>
    </w:p>
    <w:p w:rsidR="000556A2" w:rsidRDefault="000556A2" w:rsidP="00182B6D">
      <w:pPr>
        <w:ind w:right="180" w:firstLine="720"/>
        <w:jc w:val="both"/>
        <w:rPr>
          <w:sz w:val="28"/>
          <w:szCs w:val="28"/>
        </w:rPr>
      </w:pPr>
      <w:r>
        <w:rPr>
          <w:sz w:val="28"/>
          <w:szCs w:val="28"/>
        </w:rPr>
        <w:t xml:space="preserve">The ramifications of a tenant being evicted from subsidized housing are significant, and likely permanent in nature, particularly as it relates to that tenant’s ability to obtain alternative housing and continue to participate in a subsidized </w:t>
      </w:r>
      <w:r>
        <w:rPr>
          <w:sz w:val="28"/>
          <w:szCs w:val="28"/>
        </w:rPr>
        <w:lastRenderedPageBreak/>
        <w:t xml:space="preserve">housing program, all as detailed in the original petition (see p. 7, lines 6-18). </w:t>
      </w:r>
      <w:r w:rsidR="00777CA3">
        <w:rPr>
          <w:sz w:val="28"/>
          <w:szCs w:val="28"/>
        </w:rPr>
        <w:t xml:space="preserve"> </w:t>
      </w:r>
      <w:r>
        <w:rPr>
          <w:sz w:val="28"/>
          <w:szCs w:val="28"/>
        </w:rPr>
        <w:t>This information is clearly within the knowledge and control of the landlord, and does not require any additional information or impose any additional legal expense on the landlord to be included in the complaint for possession and damages.</w:t>
      </w:r>
    </w:p>
    <w:p w:rsidR="003F4A48" w:rsidRDefault="009C53BC" w:rsidP="00182B6D">
      <w:pPr>
        <w:ind w:right="180" w:firstLine="720"/>
        <w:jc w:val="both"/>
        <w:rPr>
          <w:sz w:val="28"/>
          <w:szCs w:val="28"/>
        </w:rPr>
      </w:pPr>
      <w:r>
        <w:rPr>
          <w:sz w:val="28"/>
          <w:szCs w:val="28"/>
        </w:rPr>
        <w:t>This issue</w:t>
      </w:r>
      <w:r w:rsidR="006B33B6">
        <w:rPr>
          <w:sz w:val="28"/>
          <w:szCs w:val="28"/>
        </w:rPr>
        <w:t>, and the subject Rule petition,</w:t>
      </w:r>
      <w:r>
        <w:rPr>
          <w:sz w:val="28"/>
          <w:szCs w:val="28"/>
        </w:rPr>
        <w:t xml:space="preserve"> has been discussed at length in the Commission’s work group dedicated to limited jurisdiction court issues.  Members of that work group include justices of the peace (who primarily deal with residential landlord-tenant and eviction issues), court administrators, attorneys representing landlords</w:t>
      </w:r>
      <w:r w:rsidR="006C07E0">
        <w:rPr>
          <w:sz w:val="28"/>
          <w:szCs w:val="28"/>
        </w:rPr>
        <w:t>,</w:t>
      </w:r>
      <w:r>
        <w:rPr>
          <w:sz w:val="28"/>
          <w:szCs w:val="28"/>
        </w:rPr>
        <w:t xml:space="preserve"> and legal services attorneys who periodically are involved in representing tenants who qualify for civil legal aid in Arizona.  </w:t>
      </w:r>
      <w:r w:rsidR="004D6FA1">
        <w:rPr>
          <w:sz w:val="28"/>
          <w:szCs w:val="28"/>
        </w:rPr>
        <w:t>All members</w:t>
      </w:r>
      <w:r w:rsidR="001D7BFB">
        <w:rPr>
          <w:sz w:val="28"/>
          <w:szCs w:val="28"/>
        </w:rPr>
        <w:t xml:space="preserve"> generally </w:t>
      </w:r>
      <w:r>
        <w:rPr>
          <w:sz w:val="28"/>
          <w:szCs w:val="28"/>
        </w:rPr>
        <w:t xml:space="preserve">agree that whether the subject premises </w:t>
      </w:r>
      <w:r w:rsidR="001D7BFB">
        <w:rPr>
          <w:sz w:val="28"/>
          <w:szCs w:val="28"/>
        </w:rPr>
        <w:t>are part of a subsidized housing program</w:t>
      </w:r>
      <w:r>
        <w:rPr>
          <w:sz w:val="28"/>
          <w:szCs w:val="28"/>
        </w:rPr>
        <w:t xml:space="preserve"> </w:t>
      </w:r>
      <w:r w:rsidR="001D7BFB">
        <w:rPr>
          <w:sz w:val="28"/>
          <w:szCs w:val="28"/>
        </w:rPr>
        <w:t>is an important and relevant piece of information</w:t>
      </w:r>
      <w:r w:rsidR="000556A2">
        <w:rPr>
          <w:sz w:val="28"/>
          <w:szCs w:val="28"/>
        </w:rPr>
        <w:t>, and that the FED complaint should indicate whether the subject property is subsidized housing</w:t>
      </w:r>
      <w:r w:rsidR="00777CA3">
        <w:rPr>
          <w:sz w:val="28"/>
          <w:szCs w:val="28"/>
        </w:rPr>
        <w:t>.</w:t>
      </w:r>
    </w:p>
    <w:p w:rsidR="002A7686" w:rsidRDefault="000556A2" w:rsidP="00182B6D">
      <w:pPr>
        <w:ind w:right="180" w:firstLine="720"/>
        <w:jc w:val="both"/>
        <w:rPr>
          <w:sz w:val="28"/>
          <w:szCs w:val="28"/>
        </w:rPr>
      </w:pPr>
      <w:r>
        <w:rPr>
          <w:sz w:val="28"/>
          <w:szCs w:val="28"/>
        </w:rPr>
        <w:t xml:space="preserve">There were some divergent views on </w:t>
      </w:r>
      <w:r w:rsidR="00E576E3">
        <w:rPr>
          <w:sz w:val="28"/>
          <w:szCs w:val="28"/>
        </w:rPr>
        <w:t xml:space="preserve">the exact language to be utilized in the proposed subsections.  The Commission voted to advise the Court of its overall support for the proposed rule change, and to advise the Court in this comment </w:t>
      </w:r>
      <w:r w:rsidR="00531AE2">
        <w:rPr>
          <w:sz w:val="28"/>
          <w:szCs w:val="28"/>
        </w:rPr>
        <w:t>of alternative suggestions</w:t>
      </w:r>
      <w:r w:rsidR="00F473B4">
        <w:rPr>
          <w:sz w:val="28"/>
          <w:szCs w:val="28"/>
        </w:rPr>
        <w:t xml:space="preserve"> offered with respect to these two proposed new subsections.</w:t>
      </w:r>
    </w:p>
    <w:p w:rsidR="00777CA3" w:rsidRDefault="00777CA3" w:rsidP="00182B6D">
      <w:pPr>
        <w:ind w:right="180" w:firstLine="720"/>
        <w:jc w:val="both"/>
        <w:rPr>
          <w:b/>
          <w:sz w:val="28"/>
          <w:szCs w:val="28"/>
        </w:rPr>
      </w:pPr>
    </w:p>
    <w:p w:rsidR="00777CA3" w:rsidRDefault="00777CA3" w:rsidP="00182B6D">
      <w:pPr>
        <w:ind w:right="180" w:firstLine="720"/>
        <w:jc w:val="both"/>
        <w:rPr>
          <w:b/>
          <w:sz w:val="28"/>
          <w:szCs w:val="28"/>
        </w:rPr>
      </w:pPr>
    </w:p>
    <w:p w:rsidR="000556A2" w:rsidRPr="003F4A48" w:rsidRDefault="000556A2" w:rsidP="00182B6D">
      <w:pPr>
        <w:ind w:right="180" w:firstLine="720"/>
        <w:jc w:val="both"/>
        <w:rPr>
          <w:b/>
          <w:sz w:val="28"/>
          <w:szCs w:val="28"/>
        </w:rPr>
      </w:pPr>
      <w:r w:rsidRPr="003F4A48">
        <w:rPr>
          <w:b/>
          <w:sz w:val="28"/>
          <w:szCs w:val="28"/>
        </w:rPr>
        <w:t>Proposed Rule 5</w:t>
      </w:r>
      <w:r w:rsidR="00F473B4">
        <w:rPr>
          <w:b/>
          <w:sz w:val="28"/>
          <w:szCs w:val="28"/>
        </w:rPr>
        <w:t xml:space="preserve"> </w:t>
      </w:r>
      <w:r w:rsidRPr="003F4A48">
        <w:rPr>
          <w:b/>
          <w:sz w:val="28"/>
          <w:szCs w:val="28"/>
        </w:rPr>
        <w:t>(b)(8)</w:t>
      </w:r>
    </w:p>
    <w:p w:rsidR="00F473B4" w:rsidRDefault="004D6FA1" w:rsidP="00182B6D">
      <w:pPr>
        <w:ind w:right="180" w:firstLine="720"/>
        <w:jc w:val="both"/>
        <w:rPr>
          <w:sz w:val="28"/>
          <w:szCs w:val="28"/>
        </w:rPr>
      </w:pPr>
      <w:r w:rsidRPr="00AD6974">
        <w:rPr>
          <w:sz w:val="28"/>
          <w:szCs w:val="28"/>
        </w:rPr>
        <w:t xml:space="preserve">The proposed language </w:t>
      </w:r>
      <w:r w:rsidR="00BF37F4" w:rsidRPr="00AD6974">
        <w:rPr>
          <w:sz w:val="28"/>
          <w:szCs w:val="28"/>
        </w:rPr>
        <w:t>for Rule 5 (b)(8) requires</w:t>
      </w:r>
      <w:r w:rsidRPr="00AD6974">
        <w:rPr>
          <w:sz w:val="28"/>
          <w:szCs w:val="28"/>
        </w:rPr>
        <w:t xml:space="preserve"> the complaint </w:t>
      </w:r>
      <w:r w:rsidR="00BF37F4" w:rsidRPr="00AD6974">
        <w:rPr>
          <w:sz w:val="28"/>
          <w:szCs w:val="28"/>
        </w:rPr>
        <w:t>to</w:t>
      </w:r>
      <w:r w:rsidRPr="00AD6974">
        <w:rPr>
          <w:sz w:val="28"/>
          <w:szCs w:val="28"/>
        </w:rPr>
        <w:t xml:space="preserve"> </w:t>
      </w:r>
      <w:r w:rsidR="00BF37F4" w:rsidRPr="00AD6974">
        <w:rPr>
          <w:sz w:val="28"/>
          <w:szCs w:val="28"/>
        </w:rPr>
        <w:t>“S</w:t>
      </w:r>
      <w:r w:rsidRPr="00AD6974">
        <w:rPr>
          <w:sz w:val="28"/>
          <w:szCs w:val="28"/>
        </w:rPr>
        <w:t xml:space="preserve">tate </w:t>
      </w:r>
      <w:proofErr w:type="gramStart"/>
      <w:r w:rsidRPr="00AD6974">
        <w:rPr>
          <w:sz w:val="28"/>
          <w:szCs w:val="28"/>
        </w:rPr>
        <w:t>whether or not</w:t>
      </w:r>
      <w:proofErr w:type="gramEnd"/>
      <w:r w:rsidRPr="00AD6974">
        <w:rPr>
          <w:sz w:val="28"/>
          <w:szCs w:val="28"/>
        </w:rPr>
        <w:t xml:space="preserve"> the rental is</w:t>
      </w:r>
      <w:r w:rsidR="00B42824" w:rsidRPr="00AD6974">
        <w:rPr>
          <w:sz w:val="28"/>
          <w:szCs w:val="28"/>
        </w:rPr>
        <w:t xml:space="preserve"> </w:t>
      </w:r>
      <w:r w:rsidR="00C779D4" w:rsidRPr="00AD6974">
        <w:rPr>
          <w:sz w:val="28"/>
          <w:szCs w:val="28"/>
        </w:rPr>
        <w:t xml:space="preserve">a </w:t>
      </w:r>
      <w:r w:rsidRPr="00AD6974">
        <w:rPr>
          <w:sz w:val="28"/>
          <w:szCs w:val="28"/>
        </w:rPr>
        <w:t>subsidized</w:t>
      </w:r>
      <w:r w:rsidR="00C779D4" w:rsidRPr="00AD6974">
        <w:rPr>
          <w:sz w:val="28"/>
          <w:szCs w:val="28"/>
        </w:rPr>
        <w:t xml:space="preserve"> housing unit</w:t>
      </w:r>
      <w:r w:rsidR="00777CA3">
        <w:rPr>
          <w:sz w:val="28"/>
          <w:szCs w:val="28"/>
        </w:rPr>
        <w:t xml:space="preserve"> </w:t>
      </w:r>
      <w:r w:rsidRPr="00AD6974">
        <w:rPr>
          <w:sz w:val="28"/>
          <w:szCs w:val="28"/>
        </w:rPr>
        <w:t>…”</w:t>
      </w:r>
      <w:r w:rsidR="00777CA3">
        <w:rPr>
          <w:sz w:val="28"/>
          <w:szCs w:val="28"/>
        </w:rPr>
        <w:t xml:space="preserve"> </w:t>
      </w:r>
      <w:r w:rsidRPr="00AD6974">
        <w:rPr>
          <w:sz w:val="28"/>
          <w:szCs w:val="28"/>
        </w:rPr>
        <w:t xml:space="preserve"> </w:t>
      </w:r>
      <w:r w:rsidR="00A2360B">
        <w:rPr>
          <w:sz w:val="28"/>
          <w:szCs w:val="28"/>
        </w:rPr>
        <w:t>The judicial members of our workgroup propose that t</w:t>
      </w:r>
      <w:r w:rsidRPr="00AD6974">
        <w:rPr>
          <w:sz w:val="28"/>
          <w:szCs w:val="28"/>
        </w:rPr>
        <w:t xml:space="preserve">he pleading shouldn’t have to say what it is not; it just needs to state if it is a subsidized rental, and </w:t>
      </w:r>
      <w:r w:rsidR="00A2360B">
        <w:rPr>
          <w:sz w:val="28"/>
          <w:szCs w:val="28"/>
        </w:rPr>
        <w:t>they</w:t>
      </w:r>
      <w:r w:rsidR="00A2360B" w:rsidRPr="00AD6974">
        <w:rPr>
          <w:sz w:val="28"/>
          <w:szCs w:val="28"/>
        </w:rPr>
        <w:t xml:space="preserve"> </w:t>
      </w:r>
      <w:r w:rsidRPr="00AD6974">
        <w:rPr>
          <w:sz w:val="28"/>
          <w:szCs w:val="28"/>
        </w:rPr>
        <w:t>respectfully suggest such designation be identified in bolded font.</w:t>
      </w:r>
    </w:p>
    <w:p w:rsidR="00E576E3" w:rsidRDefault="002A7686" w:rsidP="00182B6D">
      <w:pPr>
        <w:ind w:right="180" w:firstLine="720"/>
        <w:jc w:val="both"/>
        <w:rPr>
          <w:sz w:val="28"/>
          <w:szCs w:val="28"/>
        </w:rPr>
      </w:pPr>
      <w:proofErr w:type="gramStart"/>
      <w:r>
        <w:rPr>
          <w:sz w:val="28"/>
          <w:szCs w:val="28"/>
        </w:rPr>
        <w:t>In light of</w:t>
      </w:r>
      <w:proofErr w:type="gramEnd"/>
      <w:r>
        <w:rPr>
          <w:sz w:val="28"/>
          <w:szCs w:val="28"/>
        </w:rPr>
        <w:t xml:space="preserve"> the importance of the issue, however, o</w:t>
      </w:r>
      <w:r w:rsidR="00A2360B">
        <w:rPr>
          <w:sz w:val="28"/>
          <w:szCs w:val="28"/>
        </w:rPr>
        <w:t xml:space="preserve">ther members of the workgroup </w:t>
      </w:r>
      <w:r w:rsidR="00E576E3">
        <w:rPr>
          <w:sz w:val="28"/>
          <w:szCs w:val="28"/>
        </w:rPr>
        <w:t>urge</w:t>
      </w:r>
      <w:r>
        <w:rPr>
          <w:sz w:val="28"/>
          <w:szCs w:val="28"/>
        </w:rPr>
        <w:t xml:space="preserve"> that the complaint contain the basic question</w:t>
      </w:r>
      <w:r w:rsidR="000556A2">
        <w:rPr>
          <w:sz w:val="28"/>
          <w:szCs w:val="28"/>
        </w:rPr>
        <w:t>: “</w:t>
      </w:r>
      <w:r>
        <w:rPr>
          <w:sz w:val="28"/>
          <w:szCs w:val="28"/>
        </w:rPr>
        <w:t xml:space="preserve">Is the property subsidized?  ___ </w:t>
      </w:r>
      <w:r w:rsidR="00531AE2">
        <w:rPr>
          <w:sz w:val="28"/>
          <w:szCs w:val="28"/>
        </w:rPr>
        <w:t>Yes _</w:t>
      </w:r>
      <w:r>
        <w:rPr>
          <w:sz w:val="28"/>
          <w:szCs w:val="28"/>
        </w:rPr>
        <w:t xml:space="preserve">__No.”  The landlord would then check </w:t>
      </w:r>
      <w:r w:rsidR="000556A2">
        <w:rPr>
          <w:sz w:val="28"/>
          <w:szCs w:val="28"/>
        </w:rPr>
        <w:t>the appropriate space</w:t>
      </w:r>
      <w:r>
        <w:rPr>
          <w:sz w:val="28"/>
          <w:szCs w:val="28"/>
        </w:rPr>
        <w:t xml:space="preserve"> and the information would be provided to the judge.  Utilizing this approach eliminates uncertainty</w:t>
      </w:r>
      <w:r w:rsidR="000556A2">
        <w:rPr>
          <w:sz w:val="28"/>
          <w:szCs w:val="28"/>
        </w:rPr>
        <w:t>, and provides the judge with the critical information that is needed</w:t>
      </w:r>
      <w:r>
        <w:rPr>
          <w:sz w:val="28"/>
          <w:szCs w:val="28"/>
        </w:rPr>
        <w:t>.</w:t>
      </w:r>
    </w:p>
    <w:p w:rsidR="004D6FA1" w:rsidRPr="003F4A48" w:rsidRDefault="00E576E3" w:rsidP="00182B6D">
      <w:pPr>
        <w:ind w:right="180" w:firstLine="720"/>
        <w:jc w:val="both"/>
        <w:rPr>
          <w:b/>
          <w:sz w:val="28"/>
          <w:szCs w:val="28"/>
        </w:rPr>
      </w:pPr>
      <w:r w:rsidRPr="003F4A48">
        <w:rPr>
          <w:b/>
          <w:sz w:val="28"/>
          <w:szCs w:val="28"/>
        </w:rPr>
        <w:t>Rule 13</w:t>
      </w:r>
      <w:r>
        <w:rPr>
          <w:b/>
          <w:sz w:val="28"/>
          <w:szCs w:val="28"/>
        </w:rPr>
        <w:t xml:space="preserve"> </w:t>
      </w:r>
      <w:r w:rsidRPr="003F4A48">
        <w:rPr>
          <w:b/>
          <w:sz w:val="28"/>
          <w:szCs w:val="28"/>
        </w:rPr>
        <w:t>(a)(5)</w:t>
      </w:r>
    </w:p>
    <w:p w:rsidR="002A2E26" w:rsidRDefault="00621EB5" w:rsidP="00182B6D">
      <w:pPr>
        <w:ind w:right="180" w:firstLine="720"/>
        <w:jc w:val="both"/>
        <w:rPr>
          <w:sz w:val="28"/>
          <w:szCs w:val="28"/>
        </w:rPr>
      </w:pPr>
      <w:r w:rsidRPr="00AD6974">
        <w:rPr>
          <w:sz w:val="28"/>
          <w:szCs w:val="28"/>
        </w:rPr>
        <w:t xml:space="preserve">The judicial members of the work group also noted that proposed </w:t>
      </w:r>
      <w:r w:rsidR="00B42824" w:rsidRPr="00AD6974">
        <w:rPr>
          <w:sz w:val="28"/>
          <w:szCs w:val="28"/>
        </w:rPr>
        <w:t>R</w:t>
      </w:r>
      <w:r w:rsidRPr="00AD6974">
        <w:rPr>
          <w:sz w:val="28"/>
          <w:szCs w:val="28"/>
        </w:rPr>
        <w:t xml:space="preserve">ule </w:t>
      </w:r>
      <w:r w:rsidR="00B42824" w:rsidRPr="00AD6974">
        <w:rPr>
          <w:sz w:val="28"/>
          <w:szCs w:val="28"/>
        </w:rPr>
        <w:t>13</w:t>
      </w:r>
      <w:r w:rsidR="00E576E3">
        <w:rPr>
          <w:sz w:val="28"/>
          <w:szCs w:val="28"/>
        </w:rPr>
        <w:t xml:space="preserve"> </w:t>
      </w:r>
      <w:r w:rsidR="00B42824" w:rsidRPr="00AD6974">
        <w:rPr>
          <w:sz w:val="28"/>
          <w:szCs w:val="28"/>
        </w:rPr>
        <w:t xml:space="preserve">(a)(5) </w:t>
      </w:r>
      <w:r w:rsidRPr="00AD6974">
        <w:rPr>
          <w:sz w:val="28"/>
          <w:szCs w:val="28"/>
        </w:rPr>
        <w:t xml:space="preserve">change indicates that the judge must “determine </w:t>
      </w:r>
      <w:r w:rsidR="00BF37F4" w:rsidRPr="00AD6974">
        <w:rPr>
          <w:sz w:val="28"/>
          <w:szCs w:val="28"/>
        </w:rPr>
        <w:t>whether</w:t>
      </w:r>
      <w:r w:rsidRPr="00AD6974">
        <w:rPr>
          <w:sz w:val="28"/>
          <w:szCs w:val="28"/>
        </w:rPr>
        <w:t xml:space="preserve"> the rent</w:t>
      </w:r>
      <w:r w:rsidR="00B42824" w:rsidRPr="00AD6974">
        <w:rPr>
          <w:sz w:val="28"/>
          <w:szCs w:val="28"/>
        </w:rPr>
        <w:t>al</w:t>
      </w:r>
      <w:r w:rsidRPr="00AD6974">
        <w:rPr>
          <w:sz w:val="28"/>
          <w:szCs w:val="28"/>
        </w:rPr>
        <w:t xml:space="preserve"> is subsidized.”  </w:t>
      </w:r>
      <w:r w:rsidR="002A7686">
        <w:rPr>
          <w:sz w:val="28"/>
          <w:szCs w:val="28"/>
        </w:rPr>
        <w:t xml:space="preserve">They </w:t>
      </w:r>
      <w:r w:rsidR="00531AE2">
        <w:rPr>
          <w:sz w:val="28"/>
          <w:szCs w:val="28"/>
        </w:rPr>
        <w:t xml:space="preserve">are </w:t>
      </w:r>
      <w:r w:rsidR="00531AE2" w:rsidRPr="00AD6974">
        <w:rPr>
          <w:sz w:val="28"/>
          <w:szCs w:val="28"/>
        </w:rPr>
        <w:t>unclear</w:t>
      </w:r>
      <w:r w:rsidRPr="00AD6974">
        <w:rPr>
          <w:sz w:val="28"/>
          <w:szCs w:val="28"/>
        </w:rPr>
        <w:t xml:space="preserve"> whether the intent of the </w:t>
      </w:r>
      <w:r w:rsidR="00BF37F4" w:rsidRPr="00AD6974">
        <w:rPr>
          <w:sz w:val="28"/>
          <w:szCs w:val="28"/>
        </w:rPr>
        <w:t>proposed new language</w:t>
      </w:r>
      <w:r w:rsidRPr="00AD6974">
        <w:rPr>
          <w:sz w:val="28"/>
          <w:szCs w:val="28"/>
        </w:rPr>
        <w:t xml:space="preserve"> is that the judge must make a specific finding in each individual case that either “This case does involve </w:t>
      </w:r>
      <w:r w:rsidRPr="00AD6974">
        <w:rPr>
          <w:sz w:val="28"/>
          <w:szCs w:val="28"/>
        </w:rPr>
        <w:lastRenderedPageBreak/>
        <w:t xml:space="preserve">a subsidized rental,” or that “This case does </w:t>
      </w:r>
      <w:r w:rsidR="002A7686">
        <w:rPr>
          <w:sz w:val="28"/>
          <w:szCs w:val="28"/>
        </w:rPr>
        <w:t xml:space="preserve">not </w:t>
      </w:r>
      <w:r w:rsidRPr="00AD6974">
        <w:rPr>
          <w:sz w:val="28"/>
          <w:szCs w:val="28"/>
        </w:rPr>
        <w:t xml:space="preserve">involve subsidized housing.”  Some judges are concerned that </w:t>
      </w:r>
      <w:r w:rsidR="00BF37F4" w:rsidRPr="00AD6974">
        <w:rPr>
          <w:sz w:val="28"/>
          <w:szCs w:val="28"/>
        </w:rPr>
        <w:t>specifically making and documenting</w:t>
      </w:r>
      <w:r w:rsidRPr="00AD6974">
        <w:rPr>
          <w:sz w:val="28"/>
          <w:szCs w:val="28"/>
        </w:rPr>
        <w:t xml:space="preserve"> such a finding would be burdensome and inefficient, particularly </w:t>
      </w:r>
      <w:proofErr w:type="gramStart"/>
      <w:r w:rsidRPr="00AD6974">
        <w:rPr>
          <w:sz w:val="28"/>
          <w:szCs w:val="28"/>
        </w:rPr>
        <w:t>in light of</w:t>
      </w:r>
      <w:proofErr w:type="gramEnd"/>
      <w:r w:rsidRPr="00AD6974">
        <w:rPr>
          <w:sz w:val="28"/>
          <w:szCs w:val="28"/>
        </w:rPr>
        <w:t xml:space="preserve"> already-lengthy dockets.  Those judges propose that the operative language should just be </w:t>
      </w:r>
      <w:r w:rsidR="00BF37F4" w:rsidRPr="00AD6974">
        <w:rPr>
          <w:sz w:val="28"/>
          <w:szCs w:val="28"/>
        </w:rPr>
        <w:t xml:space="preserve">the following proposed sentence: </w:t>
      </w:r>
      <w:r w:rsidRPr="00AD6974">
        <w:rPr>
          <w:sz w:val="28"/>
          <w:szCs w:val="28"/>
        </w:rPr>
        <w:t>“</w:t>
      </w:r>
      <w:r w:rsidR="00BF37F4" w:rsidRPr="00AD6974">
        <w:rPr>
          <w:sz w:val="28"/>
          <w:szCs w:val="28"/>
        </w:rPr>
        <w:t>I</w:t>
      </w:r>
      <w:r w:rsidRPr="00AD6974">
        <w:rPr>
          <w:sz w:val="28"/>
          <w:szCs w:val="28"/>
        </w:rPr>
        <w:t>f the court deter</w:t>
      </w:r>
      <w:r w:rsidR="0006693A">
        <w:rPr>
          <w:sz w:val="28"/>
          <w:szCs w:val="28"/>
        </w:rPr>
        <w:t>mines the rent is subsidized …”</w:t>
      </w:r>
    </w:p>
    <w:p w:rsidR="00531AE2" w:rsidRDefault="00E576E3" w:rsidP="00182B6D">
      <w:pPr>
        <w:ind w:right="180" w:firstLine="720"/>
        <w:jc w:val="both"/>
        <w:rPr>
          <w:sz w:val="28"/>
          <w:szCs w:val="28"/>
        </w:rPr>
      </w:pPr>
      <w:r>
        <w:rPr>
          <w:sz w:val="28"/>
          <w:szCs w:val="28"/>
        </w:rPr>
        <w:t>Other workgroup me</w:t>
      </w:r>
      <w:r w:rsidR="0006693A">
        <w:rPr>
          <w:sz w:val="28"/>
          <w:szCs w:val="28"/>
        </w:rPr>
        <w:t>mbers note that current Rule 13</w:t>
      </w:r>
      <w:r>
        <w:rPr>
          <w:sz w:val="28"/>
          <w:szCs w:val="28"/>
        </w:rPr>
        <w:t>(a) sets out important items the judge is to review that are vital in determining whether a landlord should be awarded possession or not.  For example, the current Rule requires the court determine if service was proper, whether proper notice was provided, whether a right to cure, where applicable, was provided, and if the facts alleged support the landlord’s right to possession</w:t>
      </w:r>
      <w:r w:rsidR="002A2E26">
        <w:rPr>
          <w:sz w:val="28"/>
          <w:szCs w:val="28"/>
        </w:rPr>
        <w:t xml:space="preserve">.  As the Rule currently exists, the inquiry as to whether the subject property is subsidized – a fact that may be </w:t>
      </w:r>
      <w:r w:rsidR="00F473B4">
        <w:rPr>
          <w:sz w:val="28"/>
          <w:szCs w:val="28"/>
        </w:rPr>
        <w:t xml:space="preserve">just as </w:t>
      </w:r>
      <w:r w:rsidR="002A2E26">
        <w:rPr>
          <w:sz w:val="28"/>
          <w:szCs w:val="28"/>
        </w:rPr>
        <w:t>critical in determining whether the landlord is entitled to</w:t>
      </w:r>
      <w:r w:rsidR="0006693A">
        <w:rPr>
          <w:sz w:val="28"/>
          <w:szCs w:val="28"/>
        </w:rPr>
        <w:t xml:space="preserve"> possession -- is not listed.</w:t>
      </w:r>
      <w:r>
        <w:rPr>
          <w:sz w:val="28"/>
          <w:szCs w:val="28"/>
        </w:rPr>
        <w:t xml:space="preserve">  </w:t>
      </w:r>
      <w:r w:rsidR="002A2E26">
        <w:rPr>
          <w:sz w:val="28"/>
          <w:szCs w:val="28"/>
        </w:rPr>
        <w:t>These members beli</w:t>
      </w:r>
      <w:r w:rsidR="00C84A2C">
        <w:rPr>
          <w:sz w:val="28"/>
          <w:szCs w:val="28"/>
        </w:rPr>
        <w:t xml:space="preserve">eve there is an important safeguard in requiring the court to </w:t>
      </w:r>
      <w:r w:rsidR="00F473B4">
        <w:rPr>
          <w:sz w:val="28"/>
          <w:szCs w:val="28"/>
        </w:rPr>
        <w:t xml:space="preserve">specifically </w:t>
      </w:r>
      <w:r w:rsidR="00C84A2C">
        <w:rPr>
          <w:sz w:val="28"/>
          <w:szCs w:val="28"/>
        </w:rPr>
        <w:t>make the determination as to whether the subject property is subsidized or not.</w:t>
      </w:r>
    </w:p>
    <w:p w:rsidR="00621EB5" w:rsidRPr="00531AE2" w:rsidRDefault="00531AE2" w:rsidP="00182B6D">
      <w:pPr>
        <w:ind w:right="180" w:firstLine="720"/>
        <w:jc w:val="both"/>
        <w:rPr>
          <w:b/>
          <w:sz w:val="28"/>
          <w:szCs w:val="28"/>
        </w:rPr>
      </w:pPr>
      <w:r w:rsidRPr="00531AE2">
        <w:rPr>
          <w:b/>
          <w:sz w:val="28"/>
          <w:szCs w:val="28"/>
        </w:rPr>
        <w:t>Conclusion</w:t>
      </w:r>
    </w:p>
    <w:p w:rsidR="00FC3321" w:rsidRDefault="00E576E3" w:rsidP="00182B6D">
      <w:pPr>
        <w:ind w:right="180" w:firstLine="720"/>
        <w:jc w:val="both"/>
        <w:rPr>
          <w:sz w:val="28"/>
          <w:szCs w:val="28"/>
        </w:rPr>
      </w:pPr>
      <w:r>
        <w:rPr>
          <w:sz w:val="28"/>
          <w:szCs w:val="28"/>
        </w:rPr>
        <w:t>The Commission strong</w:t>
      </w:r>
      <w:r w:rsidR="00C84A2C">
        <w:rPr>
          <w:sz w:val="28"/>
          <w:szCs w:val="28"/>
        </w:rPr>
        <w:t>ly</w:t>
      </w:r>
      <w:r>
        <w:rPr>
          <w:sz w:val="28"/>
          <w:szCs w:val="28"/>
        </w:rPr>
        <w:t xml:space="preserve"> believes that a</w:t>
      </w:r>
      <w:r w:rsidR="006C07E0">
        <w:rPr>
          <w:sz w:val="28"/>
          <w:szCs w:val="28"/>
        </w:rPr>
        <w:t>dopting changes</w:t>
      </w:r>
      <w:r>
        <w:rPr>
          <w:sz w:val="28"/>
          <w:szCs w:val="28"/>
        </w:rPr>
        <w:t xml:space="preserve"> </w:t>
      </w:r>
      <w:r w:rsidR="00C84A2C">
        <w:rPr>
          <w:sz w:val="28"/>
          <w:szCs w:val="28"/>
        </w:rPr>
        <w:t xml:space="preserve">to address the issue of subsidized housing will </w:t>
      </w:r>
      <w:r w:rsidR="006C07E0">
        <w:rPr>
          <w:sz w:val="28"/>
          <w:szCs w:val="28"/>
        </w:rPr>
        <w:t xml:space="preserve">ensure due process and serve as an important safeguard to </w:t>
      </w:r>
      <w:r w:rsidR="006C07E0">
        <w:rPr>
          <w:sz w:val="28"/>
          <w:szCs w:val="28"/>
        </w:rPr>
        <w:lastRenderedPageBreak/>
        <w:t xml:space="preserve">prevent eviction where a tenant in a subsidized housing unit is current in his or her portion of the rent.  </w:t>
      </w:r>
      <w:r w:rsidR="00FC3321">
        <w:rPr>
          <w:sz w:val="28"/>
          <w:szCs w:val="28"/>
        </w:rPr>
        <w:t xml:space="preserve">Accordingly, the Commission urges the Arizona Supreme Court to adopt </w:t>
      </w:r>
      <w:r w:rsidR="00C84A2C">
        <w:rPr>
          <w:sz w:val="28"/>
          <w:szCs w:val="28"/>
        </w:rPr>
        <w:t xml:space="preserve">appropriate </w:t>
      </w:r>
      <w:r w:rsidR="00FC3321">
        <w:rPr>
          <w:sz w:val="28"/>
          <w:szCs w:val="28"/>
        </w:rPr>
        <w:t xml:space="preserve">changes </w:t>
      </w:r>
      <w:r w:rsidR="0006693A">
        <w:rPr>
          <w:sz w:val="28"/>
          <w:szCs w:val="28"/>
        </w:rPr>
        <w:t>to Rules 5(a) and 13</w:t>
      </w:r>
      <w:r w:rsidR="00C84A2C">
        <w:rPr>
          <w:sz w:val="28"/>
          <w:szCs w:val="28"/>
        </w:rPr>
        <w:t>(b) to the Rules of Procedure for Eviction Actions</w:t>
      </w:r>
      <w:r w:rsidR="00FC3321">
        <w:rPr>
          <w:sz w:val="28"/>
          <w:szCs w:val="28"/>
        </w:rPr>
        <w:t>.</w:t>
      </w:r>
    </w:p>
    <w:p w:rsidR="00E61775" w:rsidRDefault="00E61775" w:rsidP="00182B6D">
      <w:pPr>
        <w:ind w:right="180" w:firstLine="720"/>
        <w:jc w:val="both"/>
        <w:rPr>
          <w:sz w:val="28"/>
          <w:szCs w:val="28"/>
        </w:rPr>
      </w:pPr>
    </w:p>
    <w:p w:rsidR="00FC3321" w:rsidRDefault="00FB16F8" w:rsidP="00FC3321">
      <w:pPr>
        <w:pStyle w:val="Date"/>
        <w:ind w:firstLine="720"/>
        <w:rPr>
          <w:sz w:val="28"/>
        </w:rPr>
      </w:pPr>
      <w:r>
        <w:rPr>
          <w:sz w:val="28"/>
        </w:rPr>
        <w:t>RESPECTFULLY SUBMITTED this 4</w:t>
      </w:r>
      <w:r w:rsidRPr="00FB16F8">
        <w:rPr>
          <w:sz w:val="28"/>
          <w:vertAlign w:val="superscript"/>
        </w:rPr>
        <w:t>th</w:t>
      </w:r>
      <w:r>
        <w:rPr>
          <w:sz w:val="28"/>
        </w:rPr>
        <w:t xml:space="preserve"> </w:t>
      </w:r>
      <w:bookmarkStart w:id="0" w:name="_GoBack"/>
      <w:bookmarkEnd w:id="0"/>
      <w:r w:rsidR="00FC3321">
        <w:rPr>
          <w:sz w:val="28"/>
        </w:rPr>
        <w:t xml:space="preserve">day of </w:t>
      </w:r>
      <w:r w:rsidR="00531AE2">
        <w:rPr>
          <w:sz w:val="28"/>
        </w:rPr>
        <w:t>May, 2018</w:t>
      </w:r>
      <w:r w:rsidR="00FC3321">
        <w:rPr>
          <w:sz w:val="28"/>
        </w:rPr>
        <w:t>.</w:t>
      </w:r>
    </w:p>
    <w:p w:rsidR="00FC3321" w:rsidRDefault="00FC3321" w:rsidP="00A26BB4">
      <w:pPr>
        <w:spacing w:line="276" w:lineRule="auto"/>
        <w:rPr>
          <w:sz w:val="28"/>
          <w:szCs w:val="28"/>
        </w:rPr>
      </w:pPr>
      <w:r>
        <w:rPr>
          <w:sz w:val="28"/>
          <w:szCs w:val="28"/>
        </w:rPr>
        <w:t xml:space="preserve">                                             ______________________</w:t>
      </w:r>
      <w:r w:rsidR="00A26BB4">
        <w:rPr>
          <w:sz w:val="28"/>
          <w:szCs w:val="28"/>
        </w:rPr>
        <w:t>_____</w:t>
      </w:r>
    </w:p>
    <w:p w:rsidR="00A26BB4" w:rsidRDefault="00A26BB4" w:rsidP="00A26BB4">
      <w:pPr>
        <w:spacing w:line="276" w:lineRule="auto"/>
        <w:rPr>
          <w:sz w:val="28"/>
          <w:szCs w:val="28"/>
        </w:rPr>
      </w:pPr>
      <w:r>
        <w:rPr>
          <w:sz w:val="28"/>
          <w:szCs w:val="28"/>
        </w:rPr>
        <w:tab/>
      </w:r>
      <w:r>
        <w:rPr>
          <w:sz w:val="28"/>
          <w:szCs w:val="28"/>
        </w:rPr>
        <w:tab/>
      </w:r>
      <w:r>
        <w:rPr>
          <w:sz w:val="28"/>
          <w:szCs w:val="28"/>
        </w:rPr>
        <w:tab/>
      </w:r>
      <w:r>
        <w:rPr>
          <w:sz w:val="28"/>
          <w:szCs w:val="28"/>
        </w:rPr>
        <w:tab/>
        <w:t>Lawrence F. Winthrop</w:t>
      </w:r>
    </w:p>
    <w:p w:rsidR="00A26BB4" w:rsidRPr="00FC3321" w:rsidRDefault="00A26BB4" w:rsidP="00A26BB4">
      <w:pPr>
        <w:spacing w:line="276" w:lineRule="auto"/>
        <w:ind w:left="4320" w:firstLine="0"/>
        <w:rPr>
          <w:sz w:val="28"/>
          <w:szCs w:val="28"/>
        </w:rPr>
      </w:pPr>
      <w:r>
        <w:rPr>
          <w:sz w:val="28"/>
          <w:szCs w:val="28"/>
        </w:rPr>
        <w:t xml:space="preserve">Chair, Arizona Commission on Access              </w:t>
      </w:r>
      <w:r w:rsidR="0006693A">
        <w:rPr>
          <w:sz w:val="28"/>
          <w:szCs w:val="28"/>
        </w:rPr>
        <w:t xml:space="preserve">                   to Justice</w:t>
      </w:r>
    </w:p>
    <w:p w:rsidR="00182B6D" w:rsidRPr="00603602" w:rsidRDefault="00FC3321" w:rsidP="00182B6D">
      <w:pPr>
        <w:ind w:right="180" w:firstLine="720"/>
        <w:jc w:val="both"/>
        <w:rPr>
          <w:sz w:val="28"/>
          <w:szCs w:val="28"/>
        </w:rPr>
      </w:pPr>
      <w:r>
        <w:rPr>
          <w:sz w:val="28"/>
          <w:szCs w:val="28"/>
        </w:rPr>
        <w:t xml:space="preserve"> </w:t>
      </w:r>
      <w:r w:rsidR="003B3DFA">
        <w:rPr>
          <w:sz w:val="28"/>
          <w:szCs w:val="28"/>
        </w:rPr>
        <w:t xml:space="preserve">  </w:t>
      </w:r>
    </w:p>
    <w:p w:rsidR="00843027" w:rsidRDefault="00843027"/>
    <w:sectPr w:rsidR="00843027" w:rsidSect="003F4A48">
      <w:footerReference w:type="default" r:id="rId8"/>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283" w:rsidRDefault="001C0283" w:rsidP="00A26BB4">
      <w:pPr>
        <w:spacing w:line="240" w:lineRule="auto"/>
      </w:pPr>
      <w:r>
        <w:separator/>
      </w:r>
    </w:p>
  </w:endnote>
  <w:endnote w:type="continuationSeparator" w:id="0">
    <w:p w:rsidR="001C0283" w:rsidRDefault="001C0283" w:rsidP="00A26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532016"/>
      <w:docPartObj>
        <w:docPartGallery w:val="Page Numbers (Bottom of Page)"/>
        <w:docPartUnique/>
      </w:docPartObj>
    </w:sdtPr>
    <w:sdtEndPr>
      <w:rPr>
        <w:noProof/>
      </w:rPr>
    </w:sdtEndPr>
    <w:sdtContent>
      <w:p w:rsidR="00822AF5" w:rsidRDefault="00822AF5">
        <w:pPr>
          <w:pStyle w:val="Footer"/>
          <w:jc w:val="right"/>
        </w:pPr>
        <w:r>
          <w:fldChar w:fldCharType="begin"/>
        </w:r>
        <w:r>
          <w:instrText xml:space="preserve"> PAGE   \* MERGEFORMAT </w:instrText>
        </w:r>
        <w:r>
          <w:fldChar w:fldCharType="separate"/>
        </w:r>
        <w:r w:rsidR="00FB16F8">
          <w:rPr>
            <w:noProof/>
          </w:rPr>
          <w:t>5</w:t>
        </w:r>
        <w:r>
          <w:rPr>
            <w:noProof/>
          </w:rPr>
          <w:fldChar w:fldCharType="end"/>
        </w:r>
      </w:p>
    </w:sdtContent>
  </w:sdt>
  <w:p w:rsidR="002A2E26" w:rsidRDefault="002A2E26" w:rsidP="00066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283" w:rsidRDefault="001C0283" w:rsidP="00A26BB4">
      <w:pPr>
        <w:spacing w:line="240" w:lineRule="auto"/>
      </w:pPr>
      <w:r>
        <w:separator/>
      </w:r>
    </w:p>
  </w:footnote>
  <w:footnote w:type="continuationSeparator" w:id="0">
    <w:p w:rsidR="001C0283" w:rsidRDefault="001C0283" w:rsidP="00A26B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24EDC"/>
    <w:multiLevelType w:val="hybridMultilevel"/>
    <w:tmpl w:val="FC260734"/>
    <w:lvl w:ilvl="0" w:tplc="D42049EA">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6D"/>
    <w:rsid w:val="000018B0"/>
    <w:rsid w:val="000556A2"/>
    <w:rsid w:val="0006693A"/>
    <w:rsid w:val="00182B6D"/>
    <w:rsid w:val="001C0283"/>
    <w:rsid w:val="001D7BFB"/>
    <w:rsid w:val="002A2E26"/>
    <w:rsid w:val="002A7686"/>
    <w:rsid w:val="002F5EB3"/>
    <w:rsid w:val="003B3DFA"/>
    <w:rsid w:val="003F4A48"/>
    <w:rsid w:val="00442052"/>
    <w:rsid w:val="004D6FA1"/>
    <w:rsid w:val="0052227A"/>
    <w:rsid w:val="00531AE2"/>
    <w:rsid w:val="00542738"/>
    <w:rsid w:val="00621EB5"/>
    <w:rsid w:val="006B33B6"/>
    <w:rsid w:val="006C07E0"/>
    <w:rsid w:val="00737AC6"/>
    <w:rsid w:val="00777CA3"/>
    <w:rsid w:val="00822AF5"/>
    <w:rsid w:val="00843027"/>
    <w:rsid w:val="00902A0A"/>
    <w:rsid w:val="009C53BC"/>
    <w:rsid w:val="009E5DAD"/>
    <w:rsid w:val="00A2360B"/>
    <w:rsid w:val="00A258A0"/>
    <w:rsid w:val="00A26BB4"/>
    <w:rsid w:val="00A86F2B"/>
    <w:rsid w:val="00AC5A64"/>
    <w:rsid w:val="00AD6974"/>
    <w:rsid w:val="00B42824"/>
    <w:rsid w:val="00B81A64"/>
    <w:rsid w:val="00B8340C"/>
    <w:rsid w:val="00BF37F4"/>
    <w:rsid w:val="00C14D72"/>
    <w:rsid w:val="00C24020"/>
    <w:rsid w:val="00C26ADF"/>
    <w:rsid w:val="00C779D4"/>
    <w:rsid w:val="00C84A2C"/>
    <w:rsid w:val="00DA23F2"/>
    <w:rsid w:val="00E576E3"/>
    <w:rsid w:val="00E61775"/>
    <w:rsid w:val="00EE33D9"/>
    <w:rsid w:val="00F473B4"/>
    <w:rsid w:val="00F95454"/>
    <w:rsid w:val="00FB16F8"/>
    <w:rsid w:val="00FC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23877"/>
  <w15:chartTrackingRefBased/>
  <w15:docId w15:val="{40F84A46-E2A4-4A5E-959F-BC2DB1A2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B6D"/>
    <w:pPr>
      <w:spacing w:after="0" w:line="504" w:lineRule="auto"/>
      <w:ind w:firstLine="1440"/>
    </w:pPr>
    <w:rPr>
      <w:rFonts w:eastAsiaTheme="minorEastAsia"/>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eadingtitle">
    <w:name w:val="Pleading title"/>
    <w:basedOn w:val="Normal"/>
    <w:link w:val="PleadingtitleChar"/>
    <w:uiPriority w:val="1"/>
    <w:qFormat/>
    <w:rsid w:val="00182B6D"/>
    <w:pPr>
      <w:spacing w:line="252" w:lineRule="auto"/>
      <w:ind w:firstLine="0"/>
    </w:pPr>
    <w:rPr>
      <w:caps/>
    </w:rPr>
  </w:style>
  <w:style w:type="character" w:customStyle="1" w:styleId="PleadingtitleChar">
    <w:name w:val="Pleading title Char"/>
    <w:basedOn w:val="DefaultParagraphFont"/>
    <w:link w:val="Pleadingtitle"/>
    <w:uiPriority w:val="1"/>
    <w:rsid w:val="00182B6D"/>
    <w:rPr>
      <w:rFonts w:eastAsiaTheme="minorEastAsia"/>
      <w:caps/>
      <w:sz w:val="20"/>
      <w:szCs w:val="20"/>
      <w:lang w:eastAsia="ja-JP"/>
    </w:rPr>
  </w:style>
  <w:style w:type="paragraph" w:customStyle="1" w:styleId="CourtName">
    <w:name w:val="Court Name"/>
    <w:basedOn w:val="Normal"/>
    <w:link w:val="CourtNameChar"/>
    <w:uiPriority w:val="1"/>
    <w:qFormat/>
    <w:rsid w:val="00182B6D"/>
    <w:pPr>
      <w:spacing w:before="240"/>
      <w:ind w:firstLine="0"/>
      <w:contextualSpacing/>
      <w:jc w:val="center"/>
    </w:pPr>
    <w:rPr>
      <w:caps/>
    </w:rPr>
  </w:style>
  <w:style w:type="paragraph" w:customStyle="1" w:styleId="AttorneyName">
    <w:name w:val="Attorney Name"/>
    <w:basedOn w:val="Normal"/>
    <w:link w:val="AttorneyNameChar"/>
    <w:uiPriority w:val="1"/>
    <w:qFormat/>
    <w:rsid w:val="00182B6D"/>
    <w:pPr>
      <w:spacing w:line="252" w:lineRule="auto"/>
      <w:ind w:firstLine="0"/>
      <w:contextualSpacing/>
    </w:pPr>
  </w:style>
  <w:style w:type="character" w:customStyle="1" w:styleId="AttorneyNameChar">
    <w:name w:val="Attorney Name Char"/>
    <w:basedOn w:val="DefaultParagraphFont"/>
    <w:link w:val="AttorneyName"/>
    <w:uiPriority w:val="1"/>
    <w:rsid w:val="00182B6D"/>
    <w:rPr>
      <w:rFonts w:eastAsiaTheme="minorEastAsia"/>
      <w:sz w:val="20"/>
      <w:szCs w:val="20"/>
      <w:lang w:eastAsia="ja-JP"/>
    </w:rPr>
  </w:style>
  <w:style w:type="character" w:customStyle="1" w:styleId="CourtNameChar">
    <w:name w:val="Court Name Char"/>
    <w:basedOn w:val="DefaultParagraphFont"/>
    <w:link w:val="CourtName"/>
    <w:uiPriority w:val="1"/>
    <w:rsid w:val="00182B6D"/>
    <w:rPr>
      <w:rFonts w:eastAsiaTheme="minorEastAsia"/>
      <w:caps/>
      <w:sz w:val="20"/>
      <w:szCs w:val="20"/>
      <w:lang w:eastAsia="ja-JP"/>
    </w:rPr>
  </w:style>
  <w:style w:type="paragraph" w:styleId="NoSpacing">
    <w:name w:val="No Spacing"/>
    <w:uiPriority w:val="1"/>
    <w:unhideWhenUsed/>
    <w:qFormat/>
    <w:rsid w:val="00182B6D"/>
    <w:pPr>
      <w:widowControl w:val="0"/>
      <w:spacing w:after="0" w:line="252" w:lineRule="auto"/>
    </w:pPr>
    <w:rPr>
      <w:rFonts w:eastAsia="Times New Roman" w:cs="Times New Roman"/>
      <w:sz w:val="20"/>
      <w:szCs w:val="20"/>
      <w:lang w:eastAsia="ja-JP"/>
    </w:rPr>
  </w:style>
  <w:style w:type="paragraph" w:styleId="Date">
    <w:name w:val="Date"/>
    <w:basedOn w:val="Normal"/>
    <w:next w:val="Normal"/>
    <w:link w:val="DateChar"/>
    <w:uiPriority w:val="1"/>
    <w:semiHidden/>
    <w:unhideWhenUsed/>
    <w:qFormat/>
    <w:rsid w:val="00FC3321"/>
    <w:pPr>
      <w:spacing w:after="360"/>
    </w:pPr>
  </w:style>
  <w:style w:type="character" w:customStyle="1" w:styleId="DateChar">
    <w:name w:val="Date Char"/>
    <w:basedOn w:val="DefaultParagraphFont"/>
    <w:link w:val="Date"/>
    <w:uiPriority w:val="1"/>
    <w:semiHidden/>
    <w:rsid w:val="00FC3321"/>
    <w:rPr>
      <w:rFonts w:eastAsiaTheme="minorEastAsia"/>
      <w:sz w:val="20"/>
      <w:szCs w:val="20"/>
      <w:lang w:eastAsia="ja-JP"/>
    </w:rPr>
  </w:style>
  <w:style w:type="paragraph" w:styleId="Header">
    <w:name w:val="header"/>
    <w:basedOn w:val="Normal"/>
    <w:link w:val="HeaderChar"/>
    <w:uiPriority w:val="99"/>
    <w:unhideWhenUsed/>
    <w:rsid w:val="00A26BB4"/>
    <w:pPr>
      <w:tabs>
        <w:tab w:val="center" w:pos="4680"/>
        <w:tab w:val="right" w:pos="9360"/>
      </w:tabs>
      <w:spacing w:line="240" w:lineRule="auto"/>
    </w:pPr>
  </w:style>
  <w:style w:type="character" w:customStyle="1" w:styleId="HeaderChar">
    <w:name w:val="Header Char"/>
    <w:basedOn w:val="DefaultParagraphFont"/>
    <w:link w:val="Header"/>
    <w:uiPriority w:val="99"/>
    <w:rsid w:val="00A26BB4"/>
    <w:rPr>
      <w:rFonts w:eastAsiaTheme="minorEastAsia"/>
      <w:sz w:val="20"/>
      <w:szCs w:val="20"/>
      <w:lang w:eastAsia="ja-JP"/>
    </w:rPr>
  </w:style>
  <w:style w:type="paragraph" w:styleId="Footer">
    <w:name w:val="footer"/>
    <w:basedOn w:val="Normal"/>
    <w:link w:val="FooterChar"/>
    <w:uiPriority w:val="99"/>
    <w:unhideWhenUsed/>
    <w:rsid w:val="00A26BB4"/>
    <w:pPr>
      <w:tabs>
        <w:tab w:val="center" w:pos="4680"/>
        <w:tab w:val="right" w:pos="9360"/>
      </w:tabs>
      <w:spacing w:line="240" w:lineRule="auto"/>
    </w:pPr>
  </w:style>
  <w:style w:type="character" w:customStyle="1" w:styleId="FooterChar">
    <w:name w:val="Footer Char"/>
    <w:basedOn w:val="DefaultParagraphFont"/>
    <w:link w:val="Footer"/>
    <w:uiPriority w:val="99"/>
    <w:rsid w:val="00A26BB4"/>
    <w:rPr>
      <w:rFonts w:eastAsiaTheme="minorEastAsia"/>
      <w:sz w:val="20"/>
      <w:szCs w:val="20"/>
      <w:lang w:eastAsia="ja-JP"/>
    </w:rPr>
  </w:style>
  <w:style w:type="paragraph" w:styleId="BalloonText">
    <w:name w:val="Balloon Text"/>
    <w:basedOn w:val="Normal"/>
    <w:link w:val="BalloonTextChar"/>
    <w:uiPriority w:val="99"/>
    <w:semiHidden/>
    <w:unhideWhenUsed/>
    <w:rsid w:val="006B33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3B6"/>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2394">
      <w:bodyDiv w:val="1"/>
      <w:marLeft w:val="0"/>
      <w:marRight w:val="0"/>
      <w:marTop w:val="0"/>
      <w:marBottom w:val="0"/>
      <w:divBdr>
        <w:top w:val="none" w:sz="0" w:space="0" w:color="auto"/>
        <w:left w:val="none" w:sz="0" w:space="0" w:color="auto"/>
        <w:bottom w:val="none" w:sz="0" w:space="0" w:color="auto"/>
        <w:right w:val="none" w:sz="0" w:space="0" w:color="auto"/>
      </w:divBdr>
    </w:div>
    <w:div w:id="6249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EF30-2C47-4DB7-A250-54C79D54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Winthrop, Lawrence F.</dc:creator>
  <cp:keywords/>
  <dc:description/>
  <cp:lastModifiedBy>Sekardi, Kathy</cp:lastModifiedBy>
  <cp:revision>4</cp:revision>
  <dcterms:created xsi:type="dcterms:W3CDTF">2018-05-02T21:09:00Z</dcterms:created>
  <dcterms:modified xsi:type="dcterms:W3CDTF">2018-05-04T21:07:00Z</dcterms:modified>
</cp:coreProperties>
</file>