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6E9D59" w14:textId="77777777" w:rsidR="00F73E2A" w:rsidRDefault="00F73E2A">
      <w:pPr>
        <w:jc w:val="both"/>
        <w:rPr>
          <w:szCs w:val="24"/>
        </w:rPr>
      </w:pPr>
    </w:p>
    <w:p w14:paraId="4B9731AE" w14:textId="77777777" w:rsidR="00F73E2A" w:rsidRDefault="00F73E2A">
      <w:pPr>
        <w:jc w:val="both"/>
        <w:rPr>
          <w:szCs w:val="24"/>
        </w:rPr>
      </w:pPr>
    </w:p>
    <w:p w14:paraId="0259AB98" w14:textId="77777777" w:rsidR="00F73E2A" w:rsidRDefault="00F73E2A">
      <w:pPr>
        <w:jc w:val="both"/>
        <w:rPr>
          <w:szCs w:val="24"/>
        </w:rPr>
      </w:pPr>
    </w:p>
    <w:p w14:paraId="45188F5B" w14:textId="77777777" w:rsidR="00F73E2A" w:rsidRDefault="00BE569F">
      <w:pPr>
        <w:jc w:val="both"/>
        <w:rPr>
          <w:szCs w:val="24"/>
        </w:rPr>
      </w:pPr>
      <w:r w:rsidRPr="001F56E5">
        <w:t>Arizona Supreme Court Staff Attorneys’ Office</w:t>
      </w:r>
    </w:p>
    <w:p w14:paraId="5A40652F" w14:textId="77777777" w:rsidR="00C41CA7" w:rsidRDefault="00BE569F">
      <w:pPr>
        <w:jc w:val="both"/>
        <w:rPr>
          <w:szCs w:val="24"/>
        </w:rPr>
      </w:pPr>
      <w:r w:rsidRPr="001F56E5">
        <w:t xml:space="preserve">By </w:t>
      </w:r>
      <w:r w:rsidR="00CD6934" w:rsidRPr="001F56E5">
        <w:t>Judith R. Schaffert</w:t>
      </w:r>
    </w:p>
    <w:p w14:paraId="7376A5B8" w14:textId="77777777" w:rsidR="00BA340C" w:rsidRPr="001A3658" w:rsidRDefault="00CD6934">
      <w:pPr>
        <w:jc w:val="both"/>
        <w:rPr>
          <w:szCs w:val="24"/>
        </w:rPr>
      </w:pPr>
      <w:r w:rsidRPr="001F56E5">
        <w:t xml:space="preserve">Chief </w:t>
      </w:r>
      <w:r w:rsidR="00BA340C" w:rsidRPr="001F56E5">
        <w:t>Staff Attorney</w:t>
      </w:r>
    </w:p>
    <w:p w14:paraId="29C08865" w14:textId="77777777" w:rsidR="00C41CA7" w:rsidRPr="001A3658" w:rsidRDefault="00BA340C">
      <w:pPr>
        <w:pStyle w:val="Heading7"/>
        <w:rPr>
          <w:sz w:val="24"/>
          <w:szCs w:val="24"/>
        </w:rPr>
      </w:pPr>
      <w:r w:rsidRPr="001A3658">
        <w:rPr>
          <w:sz w:val="24"/>
          <w:szCs w:val="24"/>
        </w:rPr>
        <w:t>1501 W. Washington, Suite 4</w:t>
      </w:r>
      <w:r w:rsidR="00CD6934">
        <w:rPr>
          <w:sz w:val="24"/>
          <w:szCs w:val="24"/>
        </w:rPr>
        <w:t>4</w:t>
      </w:r>
      <w:r w:rsidRPr="001A3658">
        <w:rPr>
          <w:sz w:val="24"/>
          <w:szCs w:val="24"/>
        </w:rPr>
        <w:t>5</w:t>
      </w:r>
      <w:r w:rsidR="00C41CA7" w:rsidRPr="001A3658">
        <w:rPr>
          <w:sz w:val="24"/>
          <w:szCs w:val="24"/>
        </w:rPr>
        <w:t xml:space="preserve"> </w:t>
      </w:r>
    </w:p>
    <w:p w14:paraId="5A3D4A9B" w14:textId="77777777" w:rsidR="00C41CA7" w:rsidRPr="001A3658" w:rsidRDefault="00C41CA7">
      <w:pPr>
        <w:jc w:val="both"/>
        <w:rPr>
          <w:szCs w:val="24"/>
        </w:rPr>
      </w:pPr>
      <w:r w:rsidRPr="001F56E5">
        <w:t>Phoenix, AZ</w:t>
      </w:r>
      <w:r w:rsidR="00BA340C" w:rsidRPr="001F56E5">
        <w:t xml:space="preserve">  85007-3231</w:t>
      </w:r>
    </w:p>
    <w:p w14:paraId="7C63F3D2" w14:textId="77777777" w:rsidR="00C41CA7" w:rsidRPr="001A3658" w:rsidRDefault="00C41CA7">
      <w:pPr>
        <w:pStyle w:val="Heading7"/>
        <w:rPr>
          <w:sz w:val="24"/>
          <w:szCs w:val="24"/>
        </w:rPr>
      </w:pPr>
      <w:r w:rsidRPr="001A3658">
        <w:rPr>
          <w:sz w:val="24"/>
          <w:szCs w:val="24"/>
        </w:rPr>
        <w:t>Telephone</w:t>
      </w:r>
      <w:proofErr w:type="gramStart"/>
      <w:r w:rsidRPr="001A3658">
        <w:rPr>
          <w:sz w:val="24"/>
          <w:szCs w:val="24"/>
        </w:rPr>
        <w:t>:  (</w:t>
      </w:r>
      <w:proofErr w:type="gramEnd"/>
      <w:r w:rsidRPr="001A3658">
        <w:rPr>
          <w:sz w:val="24"/>
          <w:szCs w:val="24"/>
        </w:rPr>
        <w:t xml:space="preserve">602) </w:t>
      </w:r>
      <w:r w:rsidR="00BA340C" w:rsidRPr="001A3658">
        <w:rPr>
          <w:sz w:val="24"/>
          <w:szCs w:val="24"/>
        </w:rPr>
        <w:t>452-3</w:t>
      </w:r>
      <w:r w:rsidR="00CD6934">
        <w:rPr>
          <w:sz w:val="24"/>
          <w:szCs w:val="24"/>
        </w:rPr>
        <w:t>528</w:t>
      </w:r>
    </w:p>
    <w:p w14:paraId="218DC57D" w14:textId="77777777" w:rsidR="00C41CA7" w:rsidRDefault="00C41CA7">
      <w:pPr>
        <w:jc w:val="both"/>
        <w:rPr>
          <w:szCs w:val="24"/>
        </w:rPr>
      </w:pPr>
      <w:r w:rsidRPr="001F56E5">
        <w:t>Facsimile</w:t>
      </w:r>
      <w:proofErr w:type="gramStart"/>
      <w:r w:rsidRPr="001F56E5">
        <w:t>:  (</w:t>
      </w:r>
      <w:proofErr w:type="gramEnd"/>
      <w:r w:rsidRPr="001F56E5">
        <w:t xml:space="preserve">602) </w:t>
      </w:r>
      <w:r w:rsidR="00BA340C" w:rsidRPr="001F56E5">
        <w:t>452-3482</w:t>
      </w:r>
    </w:p>
    <w:p w14:paraId="56DE0C2C" w14:textId="77777777" w:rsidR="001305A2" w:rsidRDefault="001305A2">
      <w:pPr>
        <w:jc w:val="both"/>
        <w:rPr>
          <w:szCs w:val="24"/>
        </w:rPr>
      </w:pPr>
      <w:r w:rsidRPr="001F56E5">
        <w:t>Bar No. 010417</w:t>
      </w:r>
    </w:p>
    <w:p w14:paraId="1F85E3EE" w14:textId="77777777" w:rsidR="009C3B71" w:rsidRDefault="009C3B71">
      <w:pPr>
        <w:jc w:val="both"/>
        <w:rPr>
          <w:szCs w:val="24"/>
        </w:rPr>
      </w:pPr>
    </w:p>
    <w:p w14:paraId="6E85E32C" w14:textId="77777777" w:rsidR="00C41CA7" w:rsidRPr="001A3658" w:rsidRDefault="00C41CA7">
      <w:pPr>
        <w:jc w:val="both"/>
        <w:rPr>
          <w:szCs w:val="24"/>
        </w:rPr>
      </w:pPr>
    </w:p>
    <w:p w14:paraId="2168F44A" w14:textId="77777777" w:rsidR="00C41CA7" w:rsidRPr="006D668F" w:rsidRDefault="00C41CA7" w:rsidP="006D668F">
      <w:pPr>
        <w:pStyle w:val="Heading1"/>
        <w:spacing w:line="240" w:lineRule="auto"/>
        <w:rPr>
          <w:rFonts w:ascii="Times New Roman" w:hAnsi="Times New Roman"/>
        </w:rPr>
      </w:pPr>
      <w:r w:rsidRPr="001F56E5">
        <w:rPr>
          <w:rFonts w:ascii="Times New Roman" w:hAnsi="Times New Roman"/>
        </w:rPr>
        <w:t>IN THE SUPREME COURT</w:t>
      </w:r>
    </w:p>
    <w:p w14:paraId="52708489" w14:textId="77777777" w:rsidR="00C41CA7" w:rsidRPr="006D668F" w:rsidRDefault="00C41CA7" w:rsidP="006D668F">
      <w:pPr>
        <w:pStyle w:val="Heading1"/>
        <w:spacing w:line="240" w:lineRule="auto"/>
        <w:rPr>
          <w:rFonts w:ascii="Times New Roman" w:hAnsi="Times New Roman"/>
        </w:rPr>
      </w:pPr>
      <w:r w:rsidRPr="001F56E5">
        <w:rPr>
          <w:rFonts w:ascii="Times New Roman" w:hAnsi="Times New Roman"/>
        </w:rPr>
        <w:t>STATE OF ARIZONA</w:t>
      </w:r>
    </w:p>
    <w:p w14:paraId="41996AD0" w14:textId="77777777" w:rsidR="001451DE" w:rsidRPr="001A3658" w:rsidRDefault="001451DE" w:rsidP="001451DE">
      <w:pPr>
        <w:rPr>
          <w:szCs w:val="24"/>
        </w:rPr>
      </w:pPr>
    </w:p>
    <w:p w14:paraId="35A38EBF" w14:textId="5918E832" w:rsidR="001A3658" w:rsidRPr="006D668F" w:rsidRDefault="001451DE">
      <w:pPr>
        <w:widowControl w:val="0"/>
        <w:autoSpaceDE w:val="0"/>
        <w:autoSpaceDN w:val="0"/>
        <w:adjustRightInd w:val="0"/>
        <w:rPr>
          <w:color w:val="000000"/>
        </w:rPr>
      </w:pPr>
      <w:r w:rsidRPr="001F56E5">
        <w:rPr>
          <w:color w:val="000000"/>
        </w:rPr>
        <w:t xml:space="preserve">In the Matter of      </w:t>
      </w:r>
      <w:r w:rsidR="00BE714E">
        <w:rPr>
          <w:color w:val="000000"/>
        </w:rPr>
        <w:tab/>
      </w:r>
      <w:r w:rsidR="00BE714E">
        <w:rPr>
          <w:color w:val="000000"/>
        </w:rPr>
        <w:tab/>
      </w:r>
      <w:r w:rsidR="00BE714E">
        <w:rPr>
          <w:color w:val="000000"/>
        </w:rPr>
        <w:tab/>
      </w:r>
      <w:r w:rsidR="00BE714E">
        <w:rPr>
          <w:color w:val="000000"/>
        </w:rPr>
        <w:tab/>
      </w:r>
      <w:r w:rsidRPr="001F56E5">
        <w:rPr>
          <w:color w:val="000000"/>
        </w:rPr>
        <w:t>)</w:t>
      </w:r>
      <w:r w:rsidR="001A3658" w:rsidRPr="001F56E5">
        <w:rPr>
          <w:color w:val="000000"/>
        </w:rPr>
        <w:t xml:space="preserve"> </w:t>
      </w:r>
      <w:r w:rsidRPr="001F56E5">
        <w:rPr>
          <w:color w:val="000000"/>
        </w:rPr>
        <w:t xml:space="preserve">  </w:t>
      </w:r>
    </w:p>
    <w:p w14:paraId="5EA7FF6A" w14:textId="4E587C55" w:rsidR="001451DE" w:rsidRPr="001A3658" w:rsidRDefault="001A3658" w:rsidP="5460F0E9">
      <w:pPr>
        <w:widowControl w:val="0"/>
        <w:autoSpaceDE w:val="0"/>
        <w:autoSpaceDN w:val="0"/>
        <w:adjustRightInd w:val="0"/>
        <w:rPr>
          <w:szCs w:val="24"/>
        </w:rPr>
      </w:pPr>
      <w:r w:rsidRPr="001F56E5">
        <w:rPr>
          <w:color w:val="000000"/>
        </w:rPr>
        <w:t xml:space="preserve">                           </w:t>
      </w:r>
      <w:r w:rsidR="00BE714E">
        <w:rPr>
          <w:color w:val="000000"/>
        </w:rPr>
        <w:tab/>
      </w:r>
      <w:r w:rsidR="00BE714E">
        <w:rPr>
          <w:color w:val="000000"/>
        </w:rPr>
        <w:tab/>
      </w:r>
      <w:r w:rsidR="00BE714E">
        <w:rPr>
          <w:color w:val="000000"/>
        </w:rPr>
        <w:tab/>
      </w:r>
      <w:r w:rsidR="00BE714E">
        <w:rPr>
          <w:color w:val="000000"/>
        </w:rPr>
        <w:tab/>
      </w:r>
      <w:r w:rsidRPr="001F56E5">
        <w:rPr>
          <w:color w:val="000000"/>
        </w:rPr>
        <w:t xml:space="preserve">)    </w:t>
      </w:r>
    </w:p>
    <w:p w14:paraId="6DFE7107" w14:textId="352C8BF6" w:rsidR="001451DE" w:rsidRPr="001A3658" w:rsidRDefault="001451DE" w:rsidP="5460F0E9">
      <w:pPr>
        <w:widowControl w:val="0"/>
        <w:autoSpaceDE w:val="0"/>
        <w:autoSpaceDN w:val="0"/>
        <w:adjustRightInd w:val="0"/>
        <w:rPr>
          <w:szCs w:val="24"/>
        </w:rPr>
      </w:pPr>
      <w:r w:rsidRPr="001F56E5">
        <w:rPr>
          <w:color w:val="000000"/>
        </w:rPr>
        <w:t xml:space="preserve">              </w:t>
      </w:r>
      <w:r w:rsidR="00BE714E">
        <w:rPr>
          <w:color w:val="000000"/>
        </w:rPr>
        <w:tab/>
      </w:r>
      <w:r w:rsidR="00BE714E">
        <w:rPr>
          <w:color w:val="000000"/>
        </w:rPr>
        <w:tab/>
      </w:r>
      <w:r w:rsidR="00BE714E">
        <w:rPr>
          <w:color w:val="000000"/>
        </w:rPr>
        <w:tab/>
      </w:r>
      <w:r w:rsidR="00BE714E">
        <w:rPr>
          <w:color w:val="000000"/>
        </w:rPr>
        <w:tab/>
      </w:r>
      <w:r w:rsidR="00BE714E">
        <w:rPr>
          <w:color w:val="000000"/>
        </w:rPr>
        <w:tab/>
      </w:r>
      <w:r w:rsidRPr="001F56E5">
        <w:rPr>
          <w:color w:val="000000"/>
        </w:rPr>
        <w:t xml:space="preserve">)  </w:t>
      </w:r>
      <w:r w:rsidR="001A3658" w:rsidRPr="001F56E5">
        <w:rPr>
          <w:color w:val="000000"/>
        </w:rPr>
        <w:t xml:space="preserve">        </w:t>
      </w:r>
      <w:r w:rsidRPr="001F56E5">
        <w:rPr>
          <w:color w:val="000000"/>
        </w:rPr>
        <w:t xml:space="preserve">             </w:t>
      </w:r>
    </w:p>
    <w:p w14:paraId="55430C7B" w14:textId="63D3153B" w:rsidR="00623CFC" w:rsidRPr="006D668F" w:rsidRDefault="001305A2">
      <w:pPr>
        <w:widowControl w:val="0"/>
        <w:autoSpaceDE w:val="0"/>
        <w:autoSpaceDN w:val="0"/>
        <w:adjustRightInd w:val="0"/>
        <w:rPr>
          <w:color w:val="000000"/>
        </w:rPr>
      </w:pPr>
      <w:r w:rsidRPr="001F56E5">
        <w:rPr>
          <w:color w:val="000000"/>
        </w:rPr>
        <w:t>PETITION TO AMEND RULE</w:t>
      </w:r>
      <w:r w:rsidR="00CD2995">
        <w:rPr>
          <w:color w:val="000000"/>
        </w:rPr>
        <w:t>S</w:t>
      </w:r>
      <w:r w:rsidRPr="001F56E5">
        <w:rPr>
          <w:color w:val="000000"/>
        </w:rPr>
        <w:t xml:space="preserve"> </w:t>
      </w:r>
      <w:r w:rsidR="00CD2995">
        <w:rPr>
          <w:color w:val="000000"/>
        </w:rPr>
        <w:t xml:space="preserve">  </w:t>
      </w:r>
      <w:r w:rsidR="00BE714E">
        <w:rPr>
          <w:color w:val="000000"/>
        </w:rPr>
        <w:tab/>
      </w:r>
      <w:proofErr w:type="gramStart"/>
      <w:r w:rsidR="00BE714E">
        <w:rPr>
          <w:color w:val="000000"/>
        </w:rPr>
        <w:tab/>
      </w:r>
      <w:r w:rsidR="00623CFC" w:rsidRPr="001F56E5">
        <w:rPr>
          <w:color w:val="000000"/>
        </w:rPr>
        <w:t>)</w:t>
      </w:r>
      <w:r w:rsidR="00BE714E">
        <w:rPr>
          <w:color w:val="000000"/>
        </w:rPr>
        <w:t xml:space="preserve">   </w:t>
      </w:r>
      <w:proofErr w:type="gramEnd"/>
      <w:r w:rsidR="00BE714E" w:rsidRPr="00BE714E">
        <w:rPr>
          <w:color w:val="000000"/>
        </w:rPr>
        <w:t xml:space="preserve"> </w:t>
      </w:r>
      <w:r w:rsidR="00BE714E" w:rsidRPr="001F56E5">
        <w:rPr>
          <w:color w:val="000000"/>
        </w:rPr>
        <w:t>Arizona Supreme Court No. R-__________</w:t>
      </w:r>
    </w:p>
    <w:p w14:paraId="400DA7BA" w14:textId="2E9A4D73" w:rsidR="00CD2995" w:rsidRDefault="00CD2995" w:rsidP="5460F0E9">
      <w:pPr>
        <w:widowControl w:val="0"/>
        <w:autoSpaceDE w:val="0"/>
        <w:autoSpaceDN w:val="0"/>
        <w:adjustRightInd w:val="0"/>
        <w:rPr>
          <w:color w:val="000000"/>
        </w:rPr>
      </w:pPr>
      <w:r>
        <w:rPr>
          <w:color w:val="000000"/>
        </w:rPr>
        <w:t>31.12(a)</w:t>
      </w:r>
      <w:r w:rsidRPr="001F56E5">
        <w:rPr>
          <w:color w:val="000000"/>
        </w:rPr>
        <w:t>,</w:t>
      </w:r>
      <w:r>
        <w:rPr>
          <w:color w:val="000000"/>
        </w:rPr>
        <w:t xml:space="preserve"> 31.14(a), 31.18(d), 31.20(e</w:t>
      </w:r>
      <w:proofErr w:type="gramStart"/>
      <w:r>
        <w:rPr>
          <w:color w:val="000000"/>
        </w:rPr>
        <w:t xml:space="preserve">),   </w:t>
      </w:r>
      <w:proofErr w:type="gramEnd"/>
      <w:r w:rsidR="00BE714E">
        <w:rPr>
          <w:color w:val="000000"/>
        </w:rPr>
        <w:tab/>
      </w:r>
      <w:r>
        <w:rPr>
          <w:color w:val="000000"/>
        </w:rPr>
        <w:t>)</w:t>
      </w:r>
    </w:p>
    <w:p w14:paraId="47A25CCF" w14:textId="1947E757" w:rsidR="00CD2995" w:rsidRDefault="00FA5905" w:rsidP="5460F0E9">
      <w:pPr>
        <w:widowControl w:val="0"/>
        <w:autoSpaceDE w:val="0"/>
        <w:autoSpaceDN w:val="0"/>
        <w:adjustRightInd w:val="0"/>
        <w:rPr>
          <w:color w:val="000000"/>
        </w:rPr>
      </w:pPr>
      <w:r>
        <w:rPr>
          <w:color w:val="000000"/>
        </w:rPr>
        <w:t>and</w:t>
      </w:r>
      <w:r w:rsidR="00CD2995">
        <w:rPr>
          <w:color w:val="000000"/>
        </w:rPr>
        <w:t xml:space="preserve"> 31.21(g), ARIZONA RULES       </w:t>
      </w:r>
      <w:r w:rsidR="00BE714E">
        <w:rPr>
          <w:color w:val="000000"/>
        </w:rPr>
        <w:tab/>
      </w:r>
      <w:r w:rsidR="00CD2995">
        <w:rPr>
          <w:color w:val="000000"/>
        </w:rPr>
        <w:t>)</w:t>
      </w:r>
    </w:p>
    <w:p w14:paraId="0842BD1A" w14:textId="23286157" w:rsidR="001451DE" w:rsidRPr="001A3658" w:rsidRDefault="00CD2995" w:rsidP="5460F0E9">
      <w:pPr>
        <w:widowControl w:val="0"/>
        <w:autoSpaceDE w:val="0"/>
        <w:autoSpaceDN w:val="0"/>
        <w:adjustRightInd w:val="0"/>
        <w:rPr>
          <w:szCs w:val="24"/>
        </w:rPr>
      </w:pPr>
      <w:r>
        <w:rPr>
          <w:color w:val="000000"/>
        </w:rPr>
        <w:t xml:space="preserve">OF CRIMINAL PROCEDURE          </w:t>
      </w:r>
      <w:proofErr w:type="gramStart"/>
      <w:r w:rsidR="00BE714E">
        <w:rPr>
          <w:color w:val="000000"/>
        </w:rPr>
        <w:tab/>
      </w:r>
      <w:r w:rsidR="001451DE" w:rsidRPr="001F56E5">
        <w:rPr>
          <w:color w:val="000000"/>
        </w:rPr>
        <w:t xml:space="preserve">)   </w:t>
      </w:r>
      <w:proofErr w:type="gramEnd"/>
      <w:r w:rsidR="001451DE" w:rsidRPr="001F56E5">
        <w:rPr>
          <w:color w:val="000000"/>
        </w:rPr>
        <w:t xml:space="preserve"> </w:t>
      </w:r>
      <w:r w:rsidR="00BE714E">
        <w:rPr>
          <w:color w:val="000000"/>
        </w:rPr>
        <w:t>(expedited consideration requested)</w:t>
      </w:r>
      <w:r w:rsidR="001451DE" w:rsidRPr="001F56E5">
        <w:rPr>
          <w:color w:val="000000"/>
        </w:rPr>
        <w:t xml:space="preserve">                        </w:t>
      </w:r>
    </w:p>
    <w:p w14:paraId="035D4FF0" w14:textId="418F96C2" w:rsidR="001451DE" w:rsidRPr="006D668F" w:rsidRDefault="00B80328">
      <w:pPr>
        <w:widowControl w:val="0"/>
        <w:autoSpaceDE w:val="0"/>
        <w:autoSpaceDN w:val="0"/>
        <w:adjustRightInd w:val="0"/>
        <w:rPr>
          <w:color w:val="000000"/>
        </w:rPr>
      </w:pPr>
      <w:r w:rsidRPr="001F56E5">
        <w:rPr>
          <w:color w:val="000000"/>
        </w:rPr>
        <w:t xml:space="preserve">                                                         </w:t>
      </w:r>
      <w:r w:rsidR="00BE714E">
        <w:rPr>
          <w:color w:val="000000"/>
        </w:rPr>
        <w:tab/>
      </w:r>
      <w:r w:rsidR="00BE714E">
        <w:rPr>
          <w:color w:val="000000"/>
        </w:rPr>
        <w:tab/>
      </w:r>
      <w:r w:rsidR="001A3658" w:rsidRPr="001F56E5">
        <w:rPr>
          <w:color w:val="000000"/>
        </w:rPr>
        <w:t xml:space="preserve">)    </w:t>
      </w:r>
    </w:p>
    <w:p w14:paraId="10C27B21" w14:textId="47E1884B" w:rsidR="001451DE" w:rsidRPr="001A3658" w:rsidRDefault="001451DE" w:rsidP="5460F0E9">
      <w:pPr>
        <w:rPr>
          <w:szCs w:val="24"/>
        </w:rPr>
      </w:pPr>
      <w:r w:rsidRPr="001F56E5">
        <w:rPr>
          <w:color w:val="000000"/>
        </w:rPr>
        <w:t>_________________________________</w:t>
      </w:r>
      <w:r w:rsidR="00BE714E">
        <w:rPr>
          <w:color w:val="000000"/>
        </w:rPr>
        <w:t>___</w:t>
      </w:r>
      <w:r w:rsidRPr="001F56E5">
        <w:rPr>
          <w:color w:val="000000"/>
        </w:rPr>
        <w:t xml:space="preserve">)   </w:t>
      </w:r>
    </w:p>
    <w:p w14:paraId="0FFA6660" w14:textId="77777777" w:rsidR="001451DE" w:rsidRPr="001A3658" w:rsidRDefault="001451DE" w:rsidP="001451DE">
      <w:pPr>
        <w:rPr>
          <w:szCs w:val="24"/>
        </w:rPr>
      </w:pPr>
    </w:p>
    <w:p w14:paraId="14362BFF" w14:textId="77777777" w:rsidR="00C41CA7" w:rsidRPr="001A3658" w:rsidRDefault="00C41CA7">
      <w:pPr>
        <w:jc w:val="both"/>
        <w:rPr>
          <w:szCs w:val="24"/>
        </w:rPr>
      </w:pPr>
    </w:p>
    <w:p w14:paraId="7D42952C" w14:textId="3E929709" w:rsidR="001A3658" w:rsidRDefault="00C41CA7" w:rsidP="00BE714E">
      <w:pPr>
        <w:pStyle w:val="BodyText"/>
        <w:ind w:firstLine="720"/>
        <w:jc w:val="both"/>
        <w:rPr>
          <w:b/>
          <w:bCs/>
          <w:sz w:val="24"/>
          <w:szCs w:val="24"/>
        </w:rPr>
      </w:pPr>
      <w:r w:rsidRPr="001A3658">
        <w:rPr>
          <w:b/>
          <w:bCs/>
          <w:sz w:val="24"/>
          <w:szCs w:val="24"/>
        </w:rPr>
        <w:t xml:space="preserve">PETITION </w:t>
      </w:r>
      <w:r w:rsidR="00A61FF5" w:rsidRPr="001A3658">
        <w:rPr>
          <w:b/>
          <w:bCs/>
          <w:sz w:val="24"/>
          <w:szCs w:val="24"/>
        </w:rPr>
        <w:t xml:space="preserve">TO AMEND THE RULES OF </w:t>
      </w:r>
      <w:r w:rsidR="00BE714E">
        <w:rPr>
          <w:b/>
          <w:bCs/>
          <w:sz w:val="24"/>
          <w:szCs w:val="24"/>
        </w:rPr>
        <w:t>CRIMINAL PROCEDURE</w:t>
      </w:r>
      <w:r w:rsidR="00A61FF5" w:rsidRPr="001A3658">
        <w:rPr>
          <w:b/>
          <w:bCs/>
          <w:sz w:val="24"/>
          <w:szCs w:val="24"/>
        </w:rPr>
        <w:t xml:space="preserve"> </w:t>
      </w:r>
    </w:p>
    <w:p w14:paraId="7E61BA62" w14:textId="77777777" w:rsidR="00695322" w:rsidRDefault="00695322" w:rsidP="00695322">
      <w:pPr>
        <w:pStyle w:val="BodyText"/>
        <w:jc w:val="center"/>
        <w:rPr>
          <w:sz w:val="24"/>
          <w:szCs w:val="24"/>
        </w:rPr>
      </w:pPr>
    </w:p>
    <w:p w14:paraId="0638361E" w14:textId="422BE903" w:rsidR="003D73E0" w:rsidRDefault="00716C66">
      <w:pPr>
        <w:pStyle w:val="BodyText"/>
        <w:tabs>
          <w:tab w:val="left" w:pos="711"/>
        </w:tabs>
        <w:spacing w:line="480" w:lineRule="auto"/>
        <w:jc w:val="both"/>
        <w:rPr>
          <w:sz w:val="24"/>
          <w:szCs w:val="24"/>
        </w:rPr>
      </w:pPr>
      <w:r>
        <w:rPr>
          <w:sz w:val="24"/>
          <w:szCs w:val="24"/>
        </w:rPr>
        <w:tab/>
      </w:r>
      <w:r w:rsidR="00C41CA7" w:rsidRPr="001A3658">
        <w:rPr>
          <w:sz w:val="24"/>
          <w:szCs w:val="24"/>
        </w:rPr>
        <w:t xml:space="preserve">Pursuant to Rule 28, Rules of the Supreme Court, </w:t>
      </w:r>
      <w:r w:rsidR="00CD6934">
        <w:rPr>
          <w:sz w:val="24"/>
          <w:szCs w:val="24"/>
        </w:rPr>
        <w:t xml:space="preserve">Arizona Supreme Court </w:t>
      </w:r>
      <w:r w:rsidR="001305A2">
        <w:rPr>
          <w:sz w:val="24"/>
          <w:szCs w:val="24"/>
        </w:rPr>
        <w:t>Staff Attorneys’ Office</w:t>
      </w:r>
      <w:r w:rsidR="000E7EE1">
        <w:rPr>
          <w:sz w:val="24"/>
          <w:szCs w:val="24"/>
        </w:rPr>
        <w:t xml:space="preserve"> </w:t>
      </w:r>
      <w:r w:rsidR="00C41CA7" w:rsidRPr="001A3658">
        <w:rPr>
          <w:sz w:val="24"/>
          <w:szCs w:val="24"/>
        </w:rPr>
        <w:t>petition</w:t>
      </w:r>
      <w:r w:rsidR="00CD6934">
        <w:rPr>
          <w:sz w:val="24"/>
          <w:szCs w:val="24"/>
        </w:rPr>
        <w:t>s</w:t>
      </w:r>
      <w:r w:rsidR="00C41CA7" w:rsidRPr="001A3658">
        <w:rPr>
          <w:sz w:val="24"/>
          <w:szCs w:val="24"/>
        </w:rPr>
        <w:t xml:space="preserve"> the Court to </w:t>
      </w:r>
      <w:r w:rsidR="001305A2">
        <w:rPr>
          <w:sz w:val="24"/>
          <w:szCs w:val="24"/>
        </w:rPr>
        <w:t xml:space="preserve">adopt </w:t>
      </w:r>
      <w:r w:rsidR="000E7EE1">
        <w:rPr>
          <w:sz w:val="24"/>
          <w:szCs w:val="24"/>
        </w:rPr>
        <w:t>amend</w:t>
      </w:r>
      <w:r w:rsidR="001305A2">
        <w:rPr>
          <w:sz w:val="24"/>
          <w:szCs w:val="24"/>
        </w:rPr>
        <w:t xml:space="preserve">ments to </w:t>
      </w:r>
      <w:r w:rsidR="00BE714E" w:rsidRPr="00154F53">
        <w:rPr>
          <w:color w:val="000000"/>
          <w:sz w:val="24"/>
          <w:szCs w:val="24"/>
        </w:rPr>
        <w:t>31.12(a), 31.14(a), 31.18(d), 31.20(e), and 31.21(g)</w:t>
      </w:r>
      <w:r w:rsidR="001305A2" w:rsidRPr="00154F53">
        <w:rPr>
          <w:sz w:val="24"/>
          <w:szCs w:val="24"/>
        </w:rPr>
        <w:t>,</w:t>
      </w:r>
      <w:r w:rsidR="000E7EE1">
        <w:rPr>
          <w:sz w:val="24"/>
          <w:szCs w:val="24"/>
        </w:rPr>
        <w:t xml:space="preserve"> </w:t>
      </w:r>
      <w:r w:rsidR="007C174C">
        <w:rPr>
          <w:sz w:val="24"/>
          <w:szCs w:val="24"/>
        </w:rPr>
        <w:t>Arizona Rules of Criminal Procedure</w:t>
      </w:r>
      <w:r w:rsidR="00A61FF5" w:rsidRPr="001A3658">
        <w:rPr>
          <w:sz w:val="24"/>
          <w:szCs w:val="24"/>
        </w:rPr>
        <w:t xml:space="preserve">, </w:t>
      </w:r>
      <w:r w:rsidR="00C41CA7" w:rsidRPr="001A3658">
        <w:rPr>
          <w:sz w:val="24"/>
          <w:szCs w:val="24"/>
        </w:rPr>
        <w:t xml:space="preserve">as </w:t>
      </w:r>
      <w:r w:rsidR="001305A2">
        <w:rPr>
          <w:sz w:val="24"/>
          <w:szCs w:val="24"/>
        </w:rPr>
        <w:t>proposed</w:t>
      </w:r>
      <w:r w:rsidR="00C41CA7" w:rsidRPr="001A3658">
        <w:rPr>
          <w:sz w:val="24"/>
          <w:szCs w:val="24"/>
        </w:rPr>
        <w:t xml:space="preserve"> in the </w:t>
      </w:r>
      <w:r w:rsidR="00B80328">
        <w:rPr>
          <w:sz w:val="24"/>
          <w:szCs w:val="24"/>
        </w:rPr>
        <w:t>attachment</w:t>
      </w:r>
      <w:r w:rsidR="00C41CA7" w:rsidRPr="001A3658">
        <w:rPr>
          <w:sz w:val="24"/>
          <w:szCs w:val="24"/>
        </w:rPr>
        <w:t xml:space="preserve">.  </w:t>
      </w:r>
    </w:p>
    <w:p w14:paraId="3580E1C2" w14:textId="77777777" w:rsidR="003D73E0" w:rsidRDefault="00C41CA7">
      <w:pPr>
        <w:pStyle w:val="BodyText"/>
        <w:numPr>
          <w:ilvl w:val="0"/>
          <w:numId w:val="4"/>
        </w:numPr>
        <w:tabs>
          <w:tab w:val="left" w:pos="720"/>
        </w:tabs>
        <w:ind w:hanging="1080"/>
        <w:jc w:val="both"/>
        <w:rPr>
          <w:b/>
          <w:bCs/>
          <w:sz w:val="24"/>
          <w:szCs w:val="24"/>
        </w:rPr>
      </w:pPr>
      <w:r w:rsidRPr="001A3658">
        <w:rPr>
          <w:b/>
          <w:bCs/>
          <w:sz w:val="24"/>
          <w:szCs w:val="24"/>
        </w:rPr>
        <w:t>INTRODUCTION</w:t>
      </w:r>
      <w:r w:rsidR="001B6095">
        <w:rPr>
          <w:b/>
          <w:bCs/>
          <w:sz w:val="24"/>
          <w:szCs w:val="24"/>
        </w:rPr>
        <w:t xml:space="preserve"> AND BACKGROUND</w:t>
      </w:r>
    </w:p>
    <w:p w14:paraId="2C61A68B" w14:textId="77777777" w:rsidR="00C41CA7" w:rsidRPr="001A3658" w:rsidRDefault="00C41CA7">
      <w:pPr>
        <w:pStyle w:val="BodyText"/>
        <w:jc w:val="both"/>
        <w:rPr>
          <w:b/>
          <w:bCs/>
          <w:sz w:val="24"/>
          <w:szCs w:val="24"/>
        </w:rPr>
      </w:pPr>
    </w:p>
    <w:p w14:paraId="393EFEE2" w14:textId="6AA6B009" w:rsidR="003D73E0" w:rsidRPr="00427235" w:rsidRDefault="00716C66" w:rsidP="5460F0E9">
      <w:pPr>
        <w:tabs>
          <w:tab w:val="left" w:pos="720"/>
        </w:tabs>
        <w:autoSpaceDE w:val="0"/>
        <w:autoSpaceDN w:val="0"/>
        <w:adjustRightInd w:val="0"/>
        <w:spacing w:line="480" w:lineRule="auto"/>
        <w:jc w:val="both"/>
        <w:rPr>
          <w:szCs w:val="24"/>
        </w:rPr>
      </w:pPr>
      <w:r>
        <w:rPr>
          <w:szCs w:val="24"/>
        </w:rPr>
        <w:tab/>
      </w:r>
      <w:r w:rsidR="00031D2F" w:rsidRPr="00427235">
        <w:rPr>
          <w:szCs w:val="24"/>
        </w:rPr>
        <w:t xml:space="preserve">In 2017, </w:t>
      </w:r>
      <w:r w:rsidR="00031D2F" w:rsidRPr="00427235">
        <w:t>t</w:t>
      </w:r>
      <w:r w:rsidR="00FD73AD" w:rsidRPr="00427235">
        <w:t xml:space="preserve">he Arizona Supreme Court </w:t>
      </w:r>
      <w:r w:rsidR="00102E16" w:rsidRPr="00427235">
        <w:t xml:space="preserve">adopted a major revision and restyling of the Rules of Criminal Procedure </w:t>
      </w:r>
      <w:r w:rsidR="00102E16" w:rsidRPr="00427235">
        <w:rPr>
          <w:szCs w:val="24"/>
        </w:rPr>
        <w:t>(“Criminal Rules”)</w:t>
      </w:r>
      <w:r w:rsidR="00102E16" w:rsidRPr="00427235">
        <w:t>, effective January 1, 2018</w:t>
      </w:r>
      <w:r w:rsidR="00690474" w:rsidRPr="00427235">
        <w:t xml:space="preserve">. </w:t>
      </w:r>
      <w:r w:rsidR="00102E16" w:rsidRPr="00427235">
        <w:t xml:space="preserve"> </w:t>
      </w:r>
    </w:p>
    <w:p w14:paraId="3209CECB" w14:textId="0292BD37" w:rsidR="003B2773" w:rsidRPr="00427235" w:rsidRDefault="00690474" w:rsidP="58A62DC0">
      <w:pPr>
        <w:tabs>
          <w:tab w:val="left" w:pos="720"/>
        </w:tabs>
        <w:autoSpaceDE w:val="0"/>
        <w:autoSpaceDN w:val="0"/>
        <w:adjustRightInd w:val="0"/>
        <w:spacing w:line="480" w:lineRule="auto"/>
        <w:jc w:val="both"/>
      </w:pPr>
      <w:r w:rsidRPr="00427235">
        <w:rPr>
          <w:szCs w:val="24"/>
        </w:rPr>
        <w:tab/>
      </w:r>
      <w:r w:rsidRPr="00427235">
        <w:t xml:space="preserve">The </w:t>
      </w:r>
      <w:r w:rsidR="00102E16" w:rsidRPr="00427235">
        <w:t>appellate court</w:t>
      </w:r>
      <w:r w:rsidRPr="00427235">
        <w:t xml:space="preserve"> </w:t>
      </w:r>
      <w:r w:rsidR="00102E16" w:rsidRPr="00427235">
        <w:t>c</w:t>
      </w:r>
      <w:r w:rsidRPr="00427235">
        <w:t>lerk</w:t>
      </w:r>
      <w:r w:rsidR="00102E16" w:rsidRPr="00427235">
        <w:t xml:space="preserve">s file numerous handwritten appeals, petitions for review, other petitions, and motions (“handwritten filings”) from self-representing criminal defendants.  Of the 630 criminal petitions for review filed in the Arizona Supreme Court, for example, a majority </w:t>
      </w:r>
      <w:r w:rsidR="00102E16" w:rsidRPr="00427235">
        <w:lastRenderedPageBreak/>
        <w:t>were from self-represented incarcerated litigants who have no access to computers.  In the now-superseded version, the Criminal</w:t>
      </w:r>
      <w:r w:rsidRPr="00427235">
        <w:t xml:space="preserve"> </w:t>
      </w:r>
      <w:r w:rsidR="00102E16" w:rsidRPr="00427235">
        <w:t>R</w:t>
      </w:r>
      <w:r w:rsidRPr="00427235">
        <w:t>ule</w:t>
      </w:r>
      <w:r w:rsidR="00102E16" w:rsidRPr="00427235">
        <w:t xml:space="preserve">s specified page limits for handwritten </w:t>
      </w:r>
      <w:r w:rsidR="003B2773" w:rsidRPr="00427235">
        <w:t xml:space="preserve">appellate court </w:t>
      </w:r>
      <w:r w:rsidR="00102E16" w:rsidRPr="00427235">
        <w:t>filings</w:t>
      </w:r>
      <w:r w:rsidR="003B2773" w:rsidRPr="00427235">
        <w:t xml:space="preserve">.  The current Criminal Rules prescribe word counts.  While word-processing programs automatically tally word totals, handwritten pleadings provide no such cues to the author.  The length of handwritten pleadings may most reliably </w:t>
      </w:r>
      <w:r w:rsidR="00A32179" w:rsidRPr="00427235">
        <w:t xml:space="preserve">(and most simply) </w:t>
      </w:r>
      <w:r w:rsidR="003B2773" w:rsidRPr="00427235">
        <w:t>be verified by number of pages.</w:t>
      </w:r>
      <w:r w:rsidR="00EB1BCA" w:rsidRPr="00427235">
        <w:t xml:space="preserve">  </w:t>
      </w:r>
    </w:p>
    <w:p w14:paraId="40C4FC84" w14:textId="5E9B87B2" w:rsidR="00690474" w:rsidRPr="00427235" w:rsidRDefault="003B2773" w:rsidP="58A62DC0">
      <w:pPr>
        <w:tabs>
          <w:tab w:val="left" w:pos="720"/>
        </w:tabs>
        <w:autoSpaceDE w:val="0"/>
        <w:autoSpaceDN w:val="0"/>
        <w:adjustRightInd w:val="0"/>
        <w:spacing w:line="480" w:lineRule="auto"/>
        <w:jc w:val="both"/>
        <w:rPr>
          <w:szCs w:val="24"/>
        </w:rPr>
      </w:pPr>
      <w:r w:rsidRPr="00427235">
        <w:tab/>
        <w:t>In response to a request by</w:t>
      </w:r>
      <w:r w:rsidR="00FA6BAA">
        <w:t xml:space="preserve"> and the agreement of</w:t>
      </w:r>
      <w:r w:rsidRPr="00427235">
        <w:t xml:space="preserve"> the </w:t>
      </w:r>
      <w:r w:rsidR="00FA6BAA">
        <w:t xml:space="preserve">Arizona </w:t>
      </w:r>
      <w:bookmarkStart w:id="0" w:name="_GoBack"/>
      <w:bookmarkEnd w:id="0"/>
      <w:r w:rsidRPr="00427235">
        <w:t xml:space="preserve">appellate court clerks, the Staff Attorneys’ Office considered the difficulty </w:t>
      </w:r>
      <w:r w:rsidR="00DB7ABF" w:rsidRPr="00427235">
        <w:t>presented in</w:t>
      </w:r>
      <w:r w:rsidRPr="00427235">
        <w:t xml:space="preserve"> </w:t>
      </w:r>
      <w:r w:rsidR="00DB7ABF" w:rsidRPr="00427235">
        <w:t>determining</w:t>
      </w:r>
      <w:r w:rsidRPr="00427235">
        <w:t xml:space="preserve"> compliance with the word limits and therefore joins with the clerks in asking the Court to reinstitute page limits for handwritten appellate pleadings.</w:t>
      </w:r>
    </w:p>
    <w:p w14:paraId="60183AAE" w14:textId="4DE7E13A" w:rsidR="00C41CA7" w:rsidRPr="00427235" w:rsidRDefault="00C41CA7">
      <w:pPr>
        <w:numPr>
          <w:ilvl w:val="0"/>
          <w:numId w:val="4"/>
        </w:numPr>
        <w:tabs>
          <w:tab w:val="clear" w:pos="1080"/>
          <w:tab w:val="num" w:pos="720"/>
        </w:tabs>
        <w:autoSpaceDE w:val="0"/>
        <w:autoSpaceDN w:val="0"/>
        <w:adjustRightInd w:val="0"/>
        <w:ind w:left="720"/>
        <w:jc w:val="both"/>
        <w:rPr>
          <w:b/>
          <w:bCs/>
        </w:rPr>
      </w:pPr>
      <w:r w:rsidRPr="00427235">
        <w:rPr>
          <w:b/>
          <w:bCs/>
        </w:rPr>
        <w:t xml:space="preserve">SUMMARY OF THE PROPOSED </w:t>
      </w:r>
      <w:r w:rsidR="001A3658" w:rsidRPr="00427235">
        <w:rPr>
          <w:b/>
          <w:bCs/>
        </w:rPr>
        <w:t>AMENDMENT</w:t>
      </w:r>
      <w:r w:rsidR="003B2773" w:rsidRPr="00427235">
        <w:rPr>
          <w:b/>
          <w:bCs/>
        </w:rPr>
        <w:t>S</w:t>
      </w:r>
    </w:p>
    <w:p w14:paraId="1C90002D" w14:textId="77777777" w:rsidR="00D27B00" w:rsidRPr="00427235" w:rsidRDefault="00D27B00" w:rsidP="00716C66">
      <w:pPr>
        <w:jc w:val="both"/>
        <w:rPr>
          <w:b/>
          <w:szCs w:val="24"/>
        </w:rPr>
      </w:pPr>
    </w:p>
    <w:p w14:paraId="14039B72" w14:textId="05C76A96" w:rsidR="00E41828" w:rsidRPr="00427235" w:rsidRDefault="00716C66" w:rsidP="00970DA0">
      <w:pPr>
        <w:tabs>
          <w:tab w:val="left" w:pos="720"/>
        </w:tabs>
        <w:autoSpaceDE w:val="0"/>
        <w:autoSpaceDN w:val="0"/>
        <w:adjustRightInd w:val="0"/>
        <w:spacing w:line="480" w:lineRule="auto"/>
        <w:jc w:val="both"/>
      </w:pPr>
      <w:r w:rsidRPr="00427235">
        <w:rPr>
          <w:szCs w:val="24"/>
        </w:rPr>
        <w:tab/>
      </w:r>
      <w:r w:rsidR="009D231B" w:rsidRPr="00427235">
        <w:t>The proposed amendment</w:t>
      </w:r>
      <w:r w:rsidR="003B2773" w:rsidRPr="00427235">
        <w:t>s</w:t>
      </w:r>
      <w:r w:rsidR="009D231B" w:rsidRPr="00427235">
        <w:t xml:space="preserve"> </w:t>
      </w:r>
      <w:r w:rsidR="003B2773" w:rsidRPr="00427235">
        <w:t>all concern Criminal Rule 31, Appeals</w:t>
      </w:r>
      <w:r w:rsidR="00742963" w:rsidRPr="00427235">
        <w:t xml:space="preserve">.  </w:t>
      </w:r>
      <w:r w:rsidR="00970DA0" w:rsidRPr="00427235">
        <w:t>These c</w:t>
      </w:r>
      <w:r w:rsidR="00E41828" w:rsidRPr="00427235">
        <w:t>hanges</w:t>
      </w:r>
      <w:r w:rsidR="00EB1BCA" w:rsidRPr="00427235">
        <w:t xml:space="preserve"> </w:t>
      </w:r>
      <w:r w:rsidR="00970DA0" w:rsidRPr="00427235">
        <w:t>amount to translating the word counts in various subsections of the rules listed in Rule 31.6(d) into number of pages by dividing the word limits by 280, the maximum number of words per page as provided in former Criminal Rule 31.13(b)(1).</w:t>
      </w:r>
    </w:p>
    <w:p w14:paraId="4E50B3F0" w14:textId="29663A9B" w:rsidR="00DB7ABF" w:rsidRPr="00427235" w:rsidRDefault="00DB7ABF" w:rsidP="00970DA0">
      <w:pPr>
        <w:tabs>
          <w:tab w:val="left" w:pos="720"/>
        </w:tabs>
        <w:autoSpaceDE w:val="0"/>
        <w:autoSpaceDN w:val="0"/>
        <w:adjustRightInd w:val="0"/>
        <w:spacing w:line="480" w:lineRule="auto"/>
        <w:jc w:val="both"/>
      </w:pPr>
      <w:r w:rsidRPr="00427235">
        <w:tab/>
        <w:t xml:space="preserve">The amendment would also re-establish that for handwritten pleadings under Rule 31.21 (Petition for Review), a party must file </w:t>
      </w:r>
      <w:r w:rsidR="0000429D">
        <w:t>an</w:t>
      </w:r>
      <w:r w:rsidR="0000429D" w:rsidRPr="00427235">
        <w:t xml:space="preserve"> </w:t>
      </w:r>
      <w:r w:rsidRPr="00427235">
        <w:t>original and one copy.</w:t>
      </w:r>
    </w:p>
    <w:p w14:paraId="4005550C" w14:textId="0740C874" w:rsidR="00970DA0" w:rsidRPr="00427235" w:rsidRDefault="00970DA0" w:rsidP="00970DA0">
      <w:pPr>
        <w:numPr>
          <w:ilvl w:val="0"/>
          <w:numId w:val="4"/>
        </w:numPr>
        <w:tabs>
          <w:tab w:val="clear" w:pos="1080"/>
          <w:tab w:val="num" w:pos="720"/>
        </w:tabs>
        <w:autoSpaceDE w:val="0"/>
        <w:autoSpaceDN w:val="0"/>
        <w:adjustRightInd w:val="0"/>
        <w:ind w:left="720"/>
        <w:jc w:val="both"/>
        <w:rPr>
          <w:b/>
          <w:bCs/>
        </w:rPr>
      </w:pPr>
      <w:r w:rsidRPr="00427235">
        <w:rPr>
          <w:b/>
          <w:bCs/>
        </w:rPr>
        <w:t>PRELIMINARY COMMENTS</w:t>
      </w:r>
    </w:p>
    <w:p w14:paraId="279C79B7" w14:textId="77777777" w:rsidR="00970DA0" w:rsidRPr="00427235" w:rsidRDefault="00970DA0" w:rsidP="00970DA0">
      <w:pPr>
        <w:jc w:val="both"/>
        <w:rPr>
          <w:b/>
          <w:szCs w:val="24"/>
        </w:rPr>
      </w:pPr>
    </w:p>
    <w:p w14:paraId="38F6187B" w14:textId="4FA08872" w:rsidR="00970DA0" w:rsidRPr="00427235" w:rsidRDefault="00970DA0" w:rsidP="00970DA0">
      <w:pPr>
        <w:tabs>
          <w:tab w:val="left" w:pos="720"/>
        </w:tabs>
        <w:autoSpaceDE w:val="0"/>
        <w:autoSpaceDN w:val="0"/>
        <w:adjustRightInd w:val="0"/>
        <w:spacing w:line="480" w:lineRule="auto"/>
        <w:ind w:left="720"/>
        <w:jc w:val="both"/>
      </w:pPr>
      <w:r w:rsidRPr="00427235">
        <w:t>This petition was not circulated for pre-petition comments.</w:t>
      </w:r>
    </w:p>
    <w:p w14:paraId="4910AC96" w14:textId="206AEA40" w:rsidR="00970DA0" w:rsidRPr="00427235" w:rsidRDefault="00F10D47" w:rsidP="00970DA0">
      <w:pPr>
        <w:numPr>
          <w:ilvl w:val="0"/>
          <w:numId w:val="4"/>
        </w:numPr>
        <w:tabs>
          <w:tab w:val="clear" w:pos="1080"/>
          <w:tab w:val="num" w:pos="720"/>
        </w:tabs>
        <w:autoSpaceDE w:val="0"/>
        <w:autoSpaceDN w:val="0"/>
        <w:adjustRightInd w:val="0"/>
        <w:ind w:left="720"/>
        <w:jc w:val="both"/>
        <w:rPr>
          <w:b/>
          <w:bCs/>
        </w:rPr>
      </w:pPr>
      <w:r w:rsidRPr="00427235">
        <w:rPr>
          <w:b/>
          <w:bCs/>
        </w:rPr>
        <w:t>REQUEST FOR EMERGENCY ADOPTION</w:t>
      </w:r>
    </w:p>
    <w:p w14:paraId="1FB9C58B" w14:textId="77777777" w:rsidR="00970DA0" w:rsidRPr="00427235" w:rsidRDefault="00970DA0" w:rsidP="00970DA0">
      <w:pPr>
        <w:jc w:val="both"/>
        <w:rPr>
          <w:b/>
          <w:szCs w:val="24"/>
        </w:rPr>
      </w:pPr>
    </w:p>
    <w:p w14:paraId="417A149A" w14:textId="0A60BD75" w:rsidR="00C41CA7" w:rsidRPr="00427235" w:rsidRDefault="00F10D47" w:rsidP="5460F0E9">
      <w:pPr>
        <w:spacing w:line="480" w:lineRule="auto"/>
        <w:ind w:firstLine="720"/>
        <w:jc w:val="both"/>
      </w:pPr>
      <w:r w:rsidRPr="00427235">
        <w:t xml:space="preserve">Adoption of the new Criminal Rules, which do not have any page limits for handwritten filings, has left the appellate court clerks without a reference point as of January 1, 2018 for enforcing compliance with the current Criminal Rule </w:t>
      </w:r>
      <w:proofErr w:type="gramStart"/>
      <w:r w:rsidRPr="00427235">
        <w:t>31 word</w:t>
      </w:r>
      <w:proofErr w:type="gramEnd"/>
      <w:r w:rsidRPr="00427235">
        <w:t xml:space="preserve"> limits, short of counting each </w:t>
      </w:r>
      <w:r w:rsidRPr="00427235">
        <w:lastRenderedPageBreak/>
        <w:t>word in thousands of handwritten filings</w:t>
      </w:r>
      <w:r w:rsidR="00C41CA7" w:rsidRPr="00427235">
        <w:t>.</w:t>
      </w:r>
      <w:r w:rsidRPr="00427235">
        <w:t xml:space="preserve">  Petitioner accordingly requests expedited adoption of the proposed rule changes with a formal comment period to follow as permitted by Rule 28(G) of the Rules of the Supreme Court.</w:t>
      </w:r>
    </w:p>
    <w:p w14:paraId="4E435859" w14:textId="05B6E9E5" w:rsidR="00F10D47" w:rsidRPr="00427235" w:rsidRDefault="00F10D47" w:rsidP="5460F0E9">
      <w:pPr>
        <w:spacing w:line="480" w:lineRule="auto"/>
        <w:ind w:firstLine="720"/>
        <w:jc w:val="both"/>
        <w:rPr>
          <w:bCs/>
          <w:szCs w:val="24"/>
        </w:rPr>
      </w:pPr>
      <w:r w:rsidRPr="00427235">
        <w:t xml:space="preserve">Respectfully submitted this ___ day of </w:t>
      </w:r>
      <w:proofErr w:type="gramStart"/>
      <w:r w:rsidRPr="00427235">
        <w:t>January,</w:t>
      </w:r>
      <w:proofErr w:type="gramEnd"/>
      <w:r w:rsidRPr="00427235">
        <w:t xml:space="preserve"> 2018</w:t>
      </w:r>
    </w:p>
    <w:p w14:paraId="695242D9" w14:textId="77777777" w:rsidR="00C41CA7" w:rsidRPr="00427235" w:rsidRDefault="00C41CA7">
      <w:pPr>
        <w:jc w:val="both"/>
        <w:rPr>
          <w:szCs w:val="24"/>
        </w:rPr>
      </w:pPr>
    </w:p>
    <w:p w14:paraId="13DB6EC7" w14:textId="77777777" w:rsidR="00C41CA7" w:rsidRPr="00427235" w:rsidRDefault="00C41CA7">
      <w:pPr>
        <w:jc w:val="both"/>
        <w:rPr>
          <w:szCs w:val="24"/>
        </w:rPr>
      </w:pPr>
    </w:p>
    <w:p w14:paraId="295D181E" w14:textId="24993140" w:rsidR="1D527AE9" w:rsidRPr="00427235" w:rsidRDefault="00FF2B36" w:rsidP="006D668F">
      <w:pPr>
        <w:jc w:val="both"/>
        <w:rPr>
          <w:szCs w:val="24"/>
        </w:rPr>
      </w:pPr>
      <w:r w:rsidRPr="00427235">
        <w:rPr>
          <w:szCs w:val="24"/>
        </w:rPr>
        <w:tab/>
      </w:r>
      <w:r w:rsidRPr="00427235">
        <w:rPr>
          <w:szCs w:val="24"/>
        </w:rPr>
        <w:tab/>
      </w:r>
      <w:r w:rsidRPr="00427235">
        <w:rPr>
          <w:szCs w:val="24"/>
        </w:rPr>
        <w:tab/>
      </w:r>
      <w:r w:rsidRPr="00427235">
        <w:rPr>
          <w:szCs w:val="24"/>
        </w:rPr>
        <w:tab/>
      </w:r>
      <w:r w:rsidR="1D527AE9" w:rsidRPr="00427235">
        <w:t>____</w:t>
      </w:r>
      <w:r w:rsidR="1D527AE9" w:rsidRPr="00427235">
        <w:rPr>
          <w:u w:val="single"/>
        </w:rPr>
        <w:t>/s/</w:t>
      </w:r>
      <w:r w:rsidR="1D527AE9" w:rsidRPr="00427235">
        <w:t>________________________</w:t>
      </w:r>
    </w:p>
    <w:p w14:paraId="74FC2DAA" w14:textId="77777777" w:rsidR="00C41CA7" w:rsidRPr="00427235" w:rsidRDefault="00FF2B36" w:rsidP="5460F0E9">
      <w:pPr>
        <w:jc w:val="both"/>
        <w:rPr>
          <w:szCs w:val="24"/>
        </w:rPr>
      </w:pPr>
      <w:r w:rsidRPr="00427235">
        <w:rPr>
          <w:szCs w:val="24"/>
        </w:rPr>
        <w:tab/>
      </w:r>
      <w:r w:rsidRPr="00427235">
        <w:rPr>
          <w:szCs w:val="24"/>
        </w:rPr>
        <w:tab/>
      </w:r>
      <w:r w:rsidRPr="00427235">
        <w:rPr>
          <w:szCs w:val="24"/>
        </w:rPr>
        <w:tab/>
      </w:r>
      <w:r w:rsidRPr="00427235">
        <w:rPr>
          <w:szCs w:val="24"/>
        </w:rPr>
        <w:tab/>
      </w:r>
      <w:r w:rsidR="004D0BBD" w:rsidRPr="00427235">
        <w:t>Judith R. Schaffert</w:t>
      </w:r>
    </w:p>
    <w:p w14:paraId="0970C2C7" w14:textId="77777777" w:rsidR="00C41CA7" w:rsidRPr="00427235" w:rsidRDefault="00FF2B36" w:rsidP="5460F0E9">
      <w:pPr>
        <w:jc w:val="both"/>
        <w:rPr>
          <w:szCs w:val="24"/>
        </w:rPr>
      </w:pPr>
      <w:r w:rsidRPr="00427235">
        <w:rPr>
          <w:szCs w:val="24"/>
        </w:rPr>
        <w:tab/>
      </w:r>
      <w:r w:rsidRPr="00427235">
        <w:rPr>
          <w:szCs w:val="24"/>
        </w:rPr>
        <w:tab/>
      </w:r>
      <w:r w:rsidRPr="00427235">
        <w:rPr>
          <w:szCs w:val="24"/>
        </w:rPr>
        <w:tab/>
      </w:r>
      <w:r w:rsidRPr="00427235">
        <w:rPr>
          <w:szCs w:val="24"/>
        </w:rPr>
        <w:tab/>
      </w:r>
      <w:r w:rsidR="004D0BBD" w:rsidRPr="00427235">
        <w:t>Chief Staff Attorney</w:t>
      </w:r>
    </w:p>
    <w:p w14:paraId="45ED150C" w14:textId="77777777" w:rsidR="0041229A" w:rsidRPr="00427235" w:rsidRDefault="0041229A" w:rsidP="00FF2B36">
      <w:pPr>
        <w:jc w:val="both"/>
        <w:rPr>
          <w:szCs w:val="24"/>
        </w:rPr>
      </w:pPr>
    </w:p>
    <w:p w14:paraId="334D5583" w14:textId="77777777" w:rsidR="00716C66" w:rsidRPr="00427235" w:rsidRDefault="00716C66">
      <w:pPr>
        <w:rPr>
          <w:szCs w:val="24"/>
        </w:rPr>
      </w:pPr>
      <w:r w:rsidRPr="00427235">
        <w:br w:type="page"/>
      </w:r>
    </w:p>
    <w:p w14:paraId="38D64880" w14:textId="77777777" w:rsidR="0091039C" w:rsidRPr="00427235" w:rsidRDefault="0091039C" w:rsidP="5460F0E9">
      <w:pPr>
        <w:widowControl w:val="0"/>
        <w:autoSpaceDE w:val="0"/>
        <w:autoSpaceDN w:val="0"/>
        <w:adjustRightInd w:val="0"/>
        <w:jc w:val="center"/>
        <w:rPr>
          <w:szCs w:val="24"/>
        </w:rPr>
      </w:pPr>
      <w:r w:rsidRPr="00427235">
        <w:rPr>
          <w:b/>
          <w:bCs/>
        </w:rPr>
        <w:lastRenderedPageBreak/>
        <w:t>ATTACHMENT</w:t>
      </w:r>
      <w:r w:rsidRPr="00427235">
        <w:rPr>
          <w:rStyle w:val="FootnoteReference"/>
          <w:b/>
          <w:bCs/>
        </w:rPr>
        <w:footnoteReference w:id="2"/>
      </w:r>
    </w:p>
    <w:p w14:paraId="0FA81C09" w14:textId="77777777" w:rsidR="0091039C" w:rsidRPr="00427235" w:rsidRDefault="0091039C" w:rsidP="0091039C">
      <w:pPr>
        <w:widowControl w:val="0"/>
        <w:autoSpaceDE w:val="0"/>
        <w:autoSpaceDN w:val="0"/>
        <w:adjustRightInd w:val="0"/>
        <w:jc w:val="center"/>
        <w:rPr>
          <w:b/>
          <w:bCs/>
          <w:szCs w:val="24"/>
        </w:rPr>
      </w:pPr>
    </w:p>
    <w:p w14:paraId="3F484E53" w14:textId="2A04A75B" w:rsidR="0091039C" w:rsidRPr="00427235" w:rsidRDefault="0091039C">
      <w:pPr>
        <w:jc w:val="center"/>
        <w:rPr>
          <w:b/>
          <w:bCs/>
          <w:sz w:val="26"/>
          <w:szCs w:val="26"/>
        </w:rPr>
      </w:pPr>
      <w:r w:rsidRPr="00427235">
        <w:rPr>
          <w:b/>
          <w:bCs/>
          <w:sz w:val="26"/>
          <w:szCs w:val="26"/>
        </w:rPr>
        <w:t>ARIZONA RULE</w:t>
      </w:r>
      <w:r w:rsidR="00F10D47" w:rsidRPr="00427235">
        <w:rPr>
          <w:b/>
          <w:bCs/>
          <w:sz w:val="26"/>
          <w:szCs w:val="26"/>
        </w:rPr>
        <w:t>S</w:t>
      </w:r>
      <w:r w:rsidRPr="00427235">
        <w:rPr>
          <w:b/>
          <w:bCs/>
          <w:sz w:val="26"/>
          <w:szCs w:val="26"/>
        </w:rPr>
        <w:t xml:space="preserve"> OF </w:t>
      </w:r>
      <w:r w:rsidR="00F10D47" w:rsidRPr="00427235">
        <w:rPr>
          <w:b/>
          <w:bCs/>
          <w:sz w:val="26"/>
          <w:szCs w:val="26"/>
        </w:rPr>
        <w:t>CRIMINAL PROCEDURE</w:t>
      </w:r>
    </w:p>
    <w:p w14:paraId="53F1A3D0" w14:textId="77777777" w:rsidR="0091039C" w:rsidRPr="00427235" w:rsidRDefault="0091039C" w:rsidP="0091039C">
      <w:pPr>
        <w:jc w:val="center"/>
        <w:rPr>
          <w:b/>
          <w:sz w:val="26"/>
          <w:szCs w:val="26"/>
        </w:rPr>
      </w:pPr>
    </w:p>
    <w:p w14:paraId="6E32C9BA" w14:textId="77777777" w:rsidR="000E7EE1" w:rsidRPr="00427235" w:rsidRDefault="000E7EE1" w:rsidP="000E7EE1">
      <w:pPr>
        <w:autoSpaceDE w:val="0"/>
        <w:autoSpaceDN w:val="0"/>
        <w:adjustRightInd w:val="0"/>
        <w:ind w:left="1440"/>
        <w:rPr>
          <w:b/>
          <w:bCs/>
          <w:sz w:val="26"/>
          <w:szCs w:val="26"/>
        </w:rPr>
      </w:pPr>
    </w:p>
    <w:p w14:paraId="2C5AF75A" w14:textId="5E02A00B" w:rsidR="008C50F3" w:rsidRPr="00427235" w:rsidRDefault="0030422B" w:rsidP="008C50F3">
      <w:pPr>
        <w:pStyle w:val="Default"/>
        <w:rPr>
          <w:b/>
          <w:bCs/>
          <w:sz w:val="26"/>
          <w:szCs w:val="26"/>
        </w:rPr>
      </w:pPr>
      <w:r w:rsidRPr="00427235">
        <w:rPr>
          <w:b/>
          <w:bCs/>
          <w:sz w:val="26"/>
          <w:szCs w:val="26"/>
        </w:rPr>
        <w:t xml:space="preserve">Rule 31.12. Length and Form of Briefs </w:t>
      </w:r>
    </w:p>
    <w:p w14:paraId="04C9DB73" w14:textId="77777777" w:rsidR="00B32C93" w:rsidRPr="00427235" w:rsidRDefault="0030422B" w:rsidP="00EE71D3">
      <w:pPr>
        <w:pStyle w:val="Default"/>
        <w:spacing w:after="99"/>
        <w:rPr>
          <w:b/>
          <w:bCs/>
          <w:sz w:val="26"/>
          <w:szCs w:val="26"/>
        </w:rPr>
      </w:pPr>
      <w:r w:rsidRPr="00427235">
        <w:rPr>
          <w:b/>
          <w:bCs/>
          <w:sz w:val="26"/>
          <w:szCs w:val="26"/>
        </w:rPr>
        <w:t xml:space="preserve">(a) Length of Briefs. </w:t>
      </w:r>
    </w:p>
    <w:p w14:paraId="1BC8F6B9" w14:textId="5431521F" w:rsidR="0030422B" w:rsidRPr="00427235" w:rsidRDefault="0030422B" w:rsidP="00B32C93">
      <w:pPr>
        <w:pStyle w:val="Default"/>
        <w:spacing w:after="99"/>
        <w:ind w:left="720"/>
        <w:rPr>
          <w:sz w:val="26"/>
          <w:szCs w:val="26"/>
          <w:u w:val="single"/>
        </w:rPr>
      </w:pPr>
      <w:r w:rsidRPr="00427235">
        <w:rPr>
          <w:b/>
          <w:bCs/>
          <w:sz w:val="26"/>
          <w:szCs w:val="26"/>
        </w:rPr>
        <w:t xml:space="preserve">(1) </w:t>
      </w:r>
      <w:r w:rsidRPr="00427235">
        <w:rPr>
          <w:b/>
          <w:bCs/>
          <w:i/>
          <w:iCs/>
          <w:sz w:val="26"/>
          <w:szCs w:val="26"/>
        </w:rPr>
        <w:t xml:space="preserve">Opening/Answering Briefs. </w:t>
      </w:r>
      <w:r w:rsidRPr="00427235">
        <w:rPr>
          <w:sz w:val="26"/>
          <w:szCs w:val="26"/>
        </w:rPr>
        <w:t>Opening briefs and answering briefs must not exceed 14,000 words</w:t>
      </w:r>
      <w:r w:rsidR="00651471" w:rsidRPr="00427235">
        <w:rPr>
          <w:sz w:val="26"/>
          <w:szCs w:val="26"/>
        </w:rPr>
        <w:t xml:space="preserve"> </w:t>
      </w:r>
      <w:r w:rsidR="00651471" w:rsidRPr="00427235">
        <w:rPr>
          <w:sz w:val="26"/>
          <w:szCs w:val="26"/>
          <w:u w:val="single"/>
        </w:rPr>
        <w:t>or</w:t>
      </w:r>
      <w:r w:rsidR="00595427" w:rsidRPr="00427235">
        <w:rPr>
          <w:sz w:val="26"/>
          <w:szCs w:val="26"/>
          <w:u w:val="single"/>
        </w:rPr>
        <w:t>,</w:t>
      </w:r>
      <w:r w:rsidR="00651471" w:rsidRPr="00427235">
        <w:rPr>
          <w:sz w:val="26"/>
          <w:szCs w:val="26"/>
          <w:u w:val="single"/>
        </w:rPr>
        <w:t xml:space="preserve"> if handwritten,</w:t>
      </w:r>
      <w:r w:rsidR="00651471" w:rsidRPr="00427235">
        <w:rPr>
          <w:sz w:val="26"/>
          <w:szCs w:val="26"/>
        </w:rPr>
        <w:t xml:space="preserve"> </w:t>
      </w:r>
      <w:r w:rsidRPr="00427235">
        <w:rPr>
          <w:sz w:val="26"/>
          <w:szCs w:val="26"/>
          <w:u w:val="single"/>
        </w:rPr>
        <w:t>50 pages.</w:t>
      </w:r>
    </w:p>
    <w:p w14:paraId="07ADCAC3" w14:textId="6D6B9FFA" w:rsidR="0030422B" w:rsidRPr="00427235" w:rsidRDefault="0030422B" w:rsidP="00B32C93">
      <w:pPr>
        <w:pStyle w:val="Default"/>
        <w:spacing w:after="99"/>
        <w:ind w:left="720"/>
        <w:rPr>
          <w:sz w:val="26"/>
          <w:szCs w:val="26"/>
          <w:u w:val="single"/>
        </w:rPr>
      </w:pPr>
      <w:r w:rsidRPr="00427235">
        <w:rPr>
          <w:b/>
          <w:bCs/>
          <w:sz w:val="26"/>
          <w:szCs w:val="26"/>
        </w:rPr>
        <w:t xml:space="preserve">(2) </w:t>
      </w:r>
      <w:r w:rsidRPr="00427235">
        <w:rPr>
          <w:b/>
          <w:bCs/>
          <w:i/>
          <w:iCs/>
          <w:sz w:val="26"/>
          <w:szCs w:val="26"/>
        </w:rPr>
        <w:t xml:space="preserve">Reply Briefs. </w:t>
      </w:r>
      <w:r w:rsidRPr="00427235">
        <w:rPr>
          <w:sz w:val="26"/>
          <w:szCs w:val="26"/>
        </w:rPr>
        <w:t>Reply briefs must not exceed 7,000 words</w:t>
      </w:r>
      <w:r w:rsidR="00651471" w:rsidRPr="00427235">
        <w:rPr>
          <w:sz w:val="26"/>
          <w:szCs w:val="26"/>
        </w:rPr>
        <w:t xml:space="preserve"> </w:t>
      </w:r>
      <w:r w:rsidR="00651471" w:rsidRPr="00427235">
        <w:rPr>
          <w:sz w:val="26"/>
          <w:szCs w:val="26"/>
          <w:u w:val="single"/>
        </w:rPr>
        <w:t>or, if</w:t>
      </w:r>
      <w:r w:rsidR="00651471" w:rsidRPr="00427235">
        <w:rPr>
          <w:sz w:val="26"/>
          <w:szCs w:val="26"/>
        </w:rPr>
        <w:t xml:space="preserve"> </w:t>
      </w:r>
      <w:r w:rsidR="00651471" w:rsidRPr="00427235">
        <w:rPr>
          <w:sz w:val="26"/>
          <w:szCs w:val="26"/>
          <w:u w:val="single"/>
        </w:rPr>
        <w:t>h</w:t>
      </w:r>
      <w:r w:rsidRPr="00427235">
        <w:rPr>
          <w:sz w:val="26"/>
          <w:szCs w:val="26"/>
          <w:u w:val="single"/>
        </w:rPr>
        <w:t>andwritten</w:t>
      </w:r>
      <w:r w:rsidR="00651471" w:rsidRPr="00427235">
        <w:rPr>
          <w:sz w:val="26"/>
          <w:szCs w:val="26"/>
          <w:u w:val="single"/>
        </w:rPr>
        <w:t>,</w:t>
      </w:r>
      <w:r w:rsidRPr="00427235">
        <w:rPr>
          <w:sz w:val="26"/>
          <w:szCs w:val="26"/>
          <w:u w:val="single"/>
        </w:rPr>
        <w:t xml:space="preserve"> 25 pages.</w:t>
      </w:r>
    </w:p>
    <w:p w14:paraId="31484D1E" w14:textId="5AC8084D" w:rsidR="0030422B" w:rsidRPr="00427235" w:rsidRDefault="0030422B" w:rsidP="00B32C93">
      <w:pPr>
        <w:pStyle w:val="Default"/>
        <w:spacing w:after="99"/>
        <w:ind w:left="720"/>
        <w:rPr>
          <w:sz w:val="26"/>
          <w:szCs w:val="26"/>
        </w:rPr>
      </w:pPr>
      <w:r w:rsidRPr="00427235">
        <w:rPr>
          <w:b/>
          <w:bCs/>
          <w:sz w:val="26"/>
          <w:szCs w:val="26"/>
        </w:rPr>
        <w:t xml:space="preserve">(3) </w:t>
      </w:r>
      <w:r w:rsidRPr="00427235">
        <w:rPr>
          <w:b/>
          <w:bCs/>
          <w:i/>
          <w:iCs/>
          <w:sz w:val="26"/>
          <w:szCs w:val="26"/>
        </w:rPr>
        <w:t xml:space="preserve">Combined Briefs. </w:t>
      </w:r>
      <w:r w:rsidRPr="00427235">
        <w:rPr>
          <w:sz w:val="26"/>
          <w:szCs w:val="26"/>
        </w:rPr>
        <w:t>If a party is filing a combined brief involving a cross-appeal, each separate portion of the combined brief must not exceed the number of words</w:t>
      </w:r>
      <w:r w:rsidRPr="00427235">
        <w:rPr>
          <w:sz w:val="26"/>
          <w:szCs w:val="26"/>
          <w:u w:val="single"/>
        </w:rPr>
        <w:t xml:space="preserve"> or pages</w:t>
      </w:r>
      <w:r w:rsidRPr="00427235">
        <w:rPr>
          <w:sz w:val="26"/>
          <w:szCs w:val="26"/>
        </w:rPr>
        <w:t xml:space="preserve"> that each of the separate briefs may contain. </w:t>
      </w:r>
    </w:p>
    <w:p w14:paraId="3DC34D2B" w14:textId="2260A3AC" w:rsidR="0030422B" w:rsidRPr="00427235" w:rsidRDefault="0030422B" w:rsidP="00B32C93">
      <w:pPr>
        <w:pStyle w:val="Default"/>
        <w:ind w:left="720"/>
        <w:rPr>
          <w:sz w:val="26"/>
          <w:szCs w:val="26"/>
          <w:u w:val="single"/>
        </w:rPr>
      </w:pPr>
      <w:r w:rsidRPr="00427235">
        <w:rPr>
          <w:b/>
          <w:bCs/>
          <w:sz w:val="26"/>
          <w:szCs w:val="26"/>
        </w:rPr>
        <w:t xml:space="preserve">(4) </w:t>
      </w:r>
      <w:r w:rsidRPr="00427235">
        <w:rPr>
          <w:b/>
          <w:bCs/>
          <w:i/>
          <w:iCs/>
          <w:sz w:val="26"/>
          <w:szCs w:val="26"/>
        </w:rPr>
        <w:t xml:space="preserve">Amicus Curiae Briefs. </w:t>
      </w:r>
      <w:r w:rsidRPr="00427235">
        <w:rPr>
          <w:sz w:val="26"/>
          <w:szCs w:val="26"/>
        </w:rPr>
        <w:t>Amicus curiae briefs or responses to amicus curiae briefs must not exceed 12,000 words</w:t>
      </w:r>
      <w:r w:rsidR="00936ABE" w:rsidRPr="00427235">
        <w:rPr>
          <w:sz w:val="26"/>
          <w:szCs w:val="26"/>
          <w:u w:val="single"/>
        </w:rPr>
        <w:t xml:space="preserve"> or, if h</w:t>
      </w:r>
      <w:r w:rsidRPr="00427235">
        <w:rPr>
          <w:sz w:val="26"/>
          <w:szCs w:val="26"/>
          <w:u w:val="single"/>
        </w:rPr>
        <w:t>andwritten</w:t>
      </w:r>
      <w:r w:rsidR="00936ABE" w:rsidRPr="00427235">
        <w:rPr>
          <w:sz w:val="26"/>
          <w:szCs w:val="26"/>
          <w:u w:val="single"/>
        </w:rPr>
        <w:t>,</w:t>
      </w:r>
      <w:r w:rsidRPr="00427235">
        <w:rPr>
          <w:sz w:val="26"/>
          <w:szCs w:val="26"/>
          <w:u w:val="single"/>
        </w:rPr>
        <w:t xml:space="preserve"> 40 pages</w:t>
      </w:r>
      <w:r w:rsidRPr="00427235">
        <w:rPr>
          <w:sz w:val="26"/>
          <w:szCs w:val="26"/>
        </w:rPr>
        <w:t>.</w:t>
      </w:r>
    </w:p>
    <w:p w14:paraId="23005F38" w14:textId="77777777" w:rsidR="0030422B" w:rsidRPr="00427235" w:rsidRDefault="0030422B" w:rsidP="00B32C93">
      <w:pPr>
        <w:pStyle w:val="Default"/>
        <w:ind w:left="720"/>
        <w:rPr>
          <w:sz w:val="26"/>
          <w:szCs w:val="26"/>
        </w:rPr>
      </w:pPr>
    </w:p>
    <w:p w14:paraId="5B9B8745" w14:textId="591EC99C" w:rsidR="0030422B" w:rsidRPr="00427235" w:rsidRDefault="0030422B" w:rsidP="00B32C93">
      <w:pPr>
        <w:pStyle w:val="Default"/>
        <w:ind w:left="720"/>
        <w:rPr>
          <w:sz w:val="26"/>
          <w:szCs w:val="26"/>
        </w:rPr>
      </w:pPr>
      <w:r w:rsidRPr="00427235">
        <w:rPr>
          <w:b/>
          <w:bCs/>
          <w:sz w:val="26"/>
          <w:szCs w:val="26"/>
        </w:rPr>
        <w:t xml:space="preserve">(5) </w:t>
      </w:r>
      <w:r w:rsidRPr="00427235">
        <w:rPr>
          <w:b/>
          <w:bCs/>
          <w:i/>
          <w:iCs/>
          <w:sz w:val="26"/>
          <w:szCs w:val="26"/>
        </w:rPr>
        <w:t xml:space="preserve">Certificate of Compliance. </w:t>
      </w:r>
      <w:r w:rsidRPr="00427235">
        <w:rPr>
          <w:sz w:val="26"/>
          <w:szCs w:val="26"/>
        </w:rPr>
        <w:t>Every brief must be accompanied by a certificate that confirms compliance with the word</w:t>
      </w:r>
      <w:r w:rsidRPr="00427235">
        <w:rPr>
          <w:sz w:val="26"/>
          <w:szCs w:val="26"/>
          <w:u w:val="single"/>
        </w:rPr>
        <w:t xml:space="preserve"> or page</w:t>
      </w:r>
      <w:r w:rsidRPr="00427235">
        <w:rPr>
          <w:sz w:val="26"/>
          <w:szCs w:val="26"/>
        </w:rPr>
        <w:t xml:space="preserve"> limits in (a)(</w:t>
      </w:r>
      <w:proofErr w:type="gramStart"/>
      <w:r w:rsidRPr="00427235">
        <w:rPr>
          <w:sz w:val="26"/>
          <w:szCs w:val="26"/>
        </w:rPr>
        <w:t>1)-(</w:t>
      </w:r>
      <w:proofErr w:type="gramEnd"/>
      <w:r w:rsidRPr="00427235">
        <w:rPr>
          <w:sz w:val="26"/>
          <w:szCs w:val="26"/>
        </w:rPr>
        <w:t xml:space="preserve">4). Form 30 is a template certificate of compliance. A party preparing a certificate of compliance may rely on the word count of the word processing system used to prepare the brief if it counts the required words, including any footnotes. </w:t>
      </w:r>
    </w:p>
    <w:p w14:paraId="78A137DB" w14:textId="77777777" w:rsidR="0030422B" w:rsidRPr="00427235" w:rsidRDefault="0030422B" w:rsidP="00EE71D3">
      <w:pPr>
        <w:pStyle w:val="Default"/>
        <w:spacing w:line="276" w:lineRule="auto"/>
        <w:rPr>
          <w:sz w:val="26"/>
          <w:szCs w:val="26"/>
        </w:rPr>
      </w:pPr>
    </w:p>
    <w:p w14:paraId="08743939" w14:textId="323D269F" w:rsidR="0030422B" w:rsidRPr="00427235" w:rsidRDefault="0030422B" w:rsidP="0030422B">
      <w:pPr>
        <w:pStyle w:val="Default"/>
        <w:spacing w:line="276" w:lineRule="auto"/>
        <w:rPr>
          <w:sz w:val="26"/>
          <w:szCs w:val="26"/>
        </w:rPr>
      </w:pPr>
      <w:r w:rsidRPr="00427235">
        <w:rPr>
          <w:b/>
          <w:bCs/>
          <w:sz w:val="26"/>
          <w:szCs w:val="26"/>
        </w:rPr>
        <w:t xml:space="preserve">(b) – (c) </w:t>
      </w:r>
      <w:r w:rsidRPr="00427235">
        <w:rPr>
          <w:sz w:val="26"/>
          <w:szCs w:val="26"/>
        </w:rPr>
        <w:t>[no change]</w:t>
      </w:r>
    </w:p>
    <w:p w14:paraId="1465DF6A" w14:textId="5D12B7A1" w:rsidR="00493C1C" w:rsidRPr="00427235" w:rsidRDefault="00493C1C" w:rsidP="00622980">
      <w:pPr>
        <w:jc w:val="both"/>
        <w:rPr>
          <w:rFonts w:asciiTheme="majorBidi" w:hAnsiTheme="majorBidi" w:cstheme="majorBidi"/>
          <w:sz w:val="26"/>
          <w:szCs w:val="26"/>
          <w:u w:val="single"/>
        </w:rPr>
      </w:pPr>
    </w:p>
    <w:p w14:paraId="321B8404" w14:textId="77777777" w:rsidR="00B32C93" w:rsidRPr="00427235" w:rsidRDefault="00B32C93" w:rsidP="00622980">
      <w:pPr>
        <w:jc w:val="both"/>
        <w:rPr>
          <w:rFonts w:asciiTheme="majorBidi" w:hAnsiTheme="majorBidi" w:cstheme="majorBidi"/>
          <w:sz w:val="26"/>
          <w:szCs w:val="26"/>
          <w:u w:val="single"/>
        </w:rPr>
      </w:pPr>
    </w:p>
    <w:p w14:paraId="6D283A42" w14:textId="0085F974" w:rsidR="00EE71D3" w:rsidRPr="00427235" w:rsidRDefault="00622980">
      <w:pPr>
        <w:jc w:val="both"/>
        <w:rPr>
          <w:rFonts w:asciiTheme="majorBidi" w:hAnsiTheme="majorBidi" w:cstheme="majorBidi"/>
          <w:sz w:val="26"/>
          <w:szCs w:val="26"/>
        </w:rPr>
      </w:pPr>
      <w:bookmarkStart w:id="1" w:name="_Hlk501718827"/>
      <w:r w:rsidRPr="00427235">
        <w:rPr>
          <w:rFonts w:asciiTheme="majorBidi" w:hAnsiTheme="majorBidi" w:cstheme="majorBidi"/>
          <w:b/>
          <w:bCs/>
          <w:sz w:val="26"/>
          <w:szCs w:val="26"/>
        </w:rPr>
        <w:t>Rule</w:t>
      </w:r>
      <w:r w:rsidR="0030422B" w:rsidRPr="00427235">
        <w:rPr>
          <w:rFonts w:asciiTheme="majorBidi" w:hAnsiTheme="majorBidi" w:cstheme="majorBidi"/>
          <w:b/>
          <w:bCs/>
          <w:sz w:val="26"/>
          <w:szCs w:val="26"/>
        </w:rPr>
        <w:t xml:space="preserve"> 31.13</w:t>
      </w:r>
      <w:r w:rsidR="008C50F3" w:rsidRPr="00427235">
        <w:rPr>
          <w:rFonts w:asciiTheme="majorBidi" w:hAnsiTheme="majorBidi" w:cstheme="majorBidi"/>
          <w:b/>
          <w:bCs/>
          <w:sz w:val="26"/>
          <w:szCs w:val="26"/>
        </w:rPr>
        <w:t xml:space="preserve"> Due Dates; Filing and Service of Briefs</w:t>
      </w:r>
      <w:r w:rsidR="0030422B" w:rsidRPr="00427235">
        <w:rPr>
          <w:rFonts w:asciiTheme="majorBidi" w:hAnsiTheme="majorBidi" w:cstheme="majorBidi"/>
          <w:b/>
          <w:bCs/>
          <w:sz w:val="26"/>
          <w:szCs w:val="26"/>
        </w:rPr>
        <w:t xml:space="preserve"> </w:t>
      </w:r>
      <w:r w:rsidR="00EE71D3" w:rsidRPr="00427235">
        <w:rPr>
          <w:rFonts w:asciiTheme="majorBidi" w:hAnsiTheme="majorBidi" w:cstheme="majorBidi"/>
          <w:sz w:val="26"/>
          <w:szCs w:val="26"/>
        </w:rPr>
        <w:t>[no change]</w:t>
      </w:r>
    </w:p>
    <w:bookmarkEnd w:id="1"/>
    <w:p w14:paraId="3F7FA9BA" w14:textId="53DED4F7" w:rsidR="00493C1C" w:rsidRPr="00427235" w:rsidRDefault="00493C1C" w:rsidP="00622980">
      <w:pPr>
        <w:jc w:val="both"/>
        <w:rPr>
          <w:rFonts w:asciiTheme="majorBidi" w:hAnsiTheme="majorBidi" w:cstheme="majorBidi"/>
          <w:sz w:val="26"/>
          <w:szCs w:val="26"/>
          <w:u w:val="single"/>
        </w:rPr>
      </w:pPr>
    </w:p>
    <w:p w14:paraId="0AD8E29B" w14:textId="77777777" w:rsidR="00B32C93" w:rsidRPr="00427235" w:rsidRDefault="00B32C93" w:rsidP="00EE71D3">
      <w:pPr>
        <w:pStyle w:val="Default"/>
        <w:rPr>
          <w:b/>
          <w:bCs/>
          <w:sz w:val="26"/>
          <w:szCs w:val="26"/>
        </w:rPr>
      </w:pPr>
    </w:p>
    <w:p w14:paraId="50C901C3" w14:textId="58853F43" w:rsidR="00EE71D3" w:rsidRPr="00427235" w:rsidRDefault="00EE71D3" w:rsidP="00EE71D3">
      <w:pPr>
        <w:pStyle w:val="Default"/>
        <w:rPr>
          <w:sz w:val="26"/>
          <w:szCs w:val="26"/>
        </w:rPr>
      </w:pPr>
      <w:r w:rsidRPr="00427235">
        <w:rPr>
          <w:b/>
          <w:bCs/>
          <w:sz w:val="26"/>
          <w:szCs w:val="26"/>
        </w:rPr>
        <w:t xml:space="preserve">Rule 31.14. Provisions Applicable Only to Briefs in Capital Case Appeals </w:t>
      </w:r>
    </w:p>
    <w:p w14:paraId="4A556EEE" w14:textId="7207A881" w:rsidR="00EE71D3" w:rsidRPr="00427235" w:rsidRDefault="00EE71D3" w:rsidP="00EE71D3">
      <w:pPr>
        <w:pStyle w:val="Default"/>
        <w:rPr>
          <w:sz w:val="26"/>
          <w:szCs w:val="26"/>
          <w:u w:val="single"/>
        </w:rPr>
      </w:pPr>
      <w:r w:rsidRPr="00427235">
        <w:rPr>
          <w:b/>
          <w:bCs/>
          <w:sz w:val="26"/>
          <w:szCs w:val="26"/>
        </w:rPr>
        <w:t xml:space="preserve">(a) Length of Briefs. </w:t>
      </w:r>
      <w:r w:rsidRPr="00427235">
        <w:rPr>
          <w:sz w:val="26"/>
          <w:szCs w:val="26"/>
        </w:rPr>
        <w:t>Opening briefs and answering briefs in a capital case appeal must not exceed 28,000 words</w:t>
      </w:r>
      <w:r w:rsidR="009F5E4A" w:rsidRPr="00427235">
        <w:rPr>
          <w:sz w:val="26"/>
          <w:szCs w:val="26"/>
          <w:u w:val="single"/>
        </w:rPr>
        <w:t xml:space="preserve"> or, if handwritten</w:t>
      </w:r>
      <w:r w:rsidR="00595427" w:rsidRPr="00427235">
        <w:rPr>
          <w:sz w:val="26"/>
          <w:szCs w:val="26"/>
          <w:u w:val="single"/>
        </w:rPr>
        <w:t>,</w:t>
      </w:r>
      <w:r w:rsidR="009F5E4A" w:rsidRPr="00427235">
        <w:rPr>
          <w:sz w:val="26"/>
          <w:szCs w:val="26"/>
          <w:u w:val="single"/>
        </w:rPr>
        <w:t xml:space="preserve"> </w:t>
      </w:r>
      <w:r w:rsidRPr="00427235">
        <w:rPr>
          <w:sz w:val="26"/>
          <w:szCs w:val="26"/>
          <w:u w:val="single"/>
        </w:rPr>
        <w:t>100 pages</w:t>
      </w:r>
      <w:r w:rsidRPr="00427235">
        <w:rPr>
          <w:sz w:val="26"/>
          <w:szCs w:val="26"/>
        </w:rPr>
        <w:t>. Reply briefs must not exceed 14,000 words</w:t>
      </w:r>
      <w:r w:rsidR="009F5E4A" w:rsidRPr="00427235">
        <w:rPr>
          <w:sz w:val="26"/>
          <w:szCs w:val="26"/>
          <w:u w:val="single"/>
        </w:rPr>
        <w:t xml:space="preserve"> or, if handwritten, </w:t>
      </w:r>
      <w:r w:rsidRPr="00427235">
        <w:rPr>
          <w:sz w:val="26"/>
          <w:szCs w:val="26"/>
          <w:u w:val="single"/>
        </w:rPr>
        <w:t>50 pages</w:t>
      </w:r>
      <w:r w:rsidRPr="00427235">
        <w:rPr>
          <w:sz w:val="26"/>
          <w:szCs w:val="26"/>
        </w:rPr>
        <w:t>.</w:t>
      </w:r>
    </w:p>
    <w:p w14:paraId="5F9F23C7" w14:textId="68151A13" w:rsidR="00EE71D3" w:rsidRPr="00427235" w:rsidRDefault="00EE71D3" w:rsidP="00EE71D3">
      <w:pPr>
        <w:pStyle w:val="Default"/>
        <w:rPr>
          <w:sz w:val="26"/>
          <w:szCs w:val="26"/>
        </w:rPr>
      </w:pPr>
    </w:p>
    <w:p w14:paraId="0C962AD0" w14:textId="23D06B37" w:rsidR="00EE71D3" w:rsidRPr="00427235" w:rsidRDefault="00EE71D3" w:rsidP="00EE71D3">
      <w:pPr>
        <w:pStyle w:val="Default"/>
        <w:rPr>
          <w:sz w:val="26"/>
          <w:szCs w:val="26"/>
        </w:rPr>
      </w:pPr>
      <w:r w:rsidRPr="00427235">
        <w:rPr>
          <w:b/>
          <w:bCs/>
          <w:sz w:val="26"/>
          <w:szCs w:val="26"/>
        </w:rPr>
        <w:t xml:space="preserve">(b) – (c) </w:t>
      </w:r>
      <w:r w:rsidRPr="00427235">
        <w:rPr>
          <w:sz w:val="26"/>
          <w:szCs w:val="26"/>
        </w:rPr>
        <w:t>[no change]</w:t>
      </w:r>
    </w:p>
    <w:p w14:paraId="269CEA57" w14:textId="298AC2BE" w:rsidR="00EE71D3" w:rsidRPr="00427235" w:rsidRDefault="00EE71D3" w:rsidP="00622980">
      <w:pPr>
        <w:jc w:val="both"/>
        <w:rPr>
          <w:rFonts w:asciiTheme="majorBidi" w:hAnsiTheme="majorBidi" w:cstheme="majorBidi"/>
          <w:sz w:val="26"/>
          <w:szCs w:val="26"/>
          <w:u w:val="single"/>
        </w:rPr>
      </w:pPr>
    </w:p>
    <w:p w14:paraId="4B5DB82F" w14:textId="34711504" w:rsidR="00EE71D3" w:rsidRPr="00427235" w:rsidRDefault="00EE71D3" w:rsidP="00622980">
      <w:pPr>
        <w:jc w:val="both"/>
        <w:rPr>
          <w:rFonts w:asciiTheme="majorBidi" w:hAnsiTheme="majorBidi" w:cstheme="majorBidi"/>
          <w:sz w:val="26"/>
          <w:szCs w:val="26"/>
        </w:rPr>
      </w:pPr>
      <w:r w:rsidRPr="00427235">
        <w:rPr>
          <w:rFonts w:asciiTheme="majorBidi" w:hAnsiTheme="majorBidi" w:cstheme="majorBidi"/>
          <w:b/>
          <w:bCs/>
          <w:sz w:val="26"/>
          <w:szCs w:val="26"/>
        </w:rPr>
        <w:t>Rules 31.15 – 31.17</w:t>
      </w:r>
      <w:r w:rsidRPr="00427235">
        <w:rPr>
          <w:rFonts w:asciiTheme="majorBidi" w:hAnsiTheme="majorBidi" w:cstheme="majorBidi"/>
          <w:sz w:val="26"/>
          <w:szCs w:val="26"/>
        </w:rPr>
        <w:t xml:space="preserve"> [no change]</w:t>
      </w:r>
    </w:p>
    <w:p w14:paraId="71401616" w14:textId="5D109F8A" w:rsidR="00EE71D3" w:rsidRPr="00427235" w:rsidRDefault="00EE71D3" w:rsidP="00622980">
      <w:pPr>
        <w:jc w:val="both"/>
        <w:rPr>
          <w:rFonts w:asciiTheme="majorBidi" w:hAnsiTheme="majorBidi" w:cstheme="majorBidi"/>
          <w:sz w:val="26"/>
          <w:szCs w:val="26"/>
        </w:rPr>
      </w:pPr>
    </w:p>
    <w:p w14:paraId="6765D9FA" w14:textId="7B52A975" w:rsidR="008C50F3" w:rsidRPr="00427235" w:rsidRDefault="008C50F3">
      <w:pPr>
        <w:rPr>
          <w:b/>
          <w:bCs/>
          <w:color w:val="000000"/>
          <w:sz w:val="26"/>
          <w:szCs w:val="26"/>
          <w:lang w:bidi="he-IL"/>
        </w:rPr>
      </w:pPr>
    </w:p>
    <w:p w14:paraId="327F0AEA" w14:textId="14499F02" w:rsidR="008C50F3" w:rsidRPr="00427235" w:rsidRDefault="00EE71D3" w:rsidP="008C50F3">
      <w:pPr>
        <w:pStyle w:val="Default"/>
        <w:rPr>
          <w:b/>
          <w:bCs/>
          <w:sz w:val="26"/>
          <w:szCs w:val="26"/>
        </w:rPr>
      </w:pPr>
      <w:bookmarkStart w:id="2" w:name="_Hlk503962944"/>
      <w:r w:rsidRPr="00427235">
        <w:rPr>
          <w:b/>
          <w:bCs/>
          <w:sz w:val="26"/>
          <w:szCs w:val="26"/>
        </w:rPr>
        <w:lastRenderedPageBreak/>
        <w:t xml:space="preserve">Rule 31.18. Petition to Transfer </w:t>
      </w:r>
    </w:p>
    <w:p w14:paraId="6C2BF387" w14:textId="77777777" w:rsidR="008C50F3" w:rsidRPr="00427235" w:rsidRDefault="008C50F3" w:rsidP="008C50F3">
      <w:pPr>
        <w:pStyle w:val="Default"/>
        <w:rPr>
          <w:b/>
          <w:bCs/>
          <w:sz w:val="26"/>
          <w:szCs w:val="26"/>
        </w:rPr>
      </w:pPr>
    </w:p>
    <w:p w14:paraId="41B67657" w14:textId="77777777" w:rsidR="00EE71D3" w:rsidRPr="00427235" w:rsidRDefault="00EE71D3" w:rsidP="00EE71D3">
      <w:pPr>
        <w:pStyle w:val="Default"/>
        <w:rPr>
          <w:sz w:val="26"/>
          <w:szCs w:val="26"/>
        </w:rPr>
      </w:pPr>
      <w:r w:rsidRPr="00427235">
        <w:rPr>
          <w:b/>
          <w:bCs/>
          <w:sz w:val="26"/>
          <w:szCs w:val="26"/>
        </w:rPr>
        <w:t xml:space="preserve">(a) – (c) </w:t>
      </w:r>
      <w:r w:rsidRPr="00427235">
        <w:rPr>
          <w:sz w:val="26"/>
          <w:szCs w:val="26"/>
        </w:rPr>
        <w:t>[no change]</w:t>
      </w:r>
    </w:p>
    <w:p w14:paraId="2B2E2F8D" w14:textId="11DBB148" w:rsidR="00EE71D3" w:rsidRPr="00427235" w:rsidRDefault="00EE71D3" w:rsidP="00EE71D3">
      <w:pPr>
        <w:pStyle w:val="Default"/>
        <w:rPr>
          <w:sz w:val="26"/>
          <w:szCs w:val="26"/>
        </w:rPr>
      </w:pPr>
    </w:p>
    <w:p w14:paraId="5498398E" w14:textId="21DAF5D8" w:rsidR="00EE71D3" w:rsidRPr="00427235" w:rsidRDefault="00EE71D3" w:rsidP="00EE71D3">
      <w:pPr>
        <w:pStyle w:val="Default"/>
        <w:rPr>
          <w:sz w:val="26"/>
          <w:szCs w:val="26"/>
        </w:rPr>
      </w:pPr>
      <w:r w:rsidRPr="00427235">
        <w:rPr>
          <w:b/>
          <w:bCs/>
          <w:sz w:val="26"/>
          <w:szCs w:val="26"/>
        </w:rPr>
        <w:t xml:space="preserve">(d) Form of a Petition. </w:t>
      </w:r>
      <w:r w:rsidRPr="00427235">
        <w:rPr>
          <w:sz w:val="26"/>
          <w:szCs w:val="26"/>
        </w:rPr>
        <w:t>A petition filed under (b) must be no more than 1,400 words</w:t>
      </w:r>
      <w:r w:rsidR="008C50F3" w:rsidRPr="00427235">
        <w:rPr>
          <w:sz w:val="26"/>
          <w:szCs w:val="26"/>
          <w:u w:val="single"/>
        </w:rPr>
        <w:t xml:space="preserve"> or</w:t>
      </w:r>
      <w:r w:rsidR="00A57D7E" w:rsidRPr="00427235">
        <w:rPr>
          <w:sz w:val="26"/>
          <w:szCs w:val="26"/>
          <w:u w:val="single"/>
        </w:rPr>
        <w:t>, if handwritten,</w:t>
      </w:r>
      <w:r w:rsidR="008C50F3" w:rsidRPr="00427235">
        <w:rPr>
          <w:sz w:val="26"/>
          <w:szCs w:val="26"/>
          <w:u w:val="single"/>
        </w:rPr>
        <w:t xml:space="preserve"> 5 pages</w:t>
      </w:r>
      <w:r w:rsidRPr="00427235">
        <w:rPr>
          <w:sz w:val="26"/>
          <w:szCs w:val="26"/>
        </w:rPr>
        <w:t xml:space="preserve">, must be in the form required by Rule 31.6(b), and must concisely explain why the Supreme Court should take jurisdiction of the case. The petitioner must serve a copy of the petition on each of the parties. </w:t>
      </w:r>
    </w:p>
    <w:p w14:paraId="05D86A69" w14:textId="77777777" w:rsidR="008C50F3" w:rsidRPr="00427235" w:rsidRDefault="008C50F3" w:rsidP="00EE71D3">
      <w:pPr>
        <w:pStyle w:val="Default"/>
        <w:rPr>
          <w:sz w:val="26"/>
          <w:szCs w:val="26"/>
        </w:rPr>
      </w:pPr>
    </w:p>
    <w:p w14:paraId="2F2E1858" w14:textId="6C92CDFC" w:rsidR="008C50F3" w:rsidRPr="00427235" w:rsidRDefault="008C50F3" w:rsidP="00EE71D3">
      <w:pPr>
        <w:pStyle w:val="Default"/>
        <w:rPr>
          <w:sz w:val="26"/>
          <w:szCs w:val="26"/>
        </w:rPr>
      </w:pPr>
      <w:r w:rsidRPr="00427235">
        <w:rPr>
          <w:b/>
          <w:bCs/>
          <w:sz w:val="26"/>
          <w:szCs w:val="26"/>
        </w:rPr>
        <w:t>(e) – (f)</w:t>
      </w:r>
      <w:r w:rsidRPr="00427235">
        <w:rPr>
          <w:sz w:val="26"/>
          <w:szCs w:val="26"/>
        </w:rPr>
        <w:t xml:space="preserve"> [no change]</w:t>
      </w:r>
    </w:p>
    <w:p w14:paraId="61C55C5A" w14:textId="4019B08D" w:rsidR="00EE71D3" w:rsidRPr="00427235" w:rsidRDefault="00EE71D3" w:rsidP="00622980">
      <w:pPr>
        <w:jc w:val="both"/>
        <w:rPr>
          <w:rFonts w:asciiTheme="majorBidi" w:hAnsiTheme="majorBidi" w:cstheme="majorBidi"/>
          <w:sz w:val="26"/>
          <w:szCs w:val="26"/>
        </w:rPr>
      </w:pPr>
    </w:p>
    <w:p w14:paraId="3496EB5D" w14:textId="77777777" w:rsidR="00B32C93" w:rsidRPr="00427235" w:rsidRDefault="00B32C93" w:rsidP="00622980">
      <w:pPr>
        <w:jc w:val="both"/>
        <w:rPr>
          <w:rFonts w:asciiTheme="majorBidi" w:hAnsiTheme="majorBidi" w:cstheme="majorBidi"/>
          <w:sz w:val="26"/>
          <w:szCs w:val="26"/>
        </w:rPr>
      </w:pPr>
    </w:p>
    <w:p w14:paraId="348F7B15" w14:textId="147422E6" w:rsidR="008C50F3" w:rsidRPr="00427235" w:rsidRDefault="008C50F3" w:rsidP="008C50F3">
      <w:pPr>
        <w:jc w:val="both"/>
        <w:rPr>
          <w:rFonts w:asciiTheme="majorBidi" w:hAnsiTheme="majorBidi" w:cstheme="majorBidi"/>
          <w:sz w:val="26"/>
          <w:szCs w:val="26"/>
        </w:rPr>
      </w:pPr>
      <w:r w:rsidRPr="00427235">
        <w:rPr>
          <w:rFonts w:asciiTheme="majorBidi" w:hAnsiTheme="majorBidi" w:cstheme="majorBidi"/>
          <w:b/>
          <w:bCs/>
          <w:sz w:val="26"/>
          <w:szCs w:val="26"/>
        </w:rPr>
        <w:t xml:space="preserve">Rule 31.19. An Appellate Court’s Orders and Decisions </w:t>
      </w:r>
      <w:r w:rsidRPr="00427235">
        <w:rPr>
          <w:rFonts w:asciiTheme="majorBidi" w:hAnsiTheme="majorBidi" w:cstheme="majorBidi"/>
          <w:sz w:val="26"/>
          <w:szCs w:val="26"/>
        </w:rPr>
        <w:t>[no change]</w:t>
      </w:r>
    </w:p>
    <w:p w14:paraId="466B8A33" w14:textId="32255717" w:rsidR="008C50F3" w:rsidRPr="00427235" w:rsidRDefault="008C50F3" w:rsidP="008C50F3">
      <w:pPr>
        <w:jc w:val="both"/>
        <w:rPr>
          <w:rFonts w:asciiTheme="majorBidi" w:hAnsiTheme="majorBidi" w:cstheme="majorBidi"/>
          <w:sz w:val="26"/>
          <w:szCs w:val="26"/>
        </w:rPr>
      </w:pPr>
    </w:p>
    <w:p w14:paraId="5D8AD3B6" w14:textId="77777777" w:rsidR="00B32C93" w:rsidRPr="00427235" w:rsidRDefault="00B32C93" w:rsidP="008C50F3">
      <w:pPr>
        <w:jc w:val="both"/>
        <w:rPr>
          <w:rFonts w:asciiTheme="majorBidi" w:hAnsiTheme="majorBidi" w:cstheme="majorBidi"/>
          <w:sz w:val="26"/>
          <w:szCs w:val="26"/>
        </w:rPr>
      </w:pPr>
    </w:p>
    <w:p w14:paraId="31BA3839" w14:textId="7F6C7A0F" w:rsidR="008C50F3" w:rsidRPr="00427235" w:rsidRDefault="008C50F3" w:rsidP="008C50F3">
      <w:pPr>
        <w:jc w:val="both"/>
        <w:rPr>
          <w:b/>
          <w:bCs/>
          <w:sz w:val="26"/>
          <w:szCs w:val="26"/>
        </w:rPr>
      </w:pPr>
      <w:r w:rsidRPr="00427235">
        <w:rPr>
          <w:b/>
          <w:bCs/>
          <w:sz w:val="26"/>
          <w:szCs w:val="26"/>
        </w:rPr>
        <w:t>Rule 31.20. Motion for Reconsideration</w:t>
      </w:r>
    </w:p>
    <w:p w14:paraId="7F938EF3" w14:textId="4180F4C6" w:rsidR="008C50F3" w:rsidRPr="00427235" w:rsidRDefault="008C50F3" w:rsidP="008C50F3">
      <w:pPr>
        <w:jc w:val="both"/>
        <w:rPr>
          <w:b/>
          <w:bCs/>
          <w:sz w:val="26"/>
          <w:szCs w:val="26"/>
        </w:rPr>
      </w:pPr>
    </w:p>
    <w:p w14:paraId="0B3B36E2" w14:textId="34E27EE6" w:rsidR="008C50F3" w:rsidRPr="00427235" w:rsidRDefault="008C50F3" w:rsidP="008C50F3">
      <w:pPr>
        <w:jc w:val="both"/>
        <w:rPr>
          <w:sz w:val="26"/>
          <w:szCs w:val="26"/>
        </w:rPr>
      </w:pPr>
      <w:r w:rsidRPr="00427235">
        <w:rPr>
          <w:b/>
          <w:bCs/>
          <w:sz w:val="26"/>
          <w:szCs w:val="26"/>
        </w:rPr>
        <w:t xml:space="preserve">(a) – (d) </w:t>
      </w:r>
      <w:r w:rsidRPr="00427235">
        <w:rPr>
          <w:sz w:val="26"/>
          <w:szCs w:val="26"/>
        </w:rPr>
        <w:t>[no change]</w:t>
      </w:r>
    </w:p>
    <w:p w14:paraId="702B02A3" w14:textId="5756EC29" w:rsidR="008C50F3" w:rsidRPr="00427235" w:rsidRDefault="008C50F3" w:rsidP="008C50F3">
      <w:pPr>
        <w:jc w:val="both"/>
        <w:rPr>
          <w:rFonts w:asciiTheme="majorBidi" w:hAnsiTheme="majorBidi" w:cstheme="majorBidi"/>
          <w:sz w:val="26"/>
          <w:szCs w:val="26"/>
        </w:rPr>
      </w:pPr>
    </w:p>
    <w:p w14:paraId="5170E837" w14:textId="7A54FD0B" w:rsidR="008C50F3" w:rsidRPr="00427235" w:rsidRDefault="008C50F3" w:rsidP="008C50F3">
      <w:pPr>
        <w:pStyle w:val="Default"/>
        <w:rPr>
          <w:sz w:val="26"/>
          <w:szCs w:val="26"/>
        </w:rPr>
      </w:pPr>
      <w:r w:rsidRPr="00427235">
        <w:rPr>
          <w:b/>
          <w:bCs/>
          <w:sz w:val="26"/>
          <w:szCs w:val="26"/>
        </w:rPr>
        <w:t xml:space="preserve">(e) Form and Length. </w:t>
      </w:r>
      <w:r w:rsidRPr="00427235">
        <w:rPr>
          <w:sz w:val="26"/>
          <w:szCs w:val="26"/>
        </w:rPr>
        <w:t>A motion for reconsideration or a response to a motion for reconsideration must comply with Rule 31.6(b). A motion for reconsideration or a response to a motion for reconsideration may not exceed 3,500 words</w:t>
      </w:r>
      <w:r w:rsidR="00A57D7E" w:rsidRPr="00427235">
        <w:rPr>
          <w:sz w:val="26"/>
          <w:szCs w:val="26"/>
        </w:rPr>
        <w:t xml:space="preserve"> </w:t>
      </w:r>
      <w:r w:rsidR="00A57D7E" w:rsidRPr="00427235">
        <w:rPr>
          <w:sz w:val="26"/>
          <w:szCs w:val="26"/>
          <w:u w:val="single"/>
        </w:rPr>
        <w:t xml:space="preserve">or, if </w:t>
      </w:r>
      <w:r w:rsidRPr="00427235">
        <w:rPr>
          <w:sz w:val="26"/>
          <w:szCs w:val="26"/>
          <w:u w:val="single"/>
        </w:rPr>
        <w:t>handwritten</w:t>
      </w:r>
      <w:r w:rsidR="00643952" w:rsidRPr="00427235">
        <w:rPr>
          <w:sz w:val="26"/>
          <w:szCs w:val="26"/>
          <w:u w:val="single"/>
        </w:rPr>
        <w:t>,</w:t>
      </w:r>
      <w:r w:rsidRPr="00427235">
        <w:rPr>
          <w:sz w:val="26"/>
          <w:szCs w:val="26"/>
          <w:u w:val="single"/>
        </w:rPr>
        <w:t xml:space="preserve"> 12 pages</w:t>
      </w:r>
      <w:r w:rsidRPr="00427235">
        <w:rPr>
          <w:sz w:val="26"/>
          <w:szCs w:val="26"/>
        </w:rPr>
        <w:t xml:space="preserve">. A certificate of compliance, as provided in Form 30, must accompany a motion for reconsideration or a response. A party preparing this certificate may rely on the word count of the word processing system used to prepare the motion or response if it counts the required words including any footnotes. </w:t>
      </w:r>
    </w:p>
    <w:p w14:paraId="3CAECB85" w14:textId="072FE4E2" w:rsidR="008C50F3" w:rsidRPr="00427235" w:rsidRDefault="008C50F3" w:rsidP="008C50F3">
      <w:pPr>
        <w:jc w:val="both"/>
        <w:rPr>
          <w:rFonts w:asciiTheme="majorBidi" w:hAnsiTheme="majorBidi" w:cstheme="majorBidi"/>
          <w:sz w:val="26"/>
          <w:szCs w:val="26"/>
        </w:rPr>
      </w:pPr>
    </w:p>
    <w:p w14:paraId="536C6C65" w14:textId="7EA13CFA" w:rsidR="008C50F3" w:rsidRPr="00427235" w:rsidRDefault="008C50F3" w:rsidP="008C50F3">
      <w:pPr>
        <w:jc w:val="both"/>
        <w:rPr>
          <w:rFonts w:asciiTheme="majorBidi" w:hAnsiTheme="majorBidi" w:cstheme="majorBidi"/>
          <w:sz w:val="26"/>
          <w:szCs w:val="26"/>
        </w:rPr>
      </w:pPr>
      <w:r w:rsidRPr="00427235">
        <w:rPr>
          <w:rFonts w:asciiTheme="majorBidi" w:hAnsiTheme="majorBidi" w:cstheme="majorBidi"/>
          <w:b/>
          <w:bCs/>
          <w:sz w:val="26"/>
          <w:szCs w:val="26"/>
        </w:rPr>
        <w:t>(f) Motions Not Permitted.</w:t>
      </w:r>
      <w:r w:rsidRPr="00427235">
        <w:rPr>
          <w:rFonts w:asciiTheme="majorBidi" w:hAnsiTheme="majorBidi" w:cstheme="majorBidi"/>
          <w:sz w:val="26"/>
          <w:szCs w:val="26"/>
        </w:rPr>
        <w:t xml:space="preserve"> [no change]</w:t>
      </w:r>
    </w:p>
    <w:p w14:paraId="0AAD4F50" w14:textId="699B0A94" w:rsidR="008C50F3" w:rsidRPr="00427235" w:rsidRDefault="008C50F3" w:rsidP="008C50F3">
      <w:pPr>
        <w:jc w:val="both"/>
        <w:rPr>
          <w:rFonts w:asciiTheme="majorBidi" w:hAnsiTheme="majorBidi" w:cstheme="majorBidi"/>
          <w:sz w:val="26"/>
          <w:szCs w:val="26"/>
        </w:rPr>
      </w:pPr>
    </w:p>
    <w:p w14:paraId="7BF1B8F6" w14:textId="77777777" w:rsidR="003652B9" w:rsidRPr="00427235" w:rsidRDefault="003652B9" w:rsidP="008C50F3">
      <w:pPr>
        <w:jc w:val="both"/>
        <w:rPr>
          <w:rFonts w:asciiTheme="majorBidi" w:hAnsiTheme="majorBidi" w:cstheme="majorBidi"/>
          <w:sz w:val="26"/>
          <w:szCs w:val="26"/>
        </w:rPr>
      </w:pPr>
    </w:p>
    <w:p w14:paraId="227CF447" w14:textId="7D6A8EE5" w:rsidR="008C50F3" w:rsidRPr="00427235" w:rsidRDefault="008C50F3" w:rsidP="008C50F3">
      <w:pPr>
        <w:jc w:val="both"/>
        <w:rPr>
          <w:b/>
          <w:bCs/>
          <w:sz w:val="26"/>
          <w:szCs w:val="26"/>
        </w:rPr>
      </w:pPr>
      <w:r w:rsidRPr="00427235">
        <w:rPr>
          <w:b/>
          <w:bCs/>
          <w:sz w:val="26"/>
          <w:szCs w:val="26"/>
        </w:rPr>
        <w:t>Rule 31.21. Petition for Review</w:t>
      </w:r>
    </w:p>
    <w:p w14:paraId="7BF8F4CD" w14:textId="1BE93208" w:rsidR="008C50F3" w:rsidRPr="00427235" w:rsidRDefault="008C50F3" w:rsidP="008C50F3">
      <w:pPr>
        <w:jc w:val="both"/>
        <w:rPr>
          <w:b/>
          <w:bCs/>
          <w:sz w:val="26"/>
          <w:szCs w:val="26"/>
        </w:rPr>
      </w:pPr>
    </w:p>
    <w:p w14:paraId="5C310DAF" w14:textId="0A05BB3B" w:rsidR="008C50F3" w:rsidRPr="00427235" w:rsidRDefault="008C50F3" w:rsidP="008C50F3">
      <w:pPr>
        <w:jc w:val="both"/>
        <w:rPr>
          <w:sz w:val="26"/>
          <w:szCs w:val="26"/>
        </w:rPr>
      </w:pPr>
      <w:r w:rsidRPr="00427235">
        <w:rPr>
          <w:b/>
          <w:bCs/>
          <w:sz w:val="26"/>
          <w:szCs w:val="26"/>
        </w:rPr>
        <w:t xml:space="preserve">(a) </w:t>
      </w:r>
      <w:r w:rsidR="003652B9" w:rsidRPr="00427235">
        <w:rPr>
          <w:b/>
          <w:bCs/>
          <w:sz w:val="26"/>
          <w:szCs w:val="26"/>
        </w:rPr>
        <w:t xml:space="preserve">Purpose. </w:t>
      </w:r>
      <w:r w:rsidRPr="00427235">
        <w:rPr>
          <w:sz w:val="26"/>
          <w:szCs w:val="26"/>
        </w:rPr>
        <w:t>[no change]</w:t>
      </w:r>
    </w:p>
    <w:p w14:paraId="68492702" w14:textId="77777777" w:rsidR="003652B9" w:rsidRPr="00427235" w:rsidRDefault="003652B9" w:rsidP="003652B9">
      <w:pPr>
        <w:pStyle w:val="Default"/>
        <w:spacing w:after="99"/>
        <w:rPr>
          <w:b/>
          <w:bCs/>
          <w:sz w:val="26"/>
          <w:szCs w:val="26"/>
        </w:rPr>
      </w:pPr>
    </w:p>
    <w:p w14:paraId="596A795A" w14:textId="29E94861" w:rsidR="003652B9" w:rsidRPr="00427235" w:rsidRDefault="003652B9" w:rsidP="003652B9">
      <w:pPr>
        <w:pStyle w:val="Default"/>
        <w:spacing w:after="99"/>
        <w:rPr>
          <w:b/>
          <w:bCs/>
          <w:sz w:val="26"/>
          <w:szCs w:val="26"/>
        </w:rPr>
      </w:pPr>
      <w:r w:rsidRPr="00427235">
        <w:rPr>
          <w:b/>
          <w:bCs/>
          <w:sz w:val="26"/>
          <w:szCs w:val="26"/>
        </w:rPr>
        <w:t>(b) Place and Time for Filing; Copies</w:t>
      </w:r>
    </w:p>
    <w:p w14:paraId="34CE6485" w14:textId="77777777" w:rsidR="003652B9" w:rsidRPr="00427235" w:rsidRDefault="003652B9" w:rsidP="003652B9">
      <w:pPr>
        <w:pStyle w:val="Default"/>
      </w:pPr>
    </w:p>
    <w:p w14:paraId="6CF30EBE" w14:textId="030CF7A2" w:rsidR="003652B9" w:rsidRPr="00427235" w:rsidRDefault="003652B9" w:rsidP="003652B9">
      <w:pPr>
        <w:pStyle w:val="Default"/>
        <w:spacing w:after="99"/>
        <w:ind w:left="720"/>
        <w:rPr>
          <w:sz w:val="26"/>
          <w:szCs w:val="26"/>
          <w:u w:val="single"/>
        </w:rPr>
      </w:pPr>
      <w:r w:rsidRPr="00427235">
        <w:rPr>
          <w:b/>
          <w:bCs/>
          <w:sz w:val="26"/>
          <w:szCs w:val="26"/>
        </w:rPr>
        <w:t xml:space="preserve">(1) </w:t>
      </w:r>
      <w:r w:rsidRPr="00427235">
        <w:rPr>
          <w:b/>
          <w:bCs/>
          <w:i/>
          <w:iCs/>
          <w:sz w:val="26"/>
          <w:szCs w:val="26"/>
        </w:rPr>
        <w:t xml:space="preserve">Place for Filing. </w:t>
      </w:r>
      <w:r w:rsidRPr="00427235">
        <w:rPr>
          <w:sz w:val="26"/>
          <w:szCs w:val="26"/>
        </w:rPr>
        <w:t xml:space="preserve">Any petition for review, cross-petition for review, response to a petition for review or cross-petition for review, or motion to extend the time for filing any of these documents, must be filed with the Supreme Court clerk. </w:t>
      </w:r>
      <w:r w:rsidRPr="00427235">
        <w:rPr>
          <w:sz w:val="26"/>
          <w:szCs w:val="26"/>
          <w:u w:val="single"/>
        </w:rPr>
        <w:t xml:space="preserve">If handwritten, the petition for review, cross-petition for review, response to </w:t>
      </w:r>
      <w:r w:rsidR="00DB7ABF" w:rsidRPr="00427235">
        <w:rPr>
          <w:sz w:val="26"/>
          <w:szCs w:val="26"/>
          <w:u w:val="single"/>
        </w:rPr>
        <w:t xml:space="preserve">a </w:t>
      </w:r>
      <w:r w:rsidRPr="00427235">
        <w:rPr>
          <w:sz w:val="26"/>
          <w:szCs w:val="26"/>
          <w:u w:val="single"/>
        </w:rPr>
        <w:t>petition for review or cross-petition for review, or motion to extend the time for filing must include an original and one copy.</w:t>
      </w:r>
    </w:p>
    <w:p w14:paraId="4389735A" w14:textId="405C932F" w:rsidR="003652B9" w:rsidRPr="00427235" w:rsidRDefault="003652B9" w:rsidP="003652B9">
      <w:pPr>
        <w:pStyle w:val="Default"/>
        <w:ind w:left="720"/>
        <w:rPr>
          <w:sz w:val="26"/>
          <w:szCs w:val="26"/>
        </w:rPr>
      </w:pPr>
      <w:r w:rsidRPr="00427235">
        <w:rPr>
          <w:b/>
          <w:bCs/>
          <w:sz w:val="26"/>
          <w:szCs w:val="26"/>
        </w:rPr>
        <w:lastRenderedPageBreak/>
        <w:t xml:space="preserve">(2) </w:t>
      </w:r>
      <w:r w:rsidRPr="00427235">
        <w:rPr>
          <w:b/>
          <w:bCs/>
          <w:i/>
          <w:iCs/>
          <w:sz w:val="26"/>
          <w:szCs w:val="26"/>
        </w:rPr>
        <w:t xml:space="preserve">Timing. </w:t>
      </w:r>
      <w:r w:rsidRPr="00427235">
        <w:rPr>
          <w:sz w:val="26"/>
          <w:szCs w:val="26"/>
        </w:rPr>
        <w:t>[no change]</w:t>
      </w:r>
    </w:p>
    <w:p w14:paraId="7679E619" w14:textId="68A9CCD9" w:rsidR="00273DF7" w:rsidRPr="00427235" w:rsidRDefault="00273DF7" w:rsidP="008C50F3">
      <w:pPr>
        <w:jc w:val="both"/>
        <w:rPr>
          <w:sz w:val="26"/>
          <w:szCs w:val="26"/>
        </w:rPr>
      </w:pPr>
    </w:p>
    <w:p w14:paraId="1D28B23B" w14:textId="0588DC99" w:rsidR="003652B9" w:rsidRPr="00427235" w:rsidRDefault="003652B9" w:rsidP="003652B9">
      <w:pPr>
        <w:pStyle w:val="Default"/>
        <w:spacing w:after="99"/>
        <w:rPr>
          <w:sz w:val="26"/>
          <w:szCs w:val="26"/>
        </w:rPr>
      </w:pPr>
      <w:r w:rsidRPr="00427235">
        <w:rPr>
          <w:b/>
          <w:bCs/>
          <w:sz w:val="26"/>
          <w:szCs w:val="26"/>
        </w:rPr>
        <w:t>(c)</w:t>
      </w:r>
      <w:r w:rsidRPr="00427235">
        <w:rPr>
          <w:sz w:val="26"/>
          <w:szCs w:val="26"/>
        </w:rPr>
        <w:t xml:space="preserve"> </w:t>
      </w:r>
      <w:r w:rsidRPr="00427235">
        <w:rPr>
          <w:b/>
          <w:bCs/>
          <w:sz w:val="26"/>
          <w:szCs w:val="26"/>
        </w:rPr>
        <w:t xml:space="preserve">– (f) </w:t>
      </w:r>
      <w:r w:rsidRPr="00427235">
        <w:rPr>
          <w:sz w:val="26"/>
          <w:szCs w:val="26"/>
        </w:rPr>
        <w:t>[no change]</w:t>
      </w:r>
      <w:r w:rsidR="00273DF7" w:rsidRPr="00427235">
        <w:rPr>
          <w:b/>
          <w:bCs/>
          <w:sz w:val="26"/>
          <w:szCs w:val="26"/>
        </w:rPr>
        <w:t xml:space="preserve"> </w:t>
      </w:r>
    </w:p>
    <w:p w14:paraId="3D1CE543" w14:textId="6FF47357" w:rsidR="00273DF7" w:rsidRPr="00427235" w:rsidRDefault="008C50F3" w:rsidP="008C50F3">
      <w:pPr>
        <w:pStyle w:val="Default"/>
        <w:rPr>
          <w:b/>
          <w:bCs/>
          <w:sz w:val="26"/>
          <w:szCs w:val="26"/>
        </w:rPr>
      </w:pPr>
      <w:r w:rsidRPr="00427235">
        <w:rPr>
          <w:b/>
          <w:bCs/>
          <w:sz w:val="26"/>
          <w:szCs w:val="26"/>
        </w:rPr>
        <w:t xml:space="preserve">(g) Form and Length of Petition, Cross-Petition, and Responses. </w:t>
      </w:r>
    </w:p>
    <w:p w14:paraId="000817B2" w14:textId="1C7786C0" w:rsidR="008C50F3" w:rsidRPr="00427235" w:rsidRDefault="008C50F3" w:rsidP="003652B9">
      <w:pPr>
        <w:pStyle w:val="Default"/>
        <w:ind w:left="720"/>
        <w:rPr>
          <w:sz w:val="26"/>
          <w:szCs w:val="26"/>
        </w:rPr>
      </w:pPr>
      <w:r w:rsidRPr="00427235">
        <w:rPr>
          <w:b/>
          <w:bCs/>
          <w:sz w:val="26"/>
          <w:szCs w:val="26"/>
        </w:rPr>
        <w:t xml:space="preserve">(1) </w:t>
      </w:r>
      <w:r w:rsidRPr="00427235">
        <w:rPr>
          <w:b/>
          <w:bCs/>
          <w:i/>
          <w:iCs/>
          <w:sz w:val="26"/>
          <w:szCs w:val="26"/>
        </w:rPr>
        <w:t xml:space="preserve">Form. </w:t>
      </w:r>
      <w:r w:rsidR="00273DF7" w:rsidRPr="00427235">
        <w:rPr>
          <w:sz w:val="26"/>
          <w:szCs w:val="26"/>
        </w:rPr>
        <w:t>[no change]</w:t>
      </w:r>
      <w:r w:rsidRPr="00427235">
        <w:rPr>
          <w:sz w:val="26"/>
          <w:szCs w:val="26"/>
        </w:rPr>
        <w:t xml:space="preserve"> </w:t>
      </w:r>
    </w:p>
    <w:p w14:paraId="5181CA0D" w14:textId="6CE2C4FD" w:rsidR="008C50F3" w:rsidRPr="00427235" w:rsidRDefault="008C50F3" w:rsidP="003652B9">
      <w:pPr>
        <w:pStyle w:val="Default"/>
        <w:spacing w:after="101"/>
        <w:ind w:left="720"/>
        <w:rPr>
          <w:sz w:val="26"/>
          <w:szCs w:val="26"/>
        </w:rPr>
      </w:pPr>
      <w:r w:rsidRPr="00427235">
        <w:rPr>
          <w:b/>
          <w:bCs/>
          <w:sz w:val="26"/>
          <w:szCs w:val="26"/>
        </w:rPr>
        <w:t xml:space="preserve">(2) </w:t>
      </w:r>
      <w:r w:rsidRPr="00427235">
        <w:rPr>
          <w:b/>
          <w:bCs/>
          <w:i/>
          <w:iCs/>
          <w:sz w:val="26"/>
          <w:szCs w:val="26"/>
        </w:rPr>
        <w:t xml:space="preserve">Length. </w:t>
      </w:r>
      <w:r w:rsidRPr="00427235">
        <w:rPr>
          <w:sz w:val="26"/>
          <w:szCs w:val="26"/>
        </w:rPr>
        <w:t>A petition, a cross-petition, or a response to a petition or cross-petition must not exceed 3,500 words</w:t>
      </w:r>
      <w:r w:rsidR="00273DF7" w:rsidRPr="00427235">
        <w:rPr>
          <w:sz w:val="26"/>
          <w:szCs w:val="26"/>
          <w:u w:val="single"/>
        </w:rPr>
        <w:t xml:space="preserve"> or</w:t>
      </w:r>
      <w:r w:rsidR="00062CE2" w:rsidRPr="00427235">
        <w:rPr>
          <w:sz w:val="26"/>
          <w:szCs w:val="26"/>
          <w:u w:val="single"/>
        </w:rPr>
        <w:t>, if handwritten,</w:t>
      </w:r>
      <w:r w:rsidR="00273DF7" w:rsidRPr="00427235">
        <w:rPr>
          <w:sz w:val="26"/>
          <w:szCs w:val="26"/>
          <w:u w:val="single"/>
        </w:rPr>
        <w:t xml:space="preserve"> 12 pages</w:t>
      </w:r>
      <w:r w:rsidRPr="00427235">
        <w:rPr>
          <w:sz w:val="26"/>
          <w:szCs w:val="26"/>
        </w:rPr>
        <w:t>. A cross-petition combined with a response to a petition may not exceed 6,500 words</w:t>
      </w:r>
      <w:r w:rsidR="00273DF7" w:rsidRPr="00427235">
        <w:rPr>
          <w:sz w:val="26"/>
          <w:szCs w:val="26"/>
          <w:u w:val="single"/>
        </w:rPr>
        <w:t xml:space="preserve"> or</w:t>
      </w:r>
      <w:r w:rsidR="00062CE2" w:rsidRPr="00427235">
        <w:rPr>
          <w:sz w:val="26"/>
          <w:szCs w:val="26"/>
          <w:u w:val="single"/>
        </w:rPr>
        <w:t>, if handwritten</w:t>
      </w:r>
      <w:r w:rsidR="000B7AE0" w:rsidRPr="00427235">
        <w:rPr>
          <w:sz w:val="26"/>
          <w:szCs w:val="26"/>
          <w:u w:val="single"/>
        </w:rPr>
        <w:t>,</w:t>
      </w:r>
      <w:r w:rsidR="00273DF7" w:rsidRPr="00427235">
        <w:rPr>
          <w:sz w:val="26"/>
          <w:szCs w:val="26"/>
          <w:u w:val="single"/>
        </w:rPr>
        <w:t xml:space="preserve"> 23 pages</w:t>
      </w:r>
      <w:r w:rsidRPr="00427235">
        <w:rPr>
          <w:sz w:val="26"/>
          <w:szCs w:val="26"/>
        </w:rPr>
        <w:t xml:space="preserve">. </w:t>
      </w:r>
    </w:p>
    <w:p w14:paraId="7B312C03" w14:textId="6D2ABBA1" w:rsidR="008C50F3" w:rsidRPr="00427235" w:rsidRDefault="008C50F3" w:rsidP="003652B9">
      <w:pPr>
        <w:pStyle w:val="Default"/>
        <w:ind w:left="720"/>
        <w:rPr>
          <w:sz w:val="26"/>
          <w:szCs w:val="26"/>
        </w:rPr>
      </w:pPr>
      <w:r w:rsidRPr="00427235">
        <w:rPr>
          <w:b/>
          <w:bCs/>
          <w:sz w:val="26"/>
          <w:szCs w:val="26"/>
        </w:rPr>
        <w:t xml:space="preserve">(3) </w:t>
      </w:r>
      <w:r w:rsidRPr="00427235">
        <w:rPr>
          <w:b/>
          <w:bCs/>
          <w:i/>
          <w:iCs/>
          <w:sz w:val="26"/>
          <w:szCs w:val="26"/>
        </w:rPr>
        <w:t xml:space="preserve">Certificate of Compliance. </w:t>
      </w:r>
      <w:r w:rsidR="00273DF7" w:rsidRPr="00427235">
        <w:rPr>
          <w:sz w:val="26"/>
          <w:szCs w:val="26"/>
        </w:rPr>
        <w:t>[no change]</w:t>
      </w:r>
      <w:r w:rsidRPr="00427235">
        <w:rPr>
          <w:sz w:val="26"/>
          <w:szCs w:val="26"/>
        </w:rPr>
        <w:t xml:space="preserve"> </w:t>
      </w:r>
    </w:p>
    <w:p w14:paraId="28726E05" w14:textId="77777777" w:rsidR="008C50F3" w:rsidRPr="00427235" w:rsidRDefault="008C50F3" w:rsidP="008C50F3">
      <w:pPr>
        <w:pStyle w:val="Default"/>
        <w:rPr>
          <w:sz w:val="26"/>
          <w:szCs w:val="26"/>
        </w:rPr>
      </w:pPr>
    </w:p>
    <w:p w14:paraId="561FE1E2" w14:textId="755992DA" w:rsidR="008C50F3" w:rsidRPr="00273DF7" w:rsidRDefault="00273DF7" w:rsidP="008C50F3">
      <w:pPr>
        <w:pStyle w:val="Default"/>
        <w:rPr>
          <w:sz w:val="26"/>
          <w:szCs w:val="26"/>
        </w:rPr>
      </w:pPr>
      <w:r w:rsidRPr="00427235">
        <w:rPr>
          <w:b/>
          <w:bCs/>
          <w:sz w:val="26"/>
          <w:szCs w:val="26"/>
        </w:rPr>
        <w:t>(h) – (l)</w:t>
      </w:r>
      <w:r w:rsidRPr="00427235">
        <w:rPr>
          <w:sz w:val="26"/>
          <w:szCs w:val="26"/>
        </w:rPr>
        <w:t xml:space="preserve"> [no change]</w:t>
      </w:r>
    </w:p>
    <w:bookmarkEnd w:id="2"/>
    <w:p w14:paraId="20296D9A" w14:textId="77777777" w:rsidR="008C50F3" w:rsidRDefault="008C50F3" w:rsidP="008C50F3">
      <w:pPr>
        <w:pStyle w:val="Default"/>
        <w:rPr>
          <w:sz w:val="26"/>
          <w:szCs w:val="26"/>
        </w:rPr>
      </w:pPr>
    </w:p>
    <w:p w14:paraId="0D7A8E2F" w14:textId="77777777" w:rsidR="008C50F3" w:rsidRPr="008C50F3" w:rsidRDefault="008C50F3" w:rsidP="008C50F3">
      <w:pPr>
        <w:jc w:val="both"/>
        <w:rPr>
          <w:rFonts w:asciiTheme="majorBidi" w:hAnsiTheme="majorBidi" w:cstheme="majorBidi"/>
          <w:sz w:val="26"/>
          <w:szCs w:val="26"/>
        </w:rPr>
      </w:pPr>
    </w:p>
    <w:sectPr w:rsidR="008C50F3" w:rsidRPr="008C50F3" w:rsidSect="001F56E5">
      <w:headerReference w:type="default" r:id="rId8"/>
      <w:footerReference w:type="even" r:id="rId9"/>
      <w:footerReference w:type="default" r:id="rId10"/>
      <w:headerReference w:type="first" r:id="rId11"/>
      <w:footerReference w:type="first" r:id="rId12"/>
      <w:type w:val="continuous"/>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A220C8" w14:textId="77777777" w:rsidR="00703F2A" w:rsidRDefault="00703F2A">
      <w:r>
        <w:separator/>
      </w:r>
    </w:p>
  </w:endnote>
  <w:endnote w:type="continuationSeparator" w:id="0">
    <w:p w14:paraId="267D670B" w14:textId="77777777" w:rsidR="00703F2A" w:rsidRDefault="00703F2A">
      <w:r>
        <w:continuationSeparator/>
      </w:r>
    </w:p>
  </w:endnote>
  <w:endnote w:type="continuationNotice" w:id="1">
    <w:p w14:paraId="3AEBDB03" w14:textId="77777777" w:rsidR="00703F2A" w:rsidRDefault="00703F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6D79F8" w14:textId="77777777" w:rsidR="00622980" w:rsidRDefault="00622980">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C40C49" w14:textId="21AC262D" w:rsidR="00622980" w:rsidRDefault="00622980">
    <w:pPr>
      <w:pStyle w:val="Footer"/>
      <w:jc w:val="center"/>
    </w:pPr>
    <w:r>
      <w:t xml:space="preserve">Page </w:t>
    </w:r>
    <w:r>
      <w:rPr>
        <w:noProof/>
      </w:rPr>
      <w:fldChar w:fldCharType="begin"/>
    </w:r>
    <w:r>
      <w:instrText xml:space="preserve"> PAGE </w:instrText>
    </w:r>
    <w:r>
      <w:fldChar w:fldCharType="separate"/>
    </w:r>
    <w:r w:rsidR="00E8372D">
      <w:rPr>
        <w:noProof/>
      </w:rPr>
      <w:t>3</w:t>
    </w:r>
    <w:r>
      <w:rPr>
        <w:noProof/>
      </w:rPr>
      <w:fldChar w:fldCharType="end"/>
    </w:r>
    <w:r>
      <w:t xml:space="preserve"> of </w:t>
    </w:r>
    <w:fldSimple w:instr=" NUMPAGES ">
      <w:r w:rsidR="00E8372D">
        <w:rPr>
          <w:noProof/>
        </w:rPr>
        <w:t>6</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354F4A" w14:textId="77777777" w:rsidR="00622980" w:rsidRDefault="00622980">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01F199" w14:textId="77777777" w:rsidR="00703F2A" w:rsidRDefault="00703F2A">
      <w:r>
        <w:separator/>
      </w:r>
    </w:p>
  </w:footnote>
  <w:footnote w:type="continuationSeparator" w:id="0">
    <w:p w14:paraId="52EDE464" w14:textId="77777777" w:rsidR="00703F2A" w:rsidRDefault="00703F2A">
      <w:r>
        <w:continuationSeparator/>
      </w:r>
    </w:p>
  </w:footnote>
  <w:footnote w:type="continuationNotice" w:id="1">
    <w:p w14:paraId="70A29EB2" w14:textId="77777777" w:rsidR="00703F2A" w:rsidRDefault="00703F2A"/>
  </w:footnote>
  <w:footnote w:id="2">
    <w:p w14:paraId="03F0DADF" w14:textId="77777777" w:rsidR="00622980" w:rsidRDefault="00622980" w:rsidP="0091039C">
      <w:pPr>
        <w:pStyle w:val="FootnoteText"/>
      </w:pPr>
      <w:r>
        <w:rPr>
          <w:rStyle w:val="FootnoteReference"/>
        </w:rPr>
        <w:footnoteRef/>
      </w:r>
      <w:r>
        <w:t xml:space="preserve"> </w:t>
      </w:r>
      <w:r w:rsidRPr="00A060DA">
        <w:t xml:space="preserve">Changes or additions in rule text are indicated by </w:t>
      </w:r>
      <w:r w:rsidRPr="00A060DA">
        <w:rPr>
          <w:u w:val="single"/>
        </w:rPr>
        <w:t>underscoring</w:t>
      </w:r>
      <w:r w:rsidRPr="00A060DA">
        <w:t xml:space="preserve"> and deletions from text are indicated by </w:t>
      </w:r>
      <w:r w:rsidRPr="00A060DA">
        <w:rPr>
          <w:strike/>
        </w:rPr>
        <w:t>strikeouts</w:t>
      </w:r>
      <w:r w:rsidRPr="00A060DA">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D9181D" w14:textId="77777777" w:rsidR="00622980" w:rsidRDefault="00622980">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813235" w14:textId="77777777" w:rsidR="00622980" w:rsidRDefault="00622980">
    <w:pPr>
      <w:pStyle w:val="Header"/>
      <w:jc w:val="center"/>
    </w:pPr>
    <w:r>
      <w:t>DRAFT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061FD"/>
    <w:multiLevelType w:val="hybridMultilevel"/>
    <w:tmpl w:val="03D8C4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91763C"/>
    <w:multiLevelType w:val="singleLevel"/>
    <w:tmpl w:val="3E26A96A"/>
    <w:lvl w:ilvl="0">
      <w:start w:val="5"/>
      <w:numFmt w:val="decimal"/>
      <w:lvlText w:val="%1."/>
      <w:lvlJc w:val="left"/>
      <w:pPr>
        <w:tabs>
          <w:tab w:val="num" w:pos="720"/>
        </w:tabs>
        <w:ind w:left="720" w:hanging="720"/>
      </w:pPr>
      <w:rPr>
        <w:rFonts w:hint="default"/>
      </w:rPr>
    </w:lvl>
  </w:abstractNum>
  <w:abstractNum w:abstractNumId="2" w15:restartNumberingAfterBreak="0">
    <w:nsid w:val="33160626"/>
    <w:multiLevelType w:val="singleLevel"/>
    <w:tmpl w:val="0BD40392"/>
    <w:lvl w:ilvl="0">
      <w:start w:val="1"/>
      <w:numFmt w:val="lowerLetter"/>
      <w:lvlText w:val="(%1)"/>
      <w:lvlJc w:val="left"/>
      <w:pPr>
        <w:tabs>
          <w:tab w:val="num" w:pos="720"/>
        </w:tabs>
        <w:ind w:left="720" w:hanging="720"/>
      </w:pPr>
      <w:rPr>
        <w:rFonts w:hint="default"/>
      </w:rPr>
    </w:lvl>
  </w:abstractNum>
  <w:abstractNum w:abstractNumId="3" w15:restartNumberingAfterBreak="0">
    <w:nsid w:val="38FA118C"/>
    <w:multiLevelType w:val="hybridMultilevel"/>
    <w:tmpl w:val="B8844272"/>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0455309"/>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32D4AED"/>
    <w:multiLevelType w:val="hybridMultilevel"/>
    <w:tmpl w:val="448E6C3A"/>
    <w:lvl w:ilvl="0" w:tplc="79D45BF0">
      <w:start w:val="1"/>
      <w:numFmt w:val="bullet"/>
      <w:lvlText w:val=""/>
      <w:lvlJc w:val="left"/>
      <w:pPr>
        <w:ind w:left="720" w:hanging="360"/>
      </w:pPr>
      <w:rPr>
        <w:rFonts w:ascii="Symbol" w:hAnsi="Symbol" w:hint="default"/>
      </w:rPr>
    </w:lvl>
    <w:lvl w:ilvl="1" w:tplc="9822F67A">
      <w:start w:val="1"/>
      <w:numFmt w:val="bullet"/>
      <w:lvlText w:val="o"/>
      <w:lvlJc w:val="left"/>
      <w:pPr>
        <w:ind w:left="1440" w:hanging="360"/>
      </w:pPr>
      <w:rPr>
        <w:rFonts w:ascii="Courier New" w:hAnsi="Courier New" w:hint="default"/>
      </w:rPr>
    </w:lvl>
    <w:lvl w:ilvl="2" w:tplc="65E2F320">
      <w:start w:val="1"/>
      <w:numFmt w:val="bullet"/>
      <w:lvlText w:val=""/>
      <w:lvlJc w:val="left"/>
      <w:pPr>
        <w:ind w:left="2160" w:hanging="360"/>
      </w:pPr>
      <w:rPr>
        <w:rFonts w:ascii="Wingdings" w:hAnsi="Wingdings" w:hint="default"/>
      </w:rPr>
    </w:lvl>
    <w:lvl w:ilvl="3" w:tplc="DDBC26F0">
      <w:start w:val="1"/>
      <w:numFmt w:val="bullet"/>
      <w:lvlText w:val=""/>
      <w:lvlJc w:val="left"/>
      <w:pPr>
        <w:ind w:left="2880" w:hanging="360"/>
      </w:pPr>
      <w:rPr>
        <w:rFonts w:ascii="Symbol" w:hAnsi="Symbol" w:hint="default"/>
      </w:rPr>
    </w:lvl>
    <w:lvl w:ilvl="4" w:tplc="1250DE3E">
      <w:start w:val="1"/>
      <w:numFmt w:val="bullet"/>
      <w:lvlText w:val="o"/>
      <w:lvlJc w:val="left"/>
      <w:pPr>
        <w:ind w:left="3600" w:hanging="360"/>
      </w:pPr>
      <w:rPr>
        <w:rFonts w:ascii="Courier New" w:hAnsi="Courier New" w:hint="default"/>
      </w:rPr>
    </w:lvl>
    <w:lvl w:ilvl="5" w:tplc="8EFE2B12">
      <w:start w:val="1"/>
      <w:numFmt w:val="bullet"/>
      <w:lvlText w:val=""/>
      <w:lvlJc w:val="left"/>
      <w:pPr>
        <w:ind w:left="4320" w:hanging="360"/>
      </w:pPr>
      <w:rPr>
        <w:rFonts w:ascii="Wingdings" w:hAnsi="Wingdings" w:hint="default"/>
      </w:rPr>
    </w:lvl>
    <w:lvl w:ilvl="6" w:tplc="D5FEFF8C">
      <w:start w:val="1"/>
      <w:numFmt w:val="bullet"/>
      <w:lvlText w:val=""/>
      <w:lvlJc w:val="left"/>
      <w:pPr>
        <w:ind w:left="5040" w:hanging="360"/>
      </w:pPr>
      <w:rPr>
        <w:rFonts w:ascii="Symbol" w:hAnsi="Symbol" w:hint="default"/>
      </w:rPr>
    </w:lvl>
    <w:lvl w:ilvl="7" w:tplc="46D48B54">
      <w:start w:val="1"/>
      <w:numFmt w:val="bullet"/>
      <w:lvlText w:val="o"/>
      <w:lvlJc w:val="left"/>
      <w:pPr>
        <w:ind w:left="5760" w:hanging="360"/>
      </w:pPr>
      <w:rPr>
        <w:rFonts w:ascii="Courier New" w:hAnsi="Courier New" w:hint="default"/>
      </w:rPr>
    </w:lvl>
    <w:lvl w:ilvl="8" w:tplc="9AF88774">
      <w:start w:val="1"/>
      <w:numFmt w:val="bullet"/>
      <w:lvlText w:val=""/>
      <w:lvlJc w:val="left"/>
      <w:pPr>
        <w:ind w:left="6480" w:hanging="360"/>
      </w:pPr>
      <w:rPr>
        <w:rFonts w:ascii="Wingdings" w:hAnsi="Wingdings" w:hint="default"/>
      </w:rPr>
    </w:lvl>
  </w:abstractNum>
  <w:abstractNum w:abstractNumId="6" w15:restartNumberingAfterBreak="0">
    <w:nsid w:val="4C40730B"/>
    <w:multiLevelType w:val="hybridMultilevel"/>
    <w:tmpl w:val="32E6FEDA"/>
    <w:lvl w:ilvl="0" w:tplc="888618EA">
      <w:start w:val="1"/>
      <w:numFmt w:val="decimal"/>
      <w:lvlText w:val="(%1)"/>
      <w:lvlJc w:val="left"/>
      <w:pPr>
        <w:ind w:left="1087" w:hanging="540"/>
      </w:pPr>
      <w:rPr>
        <w:rFonts w:hint="default"/>
        <w:b/>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7" w15:restartNumberingAfterBreak="0">
    <w:nsid w:val="52BC3D1A"/>
    <w:multiLevelType w:val="hybridMultilevel"/>
    <w:tmpl w:val="5EEAAC2A"/>
    <w:lvl w:ilvl="0" w:tplc="269218D0">
      <w:start w:val="1"/>
      <w:numFmt w:val="lowerLetter"/>
      <w:lvlText w:val="(%1)"/>
      <w:lvlJc w:val="left"/>
      <w:pPr>
        <w:ind w:left="405" w:hanging="360"/>
      </w:pPr>
      <w:rPr>
        <w:rFonts w:hint="default"/>
        <w:b/>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8" w15:restartNumberingAfterBreak="0">
    <w:nsid w:val="552B2063"/>
    <w:multiLevelType w:val="hybridMultilevel"/>
    <w:tmpl w:val="D200FF86"/>
    <w:lvl w:ilvl="0" w:tplc="54FE3080">
      <w:start w:val="1"/>
      <w:numFmt w:val="decimal"/>
      <w:lvlText w:val="%1."/>
      <w:lvlJc w:val="left"/>
      <w:pPr>
        <w:tabs>
          <w:tab w:val="num" w:pos="1080"/>
        </w:tabs>
        <w:ind w:left="1080" w:hanging="360"/>
      </w:pPr>
      <w:rPr>
        <w:rFonts w:hint="default"/>
      </w:rPr>
    </w:lvl>
    <w:lvl w:ilvl="1" w:tplc="56160F54">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5CB60169"/>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15D7C49"/>
    <w:multiLevelType w:val="hybridMultilevel"/>
    <w:tmpl w:val="3E1E6252"/>
    <w:lvl w:ilvl="0" w:tplc="E4901C18">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DC739DD"/>
    <w:multiLevelType w:val="singleLevel"/>
    <w:tmpl w:val="08E0F99E"/>
    <w:lvl w:ilvl="0">
      <w:start w:val="1"/>
      <w:numFmt w:val="decimal"/>
      <w:lvlText w:val="%1."/>
      <w:lvlJc w:val="left"/>
      <w:pPr>
        <w:tabs>
          <w:tab w:val="num" w:pos="795"/>
        </w:tabs>
        <w:ind w:left="795" w:hanging="795"/>
      </w:pPr>
      <w:rPr>
        <w:rFonts w:hint="default"/>
      </w:rPr>
    </w:lvl>
  </w:abstractNum>
  <w:abstractNum w:abstractNumId="12" w15:restartNumberingAfterBreak="0">
    <w:nsid w:val="6E81288F"/>
    <w:multiLevelType w:val="hybridMultilevel"/>
    <w:tmpl w:val="22A2F3A2"/>
    <w:lvl w:ilvl="0" w:tplc="C9A8F0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
  </w:num>
  <w:num w:numId="3">
    <w:abstractNumId w:val="8"/>
  </w:num>
  <w:num w:numId="4">
    <w:abstractNumId w:val="10"/>
  </w:num>
  <w:num w:numId="5">
    <w:abstractNumId w:val="1"/>
  </w:num>
  <w:num w:numId="6">
    <w:abstractNumId w:val="11"/>
  </w:num>
  <w:num w:numId="7">
    <w:abstractNumId w:val="9"/>
  </w:num>
  <w:num w:numId="8">
    <w:abstractNumId w:val="4"/>
  </w:num>
  <w:num w:numId="9">
    <w:abstractNumId w:val="7"/>
  </w:num>
  <w:num w:numId="10">
    <w:abstractNumId w:val="6"/>
  </w:num>
  <w:num w:numId="11">
    <w:abstractNumId w:val="12"/>
  </w:num>
  <w:num w:numId="12">
    <w:abstractNumId w:val="3"/>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2"/>
  </w:compat>
  <w:rsids>
    <w:rsidRoot w:val="00B376AE"/>
    <w:rsid w:val="00001F43"/>
    <w:rsid w:val="0000429D"/>
    <w:rsid w:val="00031D2F"/>
    <w:rsid w:val="00036BD5"/>
    <w:rsid w:val="000409A2"/>
    <w:rsid w:val="0004337F"/>
    <w:rsid w:val="00044617"/>
    <w:rsid w:val="00062CE2"/>
    <w:rsid w:val="00062EDC"/>
    <w:rsid w:val="00063A90"/>
    <w:rsid w:val="00064955"/>
    <w:rsid w:val="000914B1"/>
    <w:rsid w:val="000A717F"/>
    <w:rsid w:val="000B7AE0"/>
    <w:rsid w:val="000E7EE1"/>
    <w:rsid w:val="00102E16"/>
    <w:rsid w:val="00103E94"/>
    <w:rsid w:val="001239F6"/>
    <w:rsid w:val="001305A2"/>
    <w:rsid w:val="00130FC7"/>
    <w:rsid w:val="001451DE"/>
    <w:rsid w:val="00154F53"/>
    <w:rsid w:val="00171B2F"/>
    <w:rsid w:val="001A3658"/>
    <w:rsid w:val="001A7309"/>
    <w:rsid w:val="001A7EF9"/>
    <w:rsid w:val="001B6095"/>
    <w:rsid w:val="001C5E16"/>
    <w:rsid w:val="001E171A"/>
    <w:rsid w:val="001E472E"/>
    <w:rsid w:val="001F56E5"/>
    <w:rsid w:val="0020422E"/>
    <w:rsid w:val="00204415"/>
    <w:rsid w:val="002545BD"/>
    <w:rsid w:val="00254E37"/>
    <w:rsid w:val="00273DF7"/>
    <w:rsid w:val="0029769D"/>
    <w:rsid w:val="002A62C5"/>
    <w:rsid w:val="002C5D63"/>
    <w:rsid w:val="002E475E"/>
    <w:rsid w:val="0030422B"/>
    <w:rsid w:val="0030683A"/>
    <w:rsid w:val="0030696F"/>
    <w:rsid w:val="0031002A"/>
    <w:rsid w:val="00316C1C"/>
    <w:rsid w:val="00317C80"/>
    <w:rsid w:val="00335AF8"/>
    <w:rsid w:val="003652B9"/>
    <w:rsid w:val="003811DD"/>
    <w:rsid w:val="003815A3"/>
    <w:rsid w:val="00384804"/>
    <w:rsid w:val="00395568"/>
    <w:rsid w:val="003B2773"/>
    <w:rsid w:val="003D5FEE"/>
    <w:rsid w:val="003D73E0"/>
    <w:rsid w:val="003E0046"/>
    <w:rsid w:val="004057D7"/>
    <w:rsid w:val="0041229A"/>
    <w:rsid w:val="00415027"/>
    <w:rsid w:val="00424476"/>
    <w:rsid w:val="00427235"/>
    <w:rsid w:val="00430699"/>
    <w:rsid w:val="00434DBF"/>
    <w:rsid w:val="004462DA"/>
    <w:rsid w:val="00450A4A"/>
    <w:rsid w:val="00452A0D"/>
    <w:rsid w:val="0046620F"/>
    <w:rsid w:val="00493C1C"/>
    <w:rsid w:val="004A330A"/>
    <w:rsid w:val="004A6F40"/>
    <w:rsid w:val="004B1A95"/>
    <w:rsid w:val="004D0BBD"/>
    <w:rsid w:val="005135DD"/>
    <w:rsid w:val="00530BF7"/>
    <w:rsid w:val="00544249"/>
    <w:rsid w:val="00562710"/>
    <w:rsid w:val="005747FC"/>
    <w:rsid w:val="00595427"/>
    <w:rsid w:val="005B7A7F"/>
    <w:rsid w:val="005C08D4"/>
    <w:rsid w:val="005E53B8"/>
    <w:rsid w:val="005F7BBA"/>
    <w:rsid w:val="0060188F"/>
    <w:rsid w:val="006052DE"/>
    <w:rsid w:val="00605591"/>
    <w:rsid w:val="006072CC"/>
    <w:rsid w:val="00622980"/>
    <w:rsid w:val="00623CFC"/>
    <w:rsid w:val="006253C1"/>
    <w:rsid w:val="00643952"/>
    <w:rsid w:val="00651471"/>
    <w:rsid w:val="00681559"/>
    <w:rsid w:val="00690474"/>
    <w:rsid w:val="00695322"/>
    <w:rsid w:val="006D5FFA"/>
    <w:rsid w:val="006D668F"/>
    <w:rsid w:val="006F60FA"/>
    <w:rsid w:val="006F758B"/>
    <w:rsid w:val="0070364B"/>
    <w:rsid w:val="00703F2A"/>
    <w:rsid w:val="00716C66"/>
    <w:rsid w:val="00726D5D"/>
    <w:rsid w:val="00742963"/>
    <w:rsid w:val="00753937"/>
    <w:rsid w:val="00763789"/>
    <w:rsid w:val="007640C5"/>
    <w:rsid w:val="007B785F"/>
    <w:rsid w:val="007C174C"/>
    <w:rsid w:val="007C3AD5"/>
    <w:rsid w:val="007D2722"/>
    <w:rsid w:val="007D2985"/>
    <w:rsid w:val="00800694"/>
    <w:rsid w:val="008248E9"/>
    <w:rsid w:val="008261A0"/>
    <w:rsid w:val="00834F86"/>
    <w:rsid w:val="00872445"/>
    <w:rsid w:val="008908F0"/>
    <w:rsid w:val="008B01D2"/>
    <w:rsid w:val="008B5A58"/>
    <w:rsid w:val="008C50F3"/>
    <w:rsid w:val="008D3802"/>
    <w:rsid w:val="008D3E3D"/>
    <w:rsid w:val="008E7E85"/>
    <w:rsid w:val="0091039C"/>
    <w:rsid w:val="009107A9"/>
    <w:rsid w:val="00910CC0"/>
    <w:rsid w:val="00911252"/>
    <w:rsid w:val="0093612B"/>
    <w:rsid w:val="00936ABE"/>
    <w:rsid w:val="00946825"/>
    <w:rsid w:val="00955820"/>
    <w:rsid w:val="009667CB"/>
    <w:rsid w:val="00970DA0"/>
    <w:rsid w:val="009C3B71"/>
    <w:rsid w:val="009D231B"/>
    <w:rsid w:val="009E3824"/>
    <w:rsid w:val="009F5E4A"/>
    <w:rsid w:val="00A01980"/>
    <w:rsid w:val="00A05F0A"/>
    <w:rsid w:val="00A32179"/>
    <w:rsid w:val="00A4013E"/>
    <w:rsid w:val="00A530BF"/>
    <w:rsid w:val="00A57D7E"/>
    <w:rsid w:val="00A61FF5"/>
    <w:rsid w:val="00A73AC8"/>
    <w:rsid w:val="00A81C59"/>
    <w:rsid w:val="00AA7509"/>
    <w:rsid w:val="00AD42CB"/>
    <w:rsid w:val="00AE0E7A"/>
    <w:rsid w:val="00AE58C7"/>
    <w:rsid w:val="00AE5912"/>
    <w:rsid w:val="00AE6ADF"/>
    <w:rsid w:val="00AF3BF5"/>
    <w:rsid w:val="00B021F3"/>
    <w:rsid w:val="00B12BA8"/>
    <w:rsid w:val="00B17DA7"/>
    <w:rsid w:val="00B23469"/>
    <w:rsid w:val="00B32C93"/>
    <w:rsid w:val="00B376AE"/>
    <w:rsid w:val="00B46592"/>
    <w:rsid w:val="00B749A8"/>
    <w:rsid w:val="00B80328"/>
    <w:rsid w:val="00B8061E"/>
    <w:rsid w:val="00B91E14"/>
    <w:rsid w:val="00B91FCC"/>
    <w:rsid w:val="00BA340C"/>
    <w:rsid w:val="00BC63D2"/>
    <w:rsid w:val="00BD373E"/>
    <w:rsid w:val="00BE569F"/>
    <w:rsid w:val="00BE714E"/>
    <w:rsid w:val="00C001A9"/>
    <w:rsid w:val="00C120DF"/>
    <w:rsid w:val="00C25222"/>
    <w:rsid w:val="00C41CA7"/>
    <w:rsid w:val="00C64960"/>
    <w:rsid w:val="00C6781F"/>
    <w:rsid w:val="00C90839"/>
    <w:rsid w:val="00CB05DC"/>
    <w:rsid w:val="00CB69C5"/>
    <w:rsid w:val="00CD2995"/>
    <w:rsid w:val="00CD6934"/>
    <w:rsid w:val="00D15DEC"/>
    <w:rsid w:val="00D25ED1"/>
    <w:rsid w:val="00D27B00"/>
    <w:rsid w:val="00D27B7F"/>
    <w:rsid w:val="00D34176"/>
    <w:rsid w:val="00D559FE"/>
    <w:rsid w:val="00D706E2"/>
    <w:rsid w:val="00D72696"/>
    <w:rsid w:val="00D87F80"/>
    <w:rsid w:val="00D90C79"/>
    <w:rsid w:val="00D930DA"/>
    <w:rsid w:val="00D94362"/>
    <w:rsid w:val="00DB06C6"/>
    <w:rsid w:val="00DB7ABF"/>
    <w:rsid w:val="00DC4A55"/>
    <w:rsid w:val="00DE6792"/>
    <w:rsid w:val="00DF2BB5"/>
    <w:rsid w:val="00DF3300"/>
    <w:rsid w:val="00DF4649"/>
    <w:rsid w:val="00DF54BF"/>
    <w:rsid w:val="00E01020"/>
    <w:rsid w:val="00E05418"/>
    <w:rsid w:val="00E10DBA"/>
    <w:rsid w:val="00E41828"/>
    <w:rsid w:val="00E477E8"/>
    <w:rsid w:val="00E8372D"/>
    <w:rsid w:val="00E8448E"/>
    <w:rsid w:val="00EA14C0"/>
    <w:rsid w:val="00EB1BCA"/>
    <w:rsid w:val="00ED04A5"/>
    <w:rsid w:val="00ED4192"/>
    <w:rsid w:val="00EE2BC2"/>
    <w:rsid w:val="00EE40B0"/>
    <w:rsid w:val="00EE40CC"/>
    <w:rsid w:val="00EE4124"/>
    <w:rsid w:val="00EE41CE"/>
    <w:rsid w:val="00EE4847"/>
    <w:rsid w:val="00EE4D4F"/>
    <w:rsid w:val="00EE71D3"/>
    <w:rsid w:val="00EF0DD2"/>
    <w:rsid w:val="00EF190C"/>
    <w:rsid w:val="00EF5678"/>
    <w:rsid w:val="00F10D47"/>
    <w:rsid w:val="00F12E64"/>
    <w:rsid w:val="00F174E8"/>
    <w:rsid w:val="00F27BF6"/>
    <w:rsid w:val="00F3179C"/>
    <w:rsid w:val="00F33F76"/>
    <w:rsid w:val="00F40359"/>
    <w:rsid w:val="00F4386D"/>
    <w:rsid w:val="00F73E2A"/>
    <w:rsid w:val="00F94293"/>
    <w:rsid w:val="00FA20F3"/>
    <w:rsid w:val="00FA5905"/>
    <w:rsid w:val="00FA6BAA"/>
    <w:rsid w:val="00FD73AD"/>
    <w:rsid w:val="00FE5750"/>
    <w:rsid w:val="00FF2B36"/>
    <w:rsid w:val="0833B26D"/>
    <w:rsid w:val="1D527AE9"/>
    <w:rsid w:val="239D1535"/>
    <w:rsid w:val="282044C2"/>
    <w:rsid w:val="2A000FF3"/>
    <w:rsid w:val="3012F218"/>
    <w:rsid w:val="3EEB3877"/>
    <w:rsid w:val="412D0BFA"/>
    <w:rsid w:val="52CB755F"/>
    <w:rsid w:val="5460F0E9"/>
    <w:rsid w:val="58A62DC0"/>
    <w:rsid w:val="5920F00D"/>
    <w:rsid w:val="70BE47F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D4FACB"/>
  <w15:docId w15:val="{A81E84D4-5DE9-4BEF-84AF-D4F540A1E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E2BC2"/>
    <w:rPr>
      <w:sz w:val="24"/>
    </w:rPr>
  </w:style>
  <w:style w:type="paragraph" w:styleId="Heading1">
    <w:name w:val="heading 1"/>
    <w:basedOn w:val="Normal"/>
    <w:next w:val="Normal"/>
    <w:qFormat/>
    <w:rsid w:val="00EE2BC2"/>
    <w:pPr>
      <w:keepNext/>
      <w:spacing w:line="360" w:lineRule="auto"/>
      <w:jc w:val="center"/>
      <w:outlineLvl w:val="0"/>
    </w:pPr>
    <w:rPr>
      <w:rFonts w:ascii="Arial" w:hAnsi="Arial"/>
      <w:b/>
    </w:rPr>
  </w:style>
  <w:style w:type="paragraph" w:styleId="Heading2">
    <w:name w:val="heading 2"/>
    <w:basedOn w:val="Normal"/>
    <w:next w:val="Normal"/>
    <w:qFormat/>
    <w:rsid w:val="00EE2BC2"/>
    <w:pPr>
      <w:keepNext/>
      <w:outlineLvl w:val="1"/>
    </w:pPr>
    <w:rPr>
      <w:rFonts w:ascii="Arial" w:hAnsi="Arial"/>
      <w:b/>
    </w:rPr>
  </w:style>
  <w:style w:type="paragraph" w:styleId="Heading3">
    <w:name w:val="heading 3"/>
    <w:basedOn w:val="Normal"/>
    <w:next w:val="Normal"/>
    <w:qFormat/>
    <w:rsid w:val="00EE2BC2"/>
    <w:pPr>
      <w:keepNext/>
      <w:spacing w:line="480" w:lineRule="auto"/>
      <w:ind w:left="360"/>
      <w:outlineLvl w:val="2"/>
    </w:pPr>
    <w:rPr>
      <w:b/>
    </w:rPr>
  </w:style>
  <w:style w:type="paragraph" w:styleId="Heading4">
    <w:name w:val="heading 4"/>
    <w:basedOn w:val="Normal"/>
    <w:next w:val="Normal"/>
    <w:qFormat/>
    <w:rsid w:val="00EE2BC2"/>
    <w:pPr>
      <w:keepNext/>
      <w:ind w:left="360"/>
      <w:jc w:val="both"/>
      <w:outlineLvl w:val="3"/>
    </w:pPr>
    <w:rPr>
      <w:b/>
      <w:color w:val="000000"/>
      <w:szCs w:val="24"/>
    </w:rPr>
  </w:style>
  <w:style w:type="paragraph" w:styleId="Heading5">
    <w:name w:val="heading 5"/>
    <w:basedOn w:val="Normal"/>
    <w:next w:val="Normal"/>
    <w:qFormat/>
    <w:rsid w:val="00EE2BC2"/>
    <w:pPr>
      <w:keepNext/>
      <w:ind w:left="360"/>
      <w:jc w:val="both"/>
      <w:outlineLvl w:val="4"/>
    </w:pPr>
    <w:rPr>
      <w:b/>
      <w:bCs/>
    </w:rPr>
  </w:style>
  <w:style w:type="paragraph" w:styleId="Heading6">
    <w:name w:val="heading 6"/>
    <w:basedOn w:val="Normal"/>
    <w:next w:val="Normal"/>
    <w:qFormat/>
    <w:rsid w:val="00EE2BC2"/>
    <w:pPr>
      <w:keepNext/>
      <w:jc w:val="center"/>
      <w:outlineLvl w:val="5"/>
    </w:pPr>
    <w:rPr>
      <w:b/>
      <w:bCs/>
      <w:sz w:val="28"/>
      <w:szCs w:val="28"/>
    </w:rPr>
  </w:style>
  <w:style w:type="paragraph" w:styleId="Heading7">
    <w:name w:val="heading 7"/>
    <w:basedOn w:val="Normal"/>
    <w:next w:val="Normal"/>
    <w:qFormat/>
    <w:rsid w:val="00EE2BC2"/>
    <w:pPr>
      <w:keepNext/>
      <w:jc w:val="both"/>
      <w:outlineLvl w:val="6"/>
    </w:pPr>
    <w:rPr>
      <w:sz w:val="28"/>
      <w:szCs w:val="28"/>
    </w:rPr>
  </w:style>
  <w:style w:type="paragraph" w:styleId="Heading8">
    <w:name w:val="heading 8"/>
    <w:basedOn w:val="Normal"/>
    <w:next w:val="Normal"/>
    <w:qFormat/>
    <w:rsid w:val="00EE2BC2"/>
    <w:pPr>
      <w:keepNext/>
      <w:spacing w:line="480" w:lineRule="auto"/>
      <w:ind w:left="360"/>
      <w:jc w:val="both"/>
      <w:outlineLvl w:val="7"/>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EE2BC2"/>
    <w:pPr>
      <w:tabs>
        <w:tab w:val="center" w:pos="4320"/>
        <w:tab w:val="right" w:pos="8640"/>
      </w:tabs>
    </w:pPr>
  </w:style>
  <w:style w:type="character" w:styleId="PageNumber">
    <w:name w:val="page number"/>
    <w:basedOn w:val="DefaultParagraphFont"/>
    <w:rsid w:val="00EE2BC2"/>
  </w:style>
  <w:style w:type="paragraph" w:styleId="FootnoteText">
    <w:name w:val="footnote text"/>
    <w:basedOn w:val="Normal"/>
    <w:link w:val="FootnoteTextChar"/>
    <w:uiPriority w:val="99"/>
    <w:semiHidden/>
    <w:rsid w:val="00EE2BC2"/>
    <w:rPr>
      <w:sz w:val="20"/>
    </w:rPr>
  </w:style>
  <w:style w:type="character" w:styleId="FootnoteReference">
    <w:name w:val="footnote reference"/>
    <w:basedOn w:val="DefaultParagraphFont"/>
    <w:uiPriority w:val="99"/>
    <w:semiHidden/>
    <w:rsid w:val="00EE2BC2"/>
    <w:rPr>
      <w:vertAlign w:val="superscript"/>
    </w:rPr>
  </w:style>
  <w:style w:type="paragraph" w:styleId="Header">
    <w:name w:val="header"/>
    <w:basedOn w:val="Normal"/>
    <w:rsid w:val="00EE2BC2"/>
    <w:pPr>
      <w:tabs>
        <w:tab w:val="center" w:pos="4320"/>
        <w:tab w:val="right" w:pos="8640"/>
      </w:tabs>
    </w:pPr>
  </w:style>
  <w:style w:type="paragraph" w:styleId="BodyText">
    <w:name w:val="Body Text"/>
    <w:basedOn w:val="Normal"/>
    <w:rsid w:val="00EE2BC2"/>
    <w:rPr>
      <w:sz w:val="28"/>
    </w:rPr>
  </w:style>
  <w:style w:type="paragraph" w:styleId="BodyTextIndent">
    <w:name w:val="Body Text Indent"/>
    <w:basedOn w:val="Normal"/>
    <w:rsid w:val="00EE2BC2"/>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1" w:lineRule="atLeast"/>
      <w:ind w:left="1440"/>
      <w:jc w:val="both"/>
    </w:pPr>
    <w:rPr>
      <w:bCs/>
    </w:rPr>
  </w:style>
  <w:style w:type="paragraph" w:customStyle="1" w:styleId="a">
    <w:name w:val="_"/>
    <w:rsid w:val="00EE2BC2"/>
    <w:pPr>
      <w:ind w:left="720"/>
    </w:pPr>
    <w:rPr>
      <w:snapToGrid w:val="0"/>
      <w:sz w:val="24"/>
    </w:rPr>
  </w:style>
  <w:style w:type="paragraph" w:styleId="BodyTextIndent2">
    <w:name w:val="Body Text Indent 2"/>
    <w:basedOn w:val="Normal"/>
    <w:rsid w:val="00EE2BC2"/>
    <w:pPr>
      <w:ind w:left="1800"/>
      <w:jc w:val="both"/>
    </w:pPr>
  </w:style>
  <w:style w:type="paragraph" w:styleId="BodyTextIndent3">
    <w:name w:val="Body Text Indent 3"/>
    <w:basedOn w:val="Normal"/>
    <w:rsid w:val="00EE2BC2"/>
    <w:pPr>
      <w:spacing w:line="480" w:lineRule="auto"/>
      <w:ind w:left="360"/>
    </w:pPr>
    <w:rPr>
      <w:bCs/>
    </w:rPr>
  </w:style>
  <w:style w:type="character" w:styleId="Hyperlink">
    <w:name w:val="Hyperlink"/>
    <w:basedOn w:val="DefaultParagraphFont"/>
    <w:rsid w:val="00EE2BC2"/>
    <w:rPr>
      <w:color w:val="0000FF"/>
      <w:u w:val="single"/>
    </w:rPr>
  </w:style>
  <w:style w:type="character" w:styleId="FollowedHyperlink">
    <w:name w:val="FollowedHyperlink"/>
    <w:basedOn w:val="DefaultParagraphFont"/>
    <w:rsid w:val="00EE2BC2"/>
    <w:rPr>
      <w:color w:val="800080"/>
      <w:u w:val="single"/>
    </w:rPr>
  </w:style>
  <w:style w:type="paragraph" w:styleId="NormalWeb">
    <w:name w:val="Normal (Web)"/>
    <w:basedOn w:val="Normal"/>
    <w:uiPriority w:val="99"/>
    <w:semiHidden/>
    <w:unhideWhenUsed/>
    <w:rsid w:val="00D27B00"/>
    <w:pPr>
      <w:spacing w:before="100" w:beforeAutospacing="1" w:after="100" w:afterAutospacing="1"/>
    </w:pPr>
    <w:rPr>
      <w:szCs w:val="24"/>
    </w:rPr>
  </w:style>
  <w:style w:type="character" w:styleId="CommentReference">
    <w:name w:val="annotation reference"/>
    <w:basedOn w:val="DefaultParagraphFont"/>
    <w:uiPriority w:val="99"/>
    <w:semiHidden/>
    <w:unhideWhenUsed/>
    <w:rsid w:val="0031002A"/>
    <w:rPr>
      <w:sz w:val="16"/>
      <w:szCs w:val="16"/>
    </w:rPr>
  </w:style>
  <w:style w:type="paragraph" w:styleId="CommentText">
    <w:name w:val="annotation text"/>
    <w:basedOn w:val="Normal"/>
    <w:link w:val="CommentTextChar"/>
    <w:uiPriority w:val="99"/>
    <w:semiHidden/>
    <w:unhideWhenUsed/>
    <w:rsid w:val="0031002A"/>
    <w:rPr>
      <w:sz w:val="20"/>
    </w:rPr>
  </w:style>
  <w:style w:type="character" w:customStyle="1" w:styleId="CommentTextChar">
    <w:name w:val="Comment Text Char"/>
    <w:basedOn w:val="DefaultParagraphFont"/>
    <w:link w:val="CommentText"/>
    <w:uiPriority w:val="99"/>
    <w:semiHidden/>
    <w:rsid w:val="0031002A"/>
  </w:style>
  <w:style w:type="paragraph" w:styleId="CommentSubject">
    <w:name w:val="annotation subject"/>
    <w:basedOn w:val="CommentText"/>
    <w:next w:val="CommentText"/>
    <w:link w:val="CommentSubjectChar"/>
    <w:uiPriority w:val="99"/>
    <w:semiHidden/>
    <w:unhideWhenUsed/>
    <w:rsid w:val="0031002A"/>
    <w:rPr>
      <w:b/>
      <w:bCs/>
    </w:rPr>
  </w:style>
  <w:style w:type="character" w:customStyle="1" w:styleId="CommentSubjectChar">
    <w:name w:val="Comment Subject Char"/>
    <w:basedOn w:val="CommentTextChar"/>
    <w:link w:val="CommentSubject"/>
    <w:uiPriority w:val="99"/>
    <w:semiHidden/>
    <w:rsid w:val="0031002A"/>
    <w:rPr>
      <w:b/>
      <w:bCs/>
    </w:rPr>
  </w:style>
  <w:style w:type="paragraph" w:styleId="BalloonText">
    <w:name w:val="Balloon Text"/>
    <w:basedOn w:val="Normal"/>
    <w:link w:val="BalloonTextChar"/>
    <w:uiPriority w:val="99"/>
    <w:semiHidden/>
    <w:unhideWhenUsed/>
    <w:rsid w:val="0031002A"/>
    <w:rPr>
      <w:rFonts w:ascii="Tahoma" w:hAnsi="Tahoma" w:cs="Tahoma"/>
      <w:sz w:val="16"/>
      <w:szCs w:val="16"/>
    </w:rPr>
  </w:style>
  <w:style w:type="character" w:customStyle="1" w:styleId="BalloonTextChar">
    <w:name w:val="Balloon Text Char"/>
    <w:basedOn w:val="DefaultParagraphFont"/>
    <w:link w:val="BalloonText"/>
    <w:uiPriority w:val="99"/>
    <w:semiHidden/>
    <w:rsid w:val="0031002A"/>
    <w:rPr>
      <w:rFonts w:ascii="Tahoma" w:hAnsi="Tahoma" w:cs="Tahoma"/>
      <w:sz w:val="16"/>
      <w:szCs w:val="16"/>
    </w:rPr>
  </w:style>
  <w:style w:type="paragraph" w:styleId="Revision">
    <w:name w:val="Revision"/>
    <w:hidden/>
    <w:uiPriority w:val="99"/>
    <w:semiHidden/>
    <w:rsid w:val="00A4013E"/>
    <w:rPr>
      <w:sz w:val="24"/>
    </w:rPr>
  </w:style>
  <w:style w:type="character" w:styleId="Emphasis">
    <w:name w:val="Emphasis"/>
    <w:basedOn w:val="DefaultParagraphFont"/>
    <w:uiPriority w:val="20"/>
    <w:qFormat/>
    <w:rsid w:val="00E10DBA"/>
    <w:rPr>
      <w:i/>
      <w:iCs/>
    </w:rPr>
  </w:style>
  <w:style w:type="character" w:customStyle="1" w:styleId="FootnoteTextChar">
    <w:name w:val="Footnote Text Char"/>
    <w:basedOn w:val="DefaultParagraphFont"/>
    <w:link w:val="FootnoteText"/>
    <w:uiPriority w:val="99"/>
    <w:semiHidden/>
    <w:rsid w:val="0091039C"/>
  </w:style>
  <w:style w:type="paragraph" w:styleId="ListParagraph">
    <w:name w:val="List Paragraph"/>
    <w:basedOn w:val="Normal"/>
    <w:uiPriority w:val="34"/>
    <w:qFormat/>
    <w:rsid w:val="00C120DF"/>
    <w:pPr>
      <w:ind w:left="720"/>
    </w:pPr>
  </w:style>
  <w:style w:type="paragraph" w:customStyle="1" w:styleId="Default">
    <w:name w:val="Default"/>
    <w:rsid w:val="0030422B"/>
    <w:pPr>
      <w:autoSpaceDE w:val="0"/>
      <w:autoSpaceDN w:val="0"/>
      <w:adjustRightInd w:val="0"/>
    </w:pPr>
    <w:rPr>
      <w:color w:val="000000"/>
      <w:sz w:val="24"/>
      <w:szCs w:val="24"/>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3592921">
      <w:bodyDiv w:val="1"/>
      <w:marLeft w:val="0"/>
      <w:marRight w:val="0"/>
      <w:marTop w:val="0"/>
      <w:marBottom w:val="0"/>
      <w:divBdr>
        <w:top w:val="none" w:sz="0" w:space="0" w:color="auto"/>
        <w:left w:val="none" w:sz="0" w:space="0" w:color="auto"/>
        <w:bottom w:val="none" w:sz="0" w:space="0" w:color="auto"/>
        <w:right w:val="none" w:sz="0" w:space="0" w:color="auto"/>
      </w:divBdr>
    </w:div>
    <w:div w:id="1183008266">
      <w:bodyDiv w:val="1"/>
      <w:marLeft w:val="0"/>
      <w:marRight w:val="0"/>
      <w:marTop w:val="0"/>
      <w:marBottom w:val="0"/>
      <w:divBdr>
        <w:top w:val="none" w:sz="0" w:space="0" w:color="auto"/>
        <w:left w:val="none" w:sz="0" w:space="0" w:color="auto"/>
        <w:bottom w:val="none" w:sz="0" w:space="0" w:color="auto"/>
        <w:right w:val="none" w:sz="0" w:space="0" w:color="auto"/>
      </w:divBdr>
    </w:div>
    <w:div w:id="2014185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60FCC507-4430-4010-B51C-E6F40F62F9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407</TotalTime>
  <Pages>6</Pages>
  <Words>1081</Words>
  <Characters>6165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Petition to Add a Local Rule for Northwest Judicial District</vt:lpstr>
    </vt:vector>
  </TitlesOfParts>
  <Company>Maricopa County</Company>
  <LinksUpToDate>false</LinksUpToDate>
  <CharactersWithSpaces>7232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Petition to Add a Local Rule for Northwest Judicial District</dc:title>
  <dc:creator>Superior Court</dc:creator>
  <cp:lastModifiedBy>Schaffert, Judy</cp:lastModifiedBy>
  <cp:revision>8</cp:revision>
  <cp:lastPrinted>2018-01-24T19:19:00Z</cp:lastPrinted>
  <dcterms:created xsi:type="dcterms:W3CDTF">2018-01-12T23:19:00Z</dcterms:created>
  <dcterms:modified xsi:type="dcterms:W3CDTF">2018-01-24T19:20:00Z</dcterms:modified>
</cp:coreProperties>
</file>