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F8405E" w:rsidRDefault="00E67511" w:rsidP="00F8405E">
            <w:pPr>
              <w:pStyle w:val="Caption"/>
              <w:spacing w:before="240" w:line="260" w:lineRule="exact"/>
              <w:rPr>
                <w:b/>
                <w:sz w:val="28"/>
                <w:szCs w:val="28"/>
              </w:rPr>
            </w:pPr>
            <w:r w:rsidRPr="00732169">
              <w:rPr>
                <w:b/>
                <w:sz w:val="28"/>
                <w:szCs w:val="28"/>
              </w:rPr>
              <w:t xml:space="preserve">PETITION TO </w:t>
            </w:r>
            <w:r w:rsidR="00F8405E">
              <w:rPr>
                <w:b/>
                <w:sz w:val="28"/>
                <w:szCs w:val="28"/>
              </w:rPr>
              <w:t>AMEND RULE 7 OF THE ARIZONA RULES OF CIVIL APPELLATE PROCEDURE AND RULES 62 AND 69 OF THE ARIZONA RULES OF CIVIL PROCEDURE</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p>
          <w:p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AA59C3" w:rsidRPr="00866171" w:rsidRDefault="00AA59C3" w:rsidP="00AA59C3">
      <w:pPr>
        <w:pStyle w:val="BodyText"/>
        <w:spacing w:before="40" w:line="480" w:lineRule="auto"/>
        <w:jc w:val="both"/>
        <w:rPr>
          <w:sz w:val="28"/>
          <w:szCs w:val="28"/>
        </w:rPr>
      </w:pPr>
      <w:r>
        <w:rPr>
          <w:sz w:val="28"/>
          <w:szCs w:val="28"/>
        </w:rPr>
        <w:tab/>
      </w:r>
      <w:r w:rsidRPr="00866171">
        <w:rPr>
          <w:sz w:val="28"/>
          <w:szCs w:val="28"/>
        </w:rPr>
        <w:t xml:space="preserve">Pursuant to Rule 28 of the Rules of the Arizona Supreme Court, the State Bar of Arizona (“State Bar”) petitions the Court to amend Rule 7 of the Arizona Rules of Civil Appellate Procedure (“ARCAP”) and Rules 62 and 69 of the Arizona Rules of Civil Procedure (“Ariz. R. Civ. P.”). The proposed amendments relate to the procedures for </w:t>
      </w:r>
      <w:proofErr w:type="spellStart"/>
      <w:r w:rsidRPr="00866171">
        <w:rPr>
          <w:sz w:val="28"/>
          <w:szCs w:val="28"/>
        </w:rPr>
        <w:t>supersedeas</w:t>
      </w:r>
      <w:proofErr w:type="spellEnd"/>
      <w:r w:rsidRPr="00866171">
        <w:rPr>
          <w:sz w:val="28"/>
          <w:szCs w:val="28"/>
        </w:rPr>
        <w:t xml:space="preserve"> bonds, stays on appeal, and post-judgment discovery, and modify the rules in several respects: </w:t>
      </w:r>
    </w:p>
    <w:p w:rsidR="00AA59C3" w:rsidRPr="00866171" w:rsidRDefault="00AA59C3" w:rsidP="00AA59C3">
      <w:pPr>
        <w:pStyle w:val="BodyText"/>
        <w:spacing w:before="40" w:line="480" w:lineRule="auto"/>
        <w:jc w:val="both"/>
        <w:rPr>
          <w:sz w:val="28"/>
          <w:szCs w:val="28"/>
        </w:rPr>
      </w:pPr>
      <w:r>
        <w:rPr>
          <w:sz w:val="28"/>
          <w:szCs w:val="28"/>
        </w:rPr>
        <w:tab/>
      </w:r>
      <w:r w:rsidRPr="00866171">
        <w:rPr>
          <w:sz w:val="28"/>
          <w:szCs w:val="28"/>
        </w:rPr>
        <w:t>(1)</w:t>
      </w:r>
      <w:r w:rsidRPr="00866171">
        <w:rPr>
          <w:sz w:val="28"/>
          <w:szCs w:val="28"/>
        </w:rPr>
        <w:tab/>
        <w:t xml:space="preserve">Proposed amendments to ARCAP 7 address gaps and ambiguities in Arizona’s appeal bond framework, including issues arising from the 2011 amendments to ARCAP 7 and the underlying appeal bond statute, A.R.S. Section 12-2108; </w:t>
      </w:r>
    </w:p>
    <w:p w:rsidR="00AA59C3" w:rsidRPr="00866171" w:rsidRDefault="00AA59C3" w:rsidP="00AA59C3">
      <w:pPr>
        <w:pStyle w:val="BodyText"/>
        <w:spacing w:before="40" w:line="480" w:lineRule="auto"/>
        <w:jc w:val="both"/>
        <w:rPr>
          <w:sz w:val="28"/>
          <w:szCs w:val="28"/>
        </w:rPr>
      </w:pPr>
      <w:r>
        <w:rPr>
          <w:sz w:val="28"/>
          <w:szCs w:val="28"/>
        </w:rPr>
        <w:lastRenderedPageBreak/>
        <w:tab/>
      </w:r>
      <w:r w:rsidRPr="00866171">
        <w:rPr>
          <w:sz w:val="28"/>
          <w:szCs w:val="28"/>
        </w:rPr>
        <w:t>(2)</w:t>
      </w:r>
      <w:r w:rsidRPr="00866171">
        <w:rPr>
          <w:sz w:val="28"/>
          <w:szCs w:val="28"/>
        </w:rPr>
        <w:tab/>
        <w:t>Proposed amendments to ARCAP 7 and Ariz. R. Civ. P. 62 and 69 incorporate, on a selective basis, aspects of the corresponding Federal Rules of Civil and Appellate procedure, along with aspects of pending amendments to the federal rules; and</w:t>
      </w:r>
    </w:p>
    <w:p w:rsidR="00AA59C3" w:rsidRPr="00866171" w:rsidRDefault="00AA59C3" w:rsidP="00AA59C3">
      <w:pPr>
        <w:pStyle w:val="BodyText"/>
        <w:spacing w:before="40" w:line="480" w:lineRule="auto"/>
        <w:jc w:val="both"/>
        <w:rPr>
          <w:sz w:val="28"/>
          <w:szCs w:val="28"/>
        </w:rPr>
      </w:pPr>
      <w:r>
        <w:rPr>
          <w:sz w:val="28"/>
          <w:szCs w:val="28"/>
        </w:rPr>
        <w:tab/>
      </w:r>
      <w:r w:rsidRPr="00866171">
        <w:rPr>
          <w:sz w:val="28"/>
          <w:szCs w:val="28"/>
        </w:rPr>
        <w:t xml:space="preserve">(3) Proposed amendments to Ariz. R. Civ. P. 69 address ambiguities in the current rule regarding whether a judgment creditor is entitled to pursue post-judgment discovery where enforcement of the judgment is stayed on appeal, but the appeal bond does not cover the full amount of the judgment. </w:t>
      </w:r>
    </w:p>
    <w:p w:rsidR="00AA59C3" w:rsidRPr="00866171" w:rsidRDefault="00AA59C3" w:rsidP="00231818">
      <w:pPr>
        <w:pStyle w:val="BodyText"/>
        <w:spacing w:before="40" w:line="480" w:lineRule="auto"/>
        <w:jc w:val="both"/>
        <w:rPr>
          <w:sz w:val="28"/>
          <w:szCs w:val="28"/>
        </w:rPr>
      </w:pPr>
      <w:r>
        <w:rPr>
          <w:sz w:val="28"/>
          <w:szCs w:val="28"/>
          <w:lang w:eastAsia="zh-CN"/>
        </w:rPr>
        <w:tab/>
      </w:r>
      <w:r w:rsidRPr="00866171">
        <w:rPr>
          <w:sz w:val="28"/>
          <w:szCs w:val="28"/>
          <w:lang w:eastAsia="zh-CN"/>
        </w:rPr>
        <w:t>The attached Appendix A contains a blackline showing all of the proposed changes. A clean version of the proposed changes is at Appendix B.</w:t>
      </w:r>
    </w:p>
    <w:p w:rsidR="00AA59C3" w:rsidRPr="00AA59C3" w:rsidRDefault="00AA59C3" w:rsidP="00231818">
      <w:pPr>
        <w:pStyle w:val="PleadingPhL2"/>
        <w:spacing w:before="480" w:line="480" w:lineRule="auto"/>
        <w:rPr>
          <w:szCs w:val="28"/>
        </w:rPr>
      </w:pPr>
      <w:r w:rsidRPr="00866171">
        <w:rPr>
          <w:szCs w:val="28"/>
        </w:rPr>
        <w:t>introduction AND BACKGROUND</w:t>
      </w:r>
    </w:p>
    <w:p w:rsidR="00AA59C3" w:rsidRPr="00866171" w:rsidRDefault="00AA59C3" w:rsidP="00231818">
      <w:pPr>
        <w:pStyle w:val="BodyText"/>
        <w:spacing w:line="480" w:lineRule="auto"/>
        <w:jc w:val="both"/>
        <w:rPr>
          <w:sz w:val="28"/>
          <w:szCs w:val="28"/>
        </w:rPr>
      </w:pPr>
      <w:r>
        <w:rPr>
          <w:sz w:val="28"/>
          <w:szCs w:val="28"/>
        </w:rPr>
        <w:tab/>
      </w:r>
      <w:r w:rsidRPr="00866171">
        <w:rPr>
          <w:sz w:val="28"/>
          <w:szCs w:val="28"/>
        </w:rPr>
        <w:t xml:space="preserve">In 2011, Arizona’s Chamber of Commerce and Industry proposed legislation (Senate Bill 1212) to adopt appeal bond limits, modeled on national appeal bond reform legislation. The result was A.R.S. § 12-2108 (“Section 12-2108”) and corresponding amendments to ARCAP 7(a)’s provisions for setting the amount of bonds on appeal. Both ARCAP 7(a) and Section 12-2108 limit a </w:t>
      </w:r>
      <w:proofErr w:type="spellStart"/>
      <w:r w:rsidRPr="00866171">
        <w:rPr>
          <w:sz w:val="28"/>
          <w:szCs w:val="28"/>
        </w:rPr>
        <w:t>supersedeas</w:t>
      </w:r>
      <w:proofErr w:type="spellEnd"/>
      <w:r w:rsidRPr="00866171">
        <w:rPr>
          <w:sz w:val="28"/>
          <w:szCs w:val="28"/>
        </w:rPr>
        <w:t xml:space="preserve"> bond to the lesser of the “total amount of damages awarded, excluding punitive damages,” “fifty percent of the appellant’s net worth,” or “twenty-five million dollars.” </w:t>
      </w:r>
      <w:r w:rsidRPr="00866171">
        <w:rPr>
          <w:i/>
          <w:sz w:val="28"/>
          <w:szCs w:val="28"/>
        </w:rPr>
        <w:t xml:space="preserve">See </w:t>
      </w:r>
      <w:r w:rsidRPr="00866171">
        <w:rPr>
          <w:sz w:val="28"/>
          <w:szCs w:val="28"/>
        </w:rPr>
        <w:t>ARCAP 7(a</w:t>
      </w:r>
      <w:proofErr w:type="gramStart"/>
      <w:r w:rsidRPr="00866171">
        <w:rPr>
          <w:sz w:val="28"/>
          <w:szCs w:val="28"/>
        </w:rPr>
        <w:t>)(</w:t>
      </w:r>
      <w:proofErr w:type="gramEnd"/>
      <w:r w:rsidRPr="00866171">
        <w:rPr>
          <w:sz w:val="28"/>
          <w:szCs w:val="28"/>
        </w:rPr>
        <w:t xml:space="preserve">4). The stated purpose of the legislation was to address the difficulty </w:t>
      </w:r>
      <w:r w:rsidRPr="00866171">
        <w:rPr>
          <w:sz w:val="28"/>
          <w:szCs w:val="28"/>
        </w:rPr>
        <w:lastRenderedPageBreak/>
        <w:t>faced by businesses required to post appeal bonds in cases with “overly large damage awards,” including punitive damage awards. The “Findings and Purpose” of SB 1212 stated that:</w:t>
      </w: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(a)</w:t>
      </w:r>
      <w:r w:rsidRPr="00866171">
        <w:rPr>
          <w:sz w:val="28"/>
          <w:szCs w:val="28"/>
        </w:rPr>
        <w:tab/>
        <w:t>“</w:t>
      </w:r>
      <w:proofErr w:type="gramStart"/>
      <w:r w:rsidRPr="00866171">
        <w:rPr>
          <w:sz w:val="28"/>
          <w:szCs w:val="28"/>
        </w:rPr>
        <w:t>across</w:t>
      </w:r>
      <w:proofErr w:type="gramEnd"/>
      <w:r w:rsidRPr="00866171">
        <w:rPr>
          <w:sz w:val="28"/>
          <w:szCs w:val="28"/>
        </w:rPr>
        <w:t xml:space="preserve"> the nation and in Arizona, the size of damage awards in civil actions has escalated in recent years;”</w:t>
      </w: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(b)</w:t>
      </w:r>
      <w:r w:rsidRPr="00866171">
        <w:rPr>
          <w:sz w:val="28"/>
          <w:szCs w:val="28"/>
        </w:rPr>
        <w:tab/>
        <w:t>“the existence of an overly large appeal bond infringes on the due process rights of appellants,” because “defendants who are subject to overly large damage awards may simply be unable to post a bond to protect their assets,” and may be “forced into bankruptcy or compelled to settle their case;” and</w:t>
      </w: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(c)</w:t>
      </w:r>
      <w:r w:rsidRPr="00866171">
        <w:rPr>
          <w:sz w:val="28"/>
          <w:szCs w:val="28"/>
        </w:rPr>
        <w:tab/>
        <w:t>“[l]</w:t>
      </w:r>
      <w:proofErr w:type="spellStart"/>
      <w:r w:rsidRPr="00866171">
        <w:rPr>
          <w:sz w:val="28"/>
          <w:szCs w:val="28"/>
        </w:rPr>
        <w:t>imiting</w:t>
      </w:r>
      <w:proofErr w:type="spellEnd"/>
      <w:r w:rsidRPr="00866171">
        <w:rPr>
          <w:sz w:val="28"/>
          <w:szCs w:val="28"/>
        </w:rPr>
        <w:t xml:space="preserve"> the bond requirement to the lesser of the </w:t>
      </w:r>
      <w:r w:rsidRPr="00866171">
        <w:rPr>
          <w:i/>
          <w:sz w:val="28"/>
          <w:szCs w:val="28"/>
        </w:rPr>
        <w:t>value of the judgment</w:t>
      </w:r>
      <w:r w:rsidRPr="00866171">
        <w:rPr>
          <w:sz w:val="28"/>
          <w:szCs w:val="28"/>
        </w:rPr>
        <w:t>, fifty per cent of the appellant’s net worth or twenty-five million dollars regardless of the value of the judgment would ensure that defendants can fully exercise their fundamental right to appeal” (emphasis supplied).</w:t>
      </w: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 xml:space="preserve">After the statute was amended, the Administrative Office of the Courts filed Petition No. R-11-0019, proposing conforming amendments to ARCAP 7(a), which were adopted by the Arizona Supreme Court effective January 1, 2012. </w:t>
      </w: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 xml:space="preserve">In the several years since Section 12-2108 and ARCAP 7(a)’s conforming amendments took effect, Arizona courts and practitioners have identified gaps in the appeal bond scheme, as well as several areas of ambiguity. Among other things, </w:t>
      </w:r>
      <w:r w:rsidRPr="00866171">
        <w:rPr>
          <w:sz w:val="28"/>
          <w:szCs w:val="28"/>
        </w:rPr>
        <w:lastRenderedPageBreak/>
        <w:t xml:space="preserve">Section 12-2108 does not address––and it appears that the legislature did not expressly consider––bonding requirements for nonmonetary judgments or other judgments awarding injunctive or equitable relief. Nor does the legislature appear to have considered how limiting the bond to the “total amount of damages awarded” would affect bonds in cases in which significant costs and fees are included in the judgment, but are not necessarily part of compensatory “damages.” Indeed, comparing Section 12-2108 and ARCAP 7 to the legislature’s “Findings and Purpose” illustrates that the legislature may have used the phrases “total amount of </w:t>
      </w:r>
      <w:r w:rsidRPr="00866171">
        <w:rPr>
          <w:i/>
          <w:sz w:val="28"/>
          <w:szCs w:val="28"/>
        </w:rPr>
        <w:t>damages</w:t>
      </w:r>
      <w:r w:rsidRPr="00866171">
        <w:rPr>
          <w:sz w:val="28"/>
          <w:szCs w:val="28"/>
        </w:rPr>
        <w:t xml:space="preserve">” and “value of the </w:t>
      </w:r>
      <w:r w:rsidRPr="00866171">
        <w:rPr>
          <w:i/>
          <w:sz w:val="28"/>
          <w:szCs w:val="28"/>
        </w:rPr>
        <w:t>judgment</w:t>
      </w:r>
      <w:r w:rsidRPr="00866171">
        <w:rPr>
          <w:sz w:val="28"/>
          <w:szCs w:val="28"/>
        </w:rPr>
        <w:t xml:space="preserve">” interchangeably. Finally, confusion has arisen over application of the statutory bonding limits to family law judgments awarding monetary relief that is not considered compensatory damages. </w:t>
      </w: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 xml:space="preserve">These and other issues are illustrated by Arizona case law interpreting the current appeal bond framework: </w:t>
      </w:r>
    </w:p>
    <w:p w:rsidR="00AA59C3" w:rsidRPr="00866171" w:rsidRDefault="00AA59C3" w:rsidP="00AA59C3">
      <w:pPr>
        <w:pStyle w:val="BodyText"/>
        <w:spacing w:line="480" w:lineRule="auto"/>
        <w:jc w:val="both"/>
        <w:rPr>
          <w:sz w:val="28"/>
          <w:szCs w:val="28"/>
        </w:rPr>
      </w:pPr>
      <w:r>
        <w:rPr>
          <w:b/>
          <w:bCs/>
          <w:i/>
          <w:iCs/>
          <w:sz w:val="28"/>
          <w:szCs w:val="28"/>
        </w:rPr>
        <w:tab/>
      </w:r>
      <w:r w:rsidRPr="00866171">
        <w:rPr>
          <w:b/>
          <w:bCs/>
          <w:i/>
          <w:iCs/>
          <w:sz w:val="28"/>
          <w:szCs w:val="28"/>
        </w:rPr>
        <w:t xml:space="preserve">1. Fees and Cost Awards Excluded from Damages in Computing Bond Amount: </w:t>
      </w:r>
      <w:r w:rsidRPr="00866171">
        <w:rPr>
          <w:sz w:val="28"/>
          <w:szCs w:val="28"/>
        </w:rPr>
        <w:t>Despite the somewhat unclear legislative history, Arizona appellate courts have concluded that the “total amount of damages awarded” language in Section 12-2108 and ARCAP 7(a</w:t>
      </w:r>
      <w:proofErr w:type="gramStart"/>
      <w:r w:rsidRPr="00866171">
        <w:rPr>
          <w:sz w:val="28"/>
          <w:szCs w:val="28"/>
        </w:rPr>
        <w:t>)(</w:t>
      </w:r>
      <w:proofErr w:type="gramEnd"/>
      <w:r w:rsidRPr="00866171">
        <w:rPr>
          <w:sz w:val="28"/>
          <w:szCs w:val="28"/>
        </w:rPr>
        <w:t xml:space="preserve">4)(A) refers strictly to compensatory damages and does not include awards of costs or attorney’s fees. Thus, where a judgment included $1.00 in damages, an award of injunctive relief, and $2.3 million in attorney’s fees, the </w:t>
      </w:r>
      <w:r w:rsidRPr="00866171">
        <w:rPr>
          <w:sz w:val="28"/>
          <w:szCs w:val="28"/>
        </w:rPr>
        <w:lastRenderedPageBreak/>
        <w:t xml:space="preserve">amount of the </w:t>
      </w:r>
      <w:proofErr w:type="spellStart"/>
      <w:r w:rsidRPr="00866171">
        <w:rPr>
          <w:sz w:val="28"/>
          <w:szCs w:val="28"/>
        </w:rPr>
        <w:t>supersedeas</w:t>
      </w:r>
      <w:proofErr w:type="spellEnd"/>
      <w:r w:rsidRPr="00866171">
        <w:rPr>
          <w:sz w:val="28"/>
          <w:szCs w:val="28"/>
        </w:rPr>
        <w:t xml:space="preserve"> bond required to stay enforcement of the entire judgment on appeal was one dollar</w:t>
      </w:r>
      <w:r w:rsidRPr="00866171">
        <w:rPr>
          <w:bCs/>
          <w:sz w:val="28"/>
          <w:szCs w:val="28"/>
        </w:rPr>
        <w:t>.</w:t>
      </w:r>
      <w:r w:rsidRPr="00866171">
        <w:rPr>
          <w:i/>
          <w:iCs/>
          <w:sz w:val="28"/>
          <w:szCs w:val="28"/>
        </w:rPr>
        <w:t xml:space="preserve"> See City Center v. </w:t>
      </w:r>
      <w:proofErr w:type="spellStart"/>
      <w:r w:rsidRPr="00866171">
        <w:rPr>
          <w:i/>
          <w:iCs/>
          <w:sz w:val="28"/>
          <w:szCs w:val="28"/>
        </w:rPr>
        <w:t>Jantzen</w:t>
      </w:r>
      <w:proofErr w:type="spellEnd"/>
      <w:r w:rsidRPr="00866171">
        <w:rPr>
          <w:i/>
          <w:iCs/>
          <w:sz w:val="28"/>
          <w:szCs w:val="28"/>
        </w:rPr>
        <w:t xml:space="preserve">, </w:t>
      </w:r>
      <w:r w:rsidRPr="00866171">
        <w:rPr>
          <w:sz w:val="28"/>
          <w:szCs w:val="28"/>
        </w:rPr>
        <w:t>237 Ariz. 37, 344 P.3d 339 (App. 2015).</w:t>
      </w:r>
    </w:p>
    <w:p w:rsidR="00AA59C3" w:rsidRPr="00866171" w:rsidRDefault="00AA59C3" w:rsidP="00AA59C3">
      <w:pPr>
        <w:pStyle w:val="BodyText"/>
        <w:spacing w:line="480" w:lineRule="auto"/>
        <w:jc w:val="both"/>
        <w:rPr>
          <w:b/>
          <w:i/>
          <w:sz w:val="28"/>
          <w:szCs w:val="28"/>
        </w:rPr>
      </w:pPr>
      <w:r>
        <w:rPr>
          <w:b/>
          <w:bCs/>
          <w:i/>
          <w:iCs/>
          <w:sz w:val="28"/>
          <w:szCs w:val="28"/>
        </w:rPr>
        <w:tab/>
      </w:r>
      <w:r w:rsidRPr="00866171">
        <w:rPr>
          <w:b/>
          <w:bCs/>
          <w:i/>
          <w:iCs/>
          <w:sz w:val="28"/>
          <w:szCs w:val="28"/>
        </w:rPr>
        <w:t xml:space="preserve">2. Uncertainty Regarding Application of Appeal Bond Limits of ARCAP 7(a)(4) to Judgments for Injunctive/Equitable Relief: </w:t>
      </w:r>
      <w:r w:rsidRPr="00866171">
        <w:rPr>
          <w:bCs/>
          <w:iCs/>
          <w:sz w:val="28"/>
          <w:szCs w:val="28"/>
        </w:rPr>
        <w:t xml:space="preserve">Neither Section 12-2108 nor ARCAP 7 address how bonds should be set to protect an appellee on appeal of a judgment awarding equitable/injunctive relief. </w:t>
      </w:r>
      <w:r w:rsidRPr="00866171">
        <w:rPr>
          <w:sz w:val="28"/>
          <w:szCs w:val="28"/>
        </w:rPr>
        <w:t xml:space="preserve">In </w:t>
      </w:r>
      <w:r w:rsidRPr="00866171">
        <w:rPr>
          <w:i/>
          <w:iCs/>
          <w:sz w:val="28"/>
          <w:szCs w:val="28"/>
        </w:rPr>
        <w:t xml:space="preserve">Wells Fargo v. Rogers, </w:t>
      </w:r>
      <w:r w:rsidRPr="00866171">
        <w:rPr>
          <w:sz w:val="28"/>
          <w:szCs w:val="28"/>
        </w:rPr>
        <w:t>239 Ariz. 106, 366 P.3d 583 (App. 2016), the superior court entered a nonmonetary judgment declaring spendthrift trust provisions invalid, a declaratory judgment that Wells Fargo was entitled to receive all future trust distributions, and an injunction ordering that the trust beneficiary could not prevent trust distributions to Wells Fargo. The trust beneficiary appealed and sought a stay, arguing that no bond was required under the formula in ARCAP 7(a</w:t>
      </w:r>
      <w:proofErr w:type="gramStart"/>
      <w:r w:rsidRPr="00866171">
        <w:rPr>
          <w:sz w:val="28"/>
          <w:szCs w:val="28"/>
        </w:rPr>
        <w:t>)(</w:t>
      </w:r>
      <w:proofErr w:type="gramEnd"/>
      <w:r w:rsidRPr="00866171">
        <w:rPr>
          <w:sz w:val="28"/>
          <w:szCs w:val="28"/>
        </w:rPr>
        <w:t xml:space="preserve">4). The superior court agreed, applying </w:t>
      </w:r>
      <w:r w:rsidRPr="00866171">
        <w:rPr>
          <w:i/>
          <w:iCs/>
          <w:sz w:val="28"/>
          <w:szCs w:val="28"/>
        </w:rPr>
        <w:t xml:space="preserve">City Center </w:t>
      </w:r>
      <w:r w:rsidRPr="00866171">
        <w:rPr>
          <w:sz w:val="28"/>
          <w:szCs w:val="28"/>
        </w:rPr>
        <w:t>(discussed above) and staying the judgment without requiring a bond. The appellate court did not reach the issue of whether the appeal bond cap of ARCAP 7(a</w:t>
      </w:r>
      <w:proofErr w:type="gramStart"/>
      <w:r w:rsidRPr="00866171">
        <w:rPr>
          <w:sz w:val="28"/>
          <w:szCs w:val="28"/>
        </w:rPr>
        <w:t>)(</w:t>
      </w:r>
      <w:proofErr w:type="gramEnd"/>
      <w:r w:rsidRPr="00866171">
        <w:rPr>
          <w:sz w:val="28"/>
          <w:szCs w:val="28"/>
        </w:rPr>
        <w:t>4) applied to judgments awarding injunctive relief (which, if applicable, would dictate a bond of “zero”). Instead, it held that ARCAP 7(a</w:t>
      </w:r>
      <w:proofErr w:type="gramStart"/>
      <w:r w:rsidRPr="00866171">
        <w:rPr>
          <w:sz w:val="28"/>
          <w:szCs w:val="28"/>
        </w:rPr>
        <w:t>)(</w:t>
      </w:r>
      <w:proofErr w:type="gramEnd"/>
      <w:r w:rsidRPr="00866171">
        <w:rPr>
          <w:sz w:val="28"/>
          <w:szCs w:val="28"/>
        </w:rPr>
        <w:t xml:space="preserve">2) allows the court to issue </w:t>
      </w:r>
      <w:r w:rsidRPr="00866171">
        <w:rPr>
          <w:i/>
          <w:sz w:val="28"/>
          <w:szCs w:val="28"/>
        </w:rPr>
        <w:t xml:space="preserve">other </w:t>
      </w:r>
      <w:r w:rsidRPr="00866171">
        <w:rPr>
          <w:sz w:val="28"/>
          <w:szCs w:val="28"/>
        </w:rPr>
        <w:t xml:space="preserve">orders (apart from </w:t>
      </w:r>
      <w:proofErr w:type="spellStart"/>
      <w:r w:rsidRPr="00866171">
        <w:rPr>
          <w:sz w:val="28"/>
          <w:szCs w:val="28"/>
        </w:rPr>
        <w:t>supersedeas</w:t>
      </w:r>
      <w:proofErr w:type="spellEnd"/>
      <w:r w:rsidRPr="00866171">
        <w:rPr>
          <w:sz w:val="28"/>
          <w:szCs w:val="28"/>
        </w:rPr>
        <w:t xml:space="preserve"> bonds) to preserve the status quo or the effectiveness of its judgment. Accordingly, the case was remanded for consideration of whether </w:t>
      </w:r>
      <w:r w:rsidRPr="00866171">
        <w:rPr>
          <w:sz w:val="28"/>
          <w:szCs w:val="28"/>
        </w:rPr>
        <w:lastRenderedPageBreak/>
        <w:t xml:space="preserve">an escrow account or some “other arrangement” should be ordered to protect Wells Fargo’s interest in trust distributions while the appeal was pending. </w:t>
      </w:r>
    </w:p>
    <w:p w:rsidR="00AA59C3" w:rsidRPr="00866171" w:rsidRDefault="00AA59C3" w:rsidP="00AA59C3">
      <w:pPr>
        <w:pStyle w:val="BodyText"/>
        <w:spacing w:line="480" w:lineRule="auto"/>
        <w:jc w:val="both"/>
        <w:rPr>
          <w:sz w:val="28"/>
          <w:szCs w:val="28"/>
        </w:rPr>
      </w:pPr>
      <w:r>
        <w:rPr>
          <w:b/>
          <w:i/>
          <w:sz w:val="28"/>
          <w:szCs w:val="28"/>
        </w:rPr>
        <w:tab/>
      </w:r>
      <w:r w:rsidRPr="00866171">
        <w:rPr>
          <w:b/>
          <w:i/>
          <w:sz w:val="28"/>
          <w:szCs w:val="28"/>
        </w:rPr>
        <w:t xml:space="preserve">3. Uncertainty Regarding Application of Bonding Limits to Dissolution Cases. </w:t>
      </w:r>
      <w:r w:rsidRPr="00866171">
        <w:rPr>
          <w:sz w:val="28"/>
          <w:szCs w:val="28"/>
        </w:rPr>
        <w:t xml:space="preserve">Arizona case law also illustrates uncertainty regarding whether </w:t>
      </w:r>
      <w:r w:rsidRPr="00866171">
        <w:rPr>
          <w:sz w:val="28"/>
          <w:szCs w:val="28"/>
          <w:lang w:eastAsia="zh-CN"/>
        </w:rPr>
        <w:t>an award of money in a dissolution proceeding is subject to the bonding requirements of ARCAP 7(a</w:t>
      </w:r>
      <w:proofErr w:type="gramStart"/>
      <w:r w:rsidRPr="00866171">
        <w:rPr>
          <w:sz w:val="28"/>
          <w:szCs w:val="28"/>
          <w:lang w:eastAsia="zh-CN"/>
        </w:rPr>
        <w:t>)(</w:t>
      </w:r>
      <w:proofErr w:type="gramEnd"/>
      <w:r w:rsidRPr="00866171">
        <w:rPr>
          <w:sz w:val="28"/>
          <w:szCs w:val="28"/>
          <w:lang w:eastAsia="zh-CN"/>
        </w:rPr>
        <w:t xml:space="preserve">4). In </w:t>
      </w:r>
      <w:proofErr w:type="spellStart"/>
      <w:r w:rsidRPr="00866171">
        <w:rPr>
          <w:i/>
          <w:iCs/>
          <w:sz w:val="28"/>
          <w:szCs w:val="28"/>
          <w:lang w:eastAsia="zh-CN"/>
        </w:rPr>
        <w:t>Bobrow</w:t>
      </w:r>
      <w:proofErr w:type="spellEnd"/>
      <w:r w:rsidRPr="00866171">
        <w:rPr>
          <w:i/>
          <w:iCs/>
          <w:sz w:val="28"/>
          <w:szCs w:val="28"/>
          <w:lang w:eastAsia="zh-CN"/>
        </w:rPr>
        <w:t xml:space="preserve"> v. </w:t>
      </w:r>
      <w:proofErr w:type="spellStart"/>
      <w:r w:rsidRPr="00866171">
        <w:rPr>
          <w:i/>
          <w:iCs/>
          <w:sz w:val="28"/>
          <w:szCs w:val="28"/>
          <w:lang w:eastAsia="zh-CN"/>
        </w:rPr>
        <w:t>Herrod</w:t>
      </w:r>
      <w:proofErr w:type="spellEnd"/>
      <w:r w:rsidRPr="00866171">
        <w:rPr>
          <w:iCs/>
          <w:sz w:val="28"/>
          <w:szCs w:val="28"/>
          <w:lang w:eastAsia="zh-CN"/>
        </w:rPr>
        <w:t>,</w:t>
      </w:r>
      <w:r w:rsidRPr="00866171">
        <w:rPr>
          <w:i/>
          <w:iCs/>
          <w:sz w:val="28"/>
          <w:szCs w:val="28"/>
          <w:lang w:eastAsia="zh-CN"/>
        </w:rPr>
        <w:t xml:space="preserve"> </w:t>
      </w:r>
      <w:r w:rsidRPr="00866171">
        <w:rPr>
          <w:iCs/>
          <w:sz w:val="28"/>
          <w:szCs w:val="28"/>
          <w:lang w:eastAsia="zh-CN"/>
        </w:rPr>
        <w:t xml:space="preserve">239 Ariz. 180, </w:t>
      </w:r>
      <w:r w:rsidRPr="00866171">
        <w:rPr>
          <w:sz w:val="28"/>
          <w:szCs w:val="28"/>
          <w:lang w:eastAsia="zh-CN"/>
        </w:rPr>
        <w:t>367 P.3d 84 (App. 2016), the husband in a dissolution proceeding was ordered to pay the wife over one million dollars for her marital interest in a vacation home, along with additional sums for reimbursement of living expenses. The superior court applied ARCAP 7(a</w:t>
      </w:r>
      <w:proofErr w:type="gramStart"/>
      <w:r w:rsidRPr="00866171">
        <w:rPr>
          <w:sz w:val="28"/>
          <w:szCs w:val="28"/>
          <w:lang w:eastAsia="zh-CN"/>
        </w:rPr>
        <w:t>)(</w:t>
      </w:r>
      <w:proofErr w:type="gramEnd"/>
      <w:r w:rsidRPr="00866171">
        <w:rPr>
          <w:sz w:val="28"/>
          <w:szCs w:val="28"/>
          <w:lang w:eastAsia="zh-CN"/>
        </w:rPr>
        <w:t>4), requiring the husband to post a bond in the full amount of the monetary award. On appeal, the husband argued that the amounts awarded were not “damages” and hence, were not subject to ARCAP 7(a</w:t>
      </w:r>
      <w:proofErr w:type="gramStart"/>
      <w:r w:rsidRPr="00866171">
        <w:rPr>
          <w:sz w:val="28"/>
          <w:szCs w:val="28"/>
          <w:lang w:eastAsia="zh-CN"/>
        </w:rPr>
        <w:t>)(</w:t>
      </w:r>
      <w:proofErr w:type="gramEnd"/>
      <w:r w:rsidRPr="00866171">
        <w:rPr>
          <w:sz w:val="28"/>
          <w:szCs w:val="28"/>
          <w:lang w:eastAsia="zh-CN"/>
        </w:rPr>
        <w:t>4). In reviewing the issue, the appellate court noted that ARCAP 7(a</w:t>
      </w:r>
      <w:proofErr w:type="gramStart"/>
      <w:r w:rsidRPr="00866171">
        <w:rPr>
          <w:sz w:val="28"/>
          <w:szCs w:val="28"/>
          <w:lang w:eastAsia="zh-CN"/>
        </w:rPr>
        <w:t>)(</w:t>
      </w:r>
      <w:proofErr w:type="gramEnd"/>
      <w:r w:rsidRPr="00866171">
        <w:rPr>
          <w:sz w:val="28"/>
          <w:szCs w:val="28"/>
          <w:lang w:eastAsia="zh-CN"/>
        </w:rPr>
        <w:t>4) and the underlying statute (A.R.S. § 12-2108) require setting an appeal bond in the “total amount of damages awarded.” The court reasoned that although awards in dissolution proceedings are not typically referred to as “damages,” the legislative history</w:t>
      </w:r>
      <w:r w:rsidRPr="00866171">
        <w:rPr>
          <w:sz w:val="28"/>
          <w:szCs w:val="28"/>
          <w:vertAlign w:val="superscript"/>
          <w:lang w:eastAsia="zh-CN"/>
        </w:rPr>
        <w:footnoteReference w:id="1"/>
      </w:r>
      <w:r w:rsidRPr="00866171">
        <w:rPr>
          <w:sz w:val="28"/>
          <w:szCs w:val="28"/>
          <w:lang w:eastAsia="zh-CN"/>
        </w:rPr>
        <w:t xml:space="preserve"> and the “spirit and purpose” of ARCAP 7 </w:t>
      </w:r>
      <w:r w:rsidRPr="00866171">
        <w:rPr>
          <w:sz w:val="28"/>
          <w:szCs w:val="28"/>
          <w:lang w:eastAsia="zh-CN"/>
        </w:rPr>
        <w:lastRenderedPageBreak/>
        <w:t>and Section 12-2108 supported setting the bond in the full amount of the award under the decree.</w:t>
      </w:r>
    </w:p>
    <w:p w:rsidR="00AA59C3" w:rsidRPr="00866171" w:rsidRDefault="00AA59C3" w:rsidP="00AA59C3">
      <w:pPr>
        <w:pStyle w:val="BodyText"/>
        <w:spacing w:line="480" w:lineRule="auto"/>
        <w:jc w:val="both"/>
        <w:rPr>
          <w:b/>
          <w:bCs/>
          <w:i/>
          <w:iCs/>
          <w:sz w:val="28"/>
          <w:szCs w:val="28"/>
        </w:rPr>
      </w:pPr>
      <w:r w:rsidRPr="00866171">
        <w:rPr>
          <w:sz w:val="28"/>
          <w:szCs w:val="28"/>
        </w:rPr>
        <w:t xml:space="preserve">The proposed amendments address these gaps and ambiguities, as well as other issues in need of further clarification under ARCAP 7 and Ariz. R. Civ. P. 62 and 69. </w:t>
      </w:r>
    </w:p>
    <w:p w:rsidR="00AA59C3" w:rsidRDefault="00AA59C3" w:rsidP="00AA59C3">
      <w:pPr>
        <w:pStyle w:val="PleadingPhL2"/>
        <w:rPr>
          <w:szCs w:val="28"/>
        </w:rPr>
      </w:pPr>
      <w:r w:rsidRPr="00866171">
        <w:rPr>
          <w:szCs w:val="28"/>
        </w:rPr>
        <w:t xml:space="preserve">overview of proposed amendments </w:t>
      </w:r>
    </w:p>
    <w:p w:rsidR="00231818" w:rsidRPr="00231818" w:rsidRDefault="00231818" w:rsidP="00231818">
      <w:pPr>
        <w:pStyle w:val="BodyText"/>
        <w:rPr>
          <w:lang w:eastAsia="zh-CN"/>
        </w:rPr>
      </w:pPr>
    </w:p>
    <w:p w:rsidR="00AA59C3" w:rsidRPr="00866171" w:rsidRDefault="00AA59C3" w:rsidP="00AA59C3">
      <w:pPr>
        <w:pStyle w:val="BodyText"/>
        <w:spacing w:line="480" w:lineRule="auto"/>
        <w:jc w:val="both"/>
        <w:rPr>
          <w:sz w:val="28"/>
          <w:szCs w:val="28"/>
          <w:lang w:eastAsia="zh-CN"/>
        </w:rPr>
      </w:pPr>
      <w:r>
        <w:rPr>
          <w:sz w:val="28"/>
          <w:szCs w:val="28"/>
          <w:lang w:eastAsia="zh-CN"/>
        </w:rPr>
        <w:tab/>
      </w:r>
      <w:r w:rsidRPr="00866171">
        <w:rPr>
          <w:sz w:val="28"/>
          <w:szCs w:val="28"/>
          <w:lang w:eastAsia="zh-CN"/>
        </w:rPr>
        <w:t>An overview of the proposed amendments to ARCAP 7 (Section A), Ariz. R. Civ. P. 62 (Section B), and Ariz. R. Civ. P. 69 (Section C), is set forth below.</w:t>
      </w:r>
      <w:r w:rsidRPr="00866171">
        <w:rPr>
          <w:rStyle w:val="FootnoteReference"/>
          <w:sz w:val="28"/>
          <w:szCs w:val="28"/>
          <w:lang w:eastAsia="zh-CN"/>
        </w:rPr>
        <w:t xml:space="preserve"> </w:t>
      </w:r>
      <w:r w:rsidRPr="00866171">
        <w:rPr>
          <w:rStyle w:val="FootnoteReference"/>
          <w:sz w:val="28"/>
          <w:szCs w:val="28"/>
          <w:lang w:eastAsia="zh-CN"/>
        </w:rPr>
        <w:footnoteReference w:id="2"/>
      </w:r>
      <w:r w:rsidRPr="00866171">
        <w:rPr>
          <w:sz w:val="28"/>
          <w:szCs w:val="28"/>
          <w:lang w:eastAsia="zh-CN"/>
        </w:rPr>
        <w:t xml:space="preserve"> </w:t>
      </w:r>
    </w:p>
    <w:p w:rsidR="00AA59C3" w:rsidRPr="00866171" w:rsidRDefault="00AA59C3" w:rsidP="00AA59C3">
      <w:pPr>
        <w:pStyle w:val="PleadingPhL3"/>
        <w:rPr>
          <w:b w:val="0"/>
          <w:szCs w:val="28"/>
        </w:rPr>
      </w:pPr>
      <w:r w:rsidRPr="00866171">
        <w:rPr>
          <w:szCs w:val="28"/>
        </w:rPr>
        <w:t>Proposed Changes to ARCAP 7</w:t>
      </w:r>
    </w:p>
    <w:p w:rsidR="00AA59C3" w:rsidRDefault="00AA59C3" w:rsidP="00AA59C3">
      <w:pPr>
        <w:pStyle w:val="PleadingPhL4"/>
        <w:jc w:val="both"/>
        <w:rPr>
          <w:szCs w:val="28"/>
        </w:rPr>
      </w:pPr>
      <w:r w:rsidRPr="00866171">
        <w:rPr>
          <w:szCs w:val="28"/>
        </w:rPr>
        <w:t>ARCAP 7(a)(4)-(7): Amount of the bond for monetary judgments; bonds for non-monetary judgments; bonds for family court judgments</w:t>
      </w:r>
    </w:p>
    <w:p w:rsidR="00AA59C3" w:rsidRPr="00AA59C3" w:rsidRDefault="00AA59C3" w:rsidP="00AA59C3">
      <w:pPr>
        <w:pStyle w:val="BodyText"/>
        <w:rPr>
          <w:lang w:eastAsia="zh-CN"/>
        </w:rPr>
      </w:pP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 xml:space="preserve">The State Bar’s proposed amendments to ARCAP 7 would alter the current </w:t>
      </w:r>
      <w:proofErr w:type="spellStart"/>
      <w:r w:rsidRPr="00866171">
        <w:rPr>
          <w:sz w:val="28"/>
          <w:szCs w:val="28"/>
        </w:rPr>
        <w:t>supersedeas</w:t>
      </w:r>
      <w:proofErr w:type="spellEnd"/>
      <w:r w:rsidRPr="00866171">
        <w:rPr>
          <w:sz w:val="28"/>
          <w:szCs w:val="28"/>
        </w:rPr>
        <w:t xml:space="preserve"> bond requirements in three principal ways: </w:t>
      </w:r>
    </w:p>
    <w:p w:rsidR="00AA59C3" w:rsidRPr="00866171" w:rsidRDefault="00AA59C3" w:rsidP="00AA59C3">
      <w:pPr>
        <w:pStyle w:val="BodyText"/>
        <w:spacing w:line="480" w:lineRule="auto"/>
        <w:jc w:val="both"/>
        <w:rPr>
          <w:sz w:val="28"/>
          <w:szCs w:val="28"/>
        </w:rPr>
      </w:pPr>
      <w:r>
        <w:rPr>
          <w:b/>
          <w:i/>
          <w:sz w:val="28"/>
          <w:szCs w:val="28"/>
        </w:rPr>
        <w:tab/>
      </w:r>
      <w:r w:rsidRPr="00866171">
        <w:rPr>
          <w:b/>
          <w:i/>
          <w:sz w:val="28"/>
          <w:szCs w:val="28"/>
        </w:rPr>
        <w:t>First</w:t>
      </w:r>
      <w:r w:rsidRPr="00866171">
        <w:rPr>
          <w:sz w:val="28"/>
          <w:szCs w:val="28"/>
        </w:rPr>
        <w:t xml:space="preserve">, proposed amendments to ARCAP 7(a)(4) clarify an ambiguity in the underlying appeal bond statute, which uses the term “damages” despite legislative </w:t>
      </w:r>
      <w:r w:rsidRPr="00866171">
        <w:rPr>
          <w:sz w:val="28"/>
          <w:szCs w:val="28"/>
        </w:rPr>
        <w:lastRenderedPageBreak/>
        <w:t>history suggesting that the legislature intended for the entire “value of the judgment” (excluding punitive damages) to be considered in setting the bond amount.</w:t>
      </w:r>
      <w:r w:rsidRPr="00866171">
        <w:rPr>
          <w:rStyle w:val="FootnoteReference"/>
          <w:sz w:val="28"/>
          <w:szCs w:val="28"/>
        </w:rPr>
        <w:t xml:space="preserve"> </w:t>
      </w:r>
      <w:r w:rsidRPr="00866171">
        <w:rPr>
          <w:rStyle w:val="FootnoteReference"/>
          <w:sz w:val="28"/>
          <w:szCs w:val="28"/>
        </w:rPr>
        <w:footnoteReference w:id="3"/>
      </w:r>
      <w:r w:rsidRPr="00866171">
        <w:rPr>
          <w:sz w:val="28"/>
          <w:szCs w:val="28"/>
        </w:rPr>
        <w:t xml:space="preserve">  The proposed amendment specifies that in setting the bond amount, the court must consider “</w:t>
      </w:r>
      <w:r w:rsidRPr="00866171">
        <w:rPr>
          <w:i/>
          <w:sz w:val="28"/>
          <w:szCs w:val="28"/>
        </w:rPr>
        <w:t xml:space="preserve">damages, costs, attorney’s fees, and prejudgment interest included in the judgment when entered, </w:t>
      </w:r>
      <w:r w:rsidRPr="00866171">
        <w:rPr>
          <w:sz w:val="28"/>
          <w:szCs w:val="28"/>
        </w:rPr>
        <w:t xml:space="preserve">excluding punitive damages.” In contrast, the current rule refers only to the total amount of “damages awarded excluding punitive damages.” This proposed change addresses the </w:t>
      </w:r>
      <w:r w:rsidRPr="00866171">
        <w:rPr>
          <w:i/>
          <w:sz w:val="28"/>
          <w:szCs w:val="28"/>
        </w:rPr>
        <w:t xml:space="preserve">City Center v. </w:t>
      </w:r>
      <w:proofErr w:type="spellStart"/>
      <w:r w:rsidRPr="00866171">
        <w:rPr>
          <w:i/>
          <w:sz w:val="28"/>
          <w:szCs w:val="28"/>
        </w:rPr>
        <w:t>Jantzen</w:t>
      </w:r>
      <w:proofErr w:type="spellEnd"/>
      <w:r w:rsidRPr="00866171">
        <w:rPr>
          <w:sz w:val="28"/>
          <w:szCs w:val="28"/>
        </w:rPr>
        <w:t xml:space="preserve"> scenario</w:t>
      </w:r>
      <w:r w:rsidRPr="00866171">
        <w:rPr>
          <w:i/>
          <w:sz w:val="28"/>
          <w:szCs w:val="28"/>
        </w:rPr>
        <w:t xml:space="preserve">, </w:t>
      </w:r>
      <w:r w:rsidRPr="00866171">
        <w:rPr>
          <w:sz w:val="28"/>
          <w:szCs w:val="28"/>
        </w:rPr>
        <w:t xml:space="preserve">discussed above, where the court concluded that the statute and rule dictated a bond amount of $1.00, even though the judgment included $2.3 million in attorney’s fees. The proposed amendment also better accounts for the realities of litigation in Arizona, where fees and costs are awarded in a significant number of cases. </w:t>
      </w:r>
      <w:r w:rsidRPr="00866171">
        <w:rPr>
          <w:i/>
          <w:sz w:val="28"/>
          <w:szCs w:val="28"/>
        </w:rPr>
        <w:t>See, e.g.</w:t>
      </w:r>
      <w:r w:rsidRPr="00866171">
        <w:rPr>
          <w:sz w:val="28"/>
          <w:szCs w:val="28"/>
        </w:rPr>
        <w:t xml:space="preserve">, A.R.S. § 12-341 (recovery of costs to prevailing party); </w:t>
      </w:r>
      <w:r w:rsidRPr="00866171">
        <w:rPr>
          <w:i/>
          <w:sz w:val="28"/>
          <w:szCs w:val="28"/>
        </w:rPr>
        <w:t xml:space="preserve">id. </w:t>
      </w:r>
      <w:r w:rsidRPr="00866171">
        <w:rPr>
          <w:sz w:val="28"/>
          <w:szCs w:val="28"/>
        </w:rPr>
        <w:t xml:space="preserve">§ 12-341.01 (recovery of attorney’s fees in contract actions). </w:t>
      </w:r>
    </w:p>
    <w:p w:rsidR="00AA59C3" w:rsidRPr="00866171" w:rsidRDefault="00AA59C3" w:rsidP="00AA59C3">
      <w:pPr>
        <w:pStyle w:val="BodyText"/>
        <w:spacing w:line="480" w:lineRule="auto"/>
        <w:jc w:val="both"/>
        <w:rPr>
          <w:sz w:val="28"/>
          <w:szCs w:val="28"/>
        </w:rPr>
      </w:pPr>
      <w:r>
        <w:rPr>
          <w:b/>
          <w:i/>
          <w:sz w:val="28"/>
          <w:szCs w:val="28"/>
        </w:rPr>
        <w:tab/>
      </w:r>
      <w:r w:rsidRPr="00866171">
        <w:rPr>
          <w:b/>
          <w:i/>
          <w:sz w:val="28"/>
          <w:szCs w:val="28"/>
        </w:rPr>
        <w:t xml:space="preserve">Second, </w:t>
      </w:r>
      <w:r w:rsidRPr="00866171">
        <w:rPr>
          <w:sz w:val="28"/>
          <w:szCs w:val="28"/>
        </w:rPr>
        <w:t xml:space="preserve">the proposed amendments address the amount of an appeal bond for nonmonetary judgments. As illustrated by </w:t>
      </w:r>
      <w:r w:rsidRPr="00866171">
        <w:rPr>
          <w:i/>
          <w:sz w:val="28"/>
          <w:szCs w:val="28"/>
        </w:rPr>
        <w:t>Wells Fargo v. Rogers</w:t>
      </w:r>
      <w:r w:rsidRPr="00866171">
        <w:rPr>
          <w:sz w:val="28"/>
          <w:szCs w:val="28"/>
        </w:rPr>
        <w:t xml:space="preserve">, discussed above, </w:t>
      </w:r>
      <w:r w:rsidRPr="00866171">
        <w:rPr>
          <w:sz w:val="28"/>
          <w:szCs w:val="28"/>
        </w:rPr>
        <w:lastRenderedPageBreak/>
        <w:t>current ARCAP 7(a)(4) addresses setting the bond amount where damages are awarded, but provides no guidance on setting the bond amount for other types of judgments. Proposed ARCAP 7(a</w:t>
      </w:r>
      <w:proofErr w:type="gramStart"/>
      <w:r w:rsidRPr="00866171">
        <w:rPr>
          <w:sz w:val="28"/>
          <w:szCs w:val="28"/>
        </w:rPr>
        <w:t>)(</w:t>
      </w:r>
      <w:proofErr w:type="gramEnd"/>
      <w:r w:rsidRPr="00866171">
        <w:rPr>
          <w:sz w:val="28"/>
          <w:szCs w:val="28"/>
        </w:rPr>
        <w:t xml:space="preserve">5) addresses setting the bond amount for judgments that include the recovery of real or personal property. </w:t>
      </w:r>
      <w:r w:rsidRPr="00866171">
        <w:rPr>
          <w:i/>
          <w:sz w:val="28"/>
          <w:szCs w:val="28"/>
        </w:rPr>
        <w:t xml:space="preserve">See </w:t>
      </w:r>
      <w:r w:rsidRPr="00866171">
        <w:rPr>
          <w:sz w:val="28"/>
          <w:szCs w:val="28"/>
        </w:rPr>
        <w:t>Proposed ARCAP 7(a</w:t>
      </w:r>
      <w:proofErr w:type="gramStart"/>
      <w:r w:rsidRPr="00866171">
        <w:rPr>
          <w:sz w:val="28"/>
          <w:szCs w:val="28"/>
        </w:rPr>
        <w:t>)(</w:t>
      </w:r>
      <w:proofErr w:type="gramEnd"/>
      <w:r w:rsidRPr="00866171">
        <w:rPr>
          <w:sz w:val="28"/>
          <w:szCs w:val="28"/>
        </w:rPr>
        <w:t>5) (“Amount of the Bond</w:t>
      </w:r>
      <w:r w:rsidRPr="00866171">
        <w:rPr>
          <w:sz w:val="28"/>
          <w:szCs w:val="28"/>
        </w:rPr>
        <w:softHyphen/>
      </w:r>
      <w:r w:rsidRPr="00866171">
        <w:rPr>
          <w:sz w:val="28"/>
          <w:szCs w:val="28"/>
        </w:rPr>
        <w:softHyphen/>
        <w:t>––Judgment for Recovery or Property”). And proposed ARCAP 7(a</w:t>
      </w:r>
      <w:proofErr w:type="gramStart"/>
      <w:r w:rsidRPr="00866171">
        <w:rPr>
          <w:sz w:val="28"/>
          <w:szCs w:val="28"/>
        </w:rPr>
        <w:t>)(</w:t>
      </w:r>
      <w:proofErr w:type="gramEnd"/>
      <w:r w:rsidRPr="00866171">
        <w:rPr>
          <w:sz w:val="28"/>
          <w:szCs w:val="28"/>
        </w:rPr>
        <w:t xml:space="preserve">6) similarly addresses setting the bond amount for other types of nonmonetary judgments, such as those awarding injunctive or equitable relief. </w:t>
      </w:r>
      <w:r w:rsidRPr="00866171">
        <w:rPr>
          <w:i/>
          <w:sz w:val="28"/>
          <w:szCs w:val="28"/>
        </w:rPr>
        <w:t xml:space="preserve">See </w:t>
      </w:r>
      <w:r w:rsidRPr="00866171">
        <w:rPr>
          <w:sz w:val="28"/>
          <w:szCs w:val="28"/>
        </w:rPr>
        <w:t>Proposed ARCAP 7(a</w:t>
      </w:r>
      <w:proofErr w:type="gramStart"/>
      <w:r w:rsidRPr="00866171">
        <w:rPr>
          <w:sz w:val="28"/>
          <w:szCs w:val="28"/>
        </w:rPr>
        <w:t>)(</w:t>
      </w:r>
      <w:proofErr w:type="gramEnd"/>
      <w:r w:rsidRPr="00866171">
        <w:rPr>
          <w:sz w:val="28"/>
          <w:szCs w:val="28"/>
        </w:rPr>
        <w:t>6) (“Amount of the Bond––Other Judgment”).</w:t>
      </w:r>
    </w:p>
    <w:p w:rsidR="00231818" w:rsidRPr="00866171" w:rsidRDefault="00AA59C3" w:rsidP="00AA59C3">
      <w:pPr>
        <w:pStyle w:val="BodyText"/>
        <w:spacing w:before="240" w:line="480" w:lineRule="auto"/>
        <w:jc w:val="both"/>
        <w:rPr>
          <w:sz w:val="28"/>
          <w:szCs w:val="28"/>
          <w:lang w:eastAsia="zh-CN"/>
        </w:rPr>
      </w:pPr>
      <w:r>
        <w:rPr>
          <w:b/>
          <w:i/>
          <w:sz w:val="28"/>
          <w:szCs w:val="28"/>
          <w:lang w:eastAsia="zh-CN"/>
        </w:rPr>
        <w:tab/>
      </w:r>
      <w:r w:rsidRPr="00866171">
        <w:rPr>
          <w:b/>
          <w:i/>
          <w:sz w:val="28"/>
          <w:szCs w:val="28"/>
          <w:lang w:eastAsia="zh-CN"/>
        </w:rPr>
        <w:t>Third,</w:t>
      </w:r>
      <w:r w:rsidRPr="00866171">
        <w:rPr>
          <w:i/>
          <w:sz w:val="28"/>
          <w:szCs w:val="28"/>
          <w:lang w:eastAsia="zh-CN"/>
        </w:rPr>
        <w:t xml:space="preserve"> </w:t>
      </w:r>
      <w:r w:rsidRPr="00866171">
        <w:rPr>
          <w:sz w:val="28"/>
          <w:szCs w:val="28"/>
          <w:lang w:eastAsia="zh-CN"/>
        </w:rPr>
        <w:t xml:space="preserve">as discussed above, while current ARCAP 7 refers to the amount of “damages” awarded, family court monetary awards typically do not constitute “compensatory damages.” </w:t>
      </w:r>
      <w:r w:rsidRPr="00866171">
        <w:rPr>
          <w:i/>
          <w:sz w:val="28"/>
          <w:szCs w:val="28"/>
          <w:lang w:eastAsia="zh-CN"/>
        </w:rPr>
        <w:t xml:space="preserve">See, e.g., </w:t>
      </w:r>
      <w:r w:rsidRPr="00866171">
        <w:rPr>
          <w:sz w:val="28"/>
          <w:szCs w:val="28"/>
          <w:lang w:eastAsia="zh-CN"/>
        </w:rPr>
        <w:t xml:space="preserve">A.R.S. § 25-318 (orders dividing marital property); </w:t>
      </w:r>
      <w:proofErr w:type="spellStart"/>
      <w:r w:rsidRPr="00866171">
        <w:rPr>
          <w:i/>
          <w:iCs/>
          <w:sz w:val="28"/>
          <w:szCs w:val="28"/>
          <w:lang w:eastAsia="zh-CN"/>
        </w:rPr>
        <w:t>Bobrow</w:t>
      </w:r>
      <w:proofErr w:type="spellEnd"/>
      <w:r w:rsidRPr="00866171">
        <w:rPr>
          <w:iCs/>
          <w:sz w:val="28"/>
          <w:szCs w:val="28"/>
          <w:lang w:eastAsia="zh-CN"/>
        </w:rPr>
        <w:t>,</w:t>
      </w:r>
      <w:r w:rsidRPr="00866171">
        <w:rPr>
          <w:i/>
          <w:iCs/>
          <w:sz w:val="28"/>
          <w:szCs w:val="28"/>
          <w:lang w:eastAsia="zh-CN"/>
        </w:rPr>
        <w:t xml:space="preserve"> </w:t>
      </w:r>
      <w:r w:rsidRPr="00866171">
        <w:rPr>
          <w:iCs/>
          <w:sz w:val="28"/>
          <w:szCs w:val="28"/>
          <w:lang w:eastAsia="zh-CN"/>
        </w:rPr>
        <w:t xml:space="preserve">239 Ariz. at 183, </w:t>
      </w:r>
      <w:r w:rsidRPr="00866171">
        <w:rPr>
          <w:sz w:val="28"/>
          <w:szCs w:val="28"/>
          <w:lang w:eastAsia="zh-CN"/>
        </w:rPr>
        <w:t>367 P.3d at 87 (dissolution award not “compensatory damages”). Proposed ARCAP 7(a</w:t>
      </w:r>
      <w:proofErr w:type="gramStart"/>
      <w:r w:rsidRPr="00866171">
        <w:rPr>
          <w:sz w:val="28"/>
          <w:szCs w:val="28"/>
          <w:lang w:eastAsia="zh-CN"/>
        </w:rPr>
        <w:t>)(</w:t>
      </w:r>
      <w:proofErr w:type="gramEnd"/>
      <w:r w:rsidRPr="00866171">
        <w:rPr>
          <w:sz w:val="28"/>
          <w:szCs w:val="28"/>
          <w:lang w:eastAsia="zh-CN"/>
        </w:rPr>
        <w:t xml:space="preserve">7) addresses this gap in the current rule. Notably, the proposal departs from </w:t>
      </w:r>
      <w:proofErr w:type="spellStart"/>
      <w:r w:rsidRPr="00866171">
        <w:rPr>
          <w:i/>
          <w:iCs/>
          <w:sz w:val="28"/>
          <w:szCs w:val="28"/>
          <w:lang w:eastAsia="zh-CN"/>
        </w:rPr>
        <w:t>Bobrow’s</w:t>
      </w:r>
      <w:proofErr w:type="spellEnd"/>
      <w:r w:rsidRPr="00866171">
        <w:rPr>
          <w:i/>
          <w:iCs/>
          <w:sz w:val="28"/>
          <w:szCs w:val="28"/>
          <w:lang w:eastAsia="zh-CN"/>
        </w:rPr>
        <w:t xml:space="preserve"> </w:t>
      </w:r>
      <w:r w:rsidRPr="00866171">
        <w:rPr>
          <w:iCs/>
          <w:sz w:val="28"/>
          <w:szCs w:val="28"/>
          <w:lang w:eastAsia="zh-CN"/>
        </w:rPr>
        <w:t>strict application of ARCAP 7(a</w:t>
      </w:r>
      <w:proofErr w:type="gramStart"/>
      <w:r w:rsidRPr="00866171">
        <w:rPr>
          <w:iCs/>
          <w:sz w:val="28"/>
          <w:szCs w:val="28"/>
          <w:lang w:eastAsia="zh-CN"/>
        </w:rPr>
        <w:t>)(</w:t>
      </w:r>
      <w:proofErr w:type="gramEnd"/>
      <w:r w:rsidRPr="00866171">
        <w:rPr>
          <w:iCs/>
          <w:sz w:val="28"/>
          <w:szCs w:val="28"/>
          <w:lang w:eastAsia="zh-CN"/>
        </w:rPr>
        <w:t xml:space="preserve">4)’s bond formula, and instead provides </w:t>
      </w:r>
      <w:r w:rsidRPr="00866171">
        <w:rPr>
          <w:sz w:val="28"/>
          <w:szCs w:val="28"/>
          <w:lang w:eastAsia="zh-CN"/>
        </w:rPr>
        <w:t xml:space="preserve">the superior court with flexibility to take into account “the judgment as a whole and whether requiring a bond would impose an undue hardship.” </w:t>
      </w:r>
      <w:r w:rsidRPr="00866171">
        <w:rPr>
          <w:i/>
          <w:sz w:val="28"/>
          <w:szCs w:val="28"/>
          <w:lang w:eastAsia="zh-CN"/>
        </w:rPr>
        <w:t xml:space="preserve">See </w:t>
      </w:r>
      <w:r w:rsidRPr="00866171">
        <w:rPr>
          <w:sz w:val="28"/>
          <w:szCs w:val="28"/>
          <w:lang w:eastAsia="zh-CN"/>
        </w:rPr>
        <w:t>Proposed ARCAP 7(a)(7).</w:t>
      </w:r>
      <w:bookmarkStart w:id="2" w:name="_GoBack"/>
      <w:bookmarkEnd w:id="2"/>
    </w:p>
    <w:p w:rsidR="00AA59C3" w:rsidRDefault="00AA59C3" w:rsidP="00AA59C3">
      <w:pPr>
        <w:pStyle w:val="PleadingPhL4"/>
        <w:jc w:val="both"/>
        <w:rPr>
          <w:szCs w:val="28"/>
        </w:rPr>
      </w:pPr>
      <w:r w:rsidRPr="00866171">
        <w:rPr>
          <w:szCs w:val="28"/>
        </w:rPr>
        <w:t xml:space="preserve">ARCAP 7: Amendments incorporating aspects of pending federal rule amendments </w:t>
      </w:r>
    </w:p>
    <w:p w:rsidR="00AA59C3" w:rsidRPr="00AA59C3" w:rsidRDefault="00AA59C3" w:rsidP="00AA59C3">
      <w:pPr>
        <w:pStyle w:val="BodyText"/>
        <w:rPr>
          <w:lang w:eastAsia="zh-CN"/>
        </w:rPr>
      </w:pPr>
    </w:p>
    <w:p w:rsidR="00AA59C3" w:rsidRPr="00866171" w:rsidRDefault="00AA59C3" w:rsidP="00AA59C3">
      <w:pPr>
        <w:pStyle w:val="BodyText"/>
        <w:spacing w:line="480" w:lineRule="auto"/>
        <w:jc w:val="both"/>
        <w:rPr>
          <w:sz w:val="28"/>
          <w:szCs w:val="28"/>
        </w:rPr>
      </w:pPr>
      <w:r>
        <w:rPr>
          <w:sz w:val="28"/>
          <w:szCs w:val="28"/>
        </w:rPr>
        <w:lastRenderedPageBreak/>
        <w:tab/>
      </w:r>
      <w:r w:rsidRPr="00866171">
        <w:rPr>
          <w:sz w:val="28"/>
          <w:szCs w:val="28"/>
        </w:rPr>
        <w:t>Consistent with the goal of federalizing and modernizing the Arizona rules where appropriate, proposed ARCAP 7 adopts aspects of pending changes to Fed. R. Civ. P. 62 [that will take effect December 2019.]</w:t>
      </w:r>
    </w:p>
    <w:p w:rsidR="00AA59C3" w:rsidRPr="00866171" w:rsidRDefault="00AA59C3" w:rsidP="00AA59C3">
      <w:pPr>
        <w:pStyle w:val="BodyText"/>
        <w:spacing w:line="480" w:lineRule="auto"/>
        <w:jc w:val="both"/>
        <w:rPr>
          <w:sz w:val="28"/>
          <w:szCs w:val="28"/>
          <w:lang w:eastAsia="zh-CN"/>
        </w:rPr>
      </w:pPr>
      <w:r>
        <w:rPr>
          <w:b/>
          <w:i/>
          <w:sz w:val="28"/>
          <w:szCs w:val="28"/>
        </w:rPr>
        <w:tab/>
      </w:r>
      <w:r w:rsidRPr="00866171">
        <w:rPr>
          <w:b/>
          <w:i/>
          <w:sz w:val="28"/>
          <w:szCs w:val="28"/>
        </w:rPr>
        <w:t>First</w:t>
      </w:r>
      <w:r w:rsidRPr="00866171">
        <w:rPr>
          <w:sz w:val="28"/>
          <w:szCs w:val="28"/>
        </w:rPr>
        <w:t xml:space="preserve">, the proposal incorporates pending changes to </w:t>
      </w:r>
      <w:proofErr w:type="gramStart"/>
      <w:r w:rsidRPr="00866171">
        <w:rPr>
          <w:sz w:val="28"/>
          <w:szCs w:val="28"/>
        </w:rPr>
        <w:t>Fed.</w:t>
      </w:r>
      <w:proofErr w:type="gramEnd"/>
      <w:r w:rsidRPr="00866171">
        <w:rPr>
          <w:sz w:val="28"/>
          <w:szCs w:val="28"/>
        </w:rPr>
        <w:t xml:space="preserve"> R. Civ. P. 62 that will replace </w:t>
      </w:r>
      <w:r w:rsidRPr="00866171">
        <w:rPr>
          <w:sz w:val="28"/>
          <w:szCs w:val="28"/>
          <w:lang w:eastAsia="zh-CN"/>
        </w:rPr>
        <w:t xml:space="preserve">the word “appellant” with the term “party,” recognizing that a party may seek a bond before filing a notice of appeal (such as pending disposition of a post-trial motion). Although current ARCAP 7(a) states that the bond may be filed “before or after” a notice of appeal is filed, the rule uses the terms appellant and appellee throughout. ARCAP 7(a)(1)(A) also provides, inconsistently, that a </w:t>
      </w:r>
      <w:proofErr w:type="spellStart"/>
      <w:r w:rsidRPr="00866171">
        <w:rPr>
          <w:sz w:val="28"/>
          <w:szCs w:val="28"/>
          <w:lang w:eastAsia="zh-CN"/>
        </w:rPr>
        <w:t>supersedeas</w:t>
      </w:r>
      <w:proofErr w:type="spellEnd"/>
      <w:r w:rsidRPr="00866171">
        <w:rPr>
          <w:sz w:val="28"/>
          <w:szCs w:val="28"/>
          <w:lang w:eastAsia="zh-CN"/>
        </w:rPr>
        <w:t xml:space="preserve"> bond “is a bond filed in the superior court . . . which stays enforcement of, or execution on, a judgment </w:t>
      </w:r>
      <w:r w:rsidRPr="00866171">
        <w:rPr>
          <w:bCs/>
          <w:i/>
          <w:iCs/>
          <w:sz w:val="28"/>
          <w:szCs w:val="28"/>
          <w:lang w:eastAsia="zh-CN"/>
        </w:rPr>
        <w:t>while an appeal is pending.</w:t>
      </w:r>
      <w:r w:rsidRPr="00866171">
        <w:rPr>
          <w:bCs/>
          <w:iCs/>
          <w:sz w:val="28"/>
          <w:szCs w:val="28"/>
          <w:lang w:eastAsia="zh-CN"/>
        </w:rPr>
        <w:t>”</w:t>
      </w:r>
      <w:r w:rsidRPr="00866171">
        <w:rPr>
          <w:bCs/>
          <w:i/>
          <w:iCs/>
          <w:sz w:val="28"/>
          <w:szCs w:val="28"/>
          <w:lang w:eastAsia="zh-CN"/>
        </w:rPr>
        <w:t xml:space="preserve"> </w:t>
      </w:r>
      <w:r w:rsidRPr="00866171">
        <w:rPr>
          <w:sz w:val="28"/>
          <w:szCs w:val="28"/>
          <w:lang w:eastAsia="zh-CN"/>
        </w:rPr>
        <w:t>The proposed amendment addresses this inconsistency by deleting the phrase “while an appeal is pending” from ARCAP 7(a</w:t>
      </w:r>
      <w:proofErr w:type="gramStart"/>
      <w:r w:rsidRPr="00866171">
        <w:rPr>
          <w:sz w:val="28"/>
          <w:szCs w:val="28"/>
          <w:lang w:eastAsia="zh-CN"/>
        </w:rPr>
        <w:t>)(</w:t>
      </w:r>
      <w:proofErr w:type="gramEnd"/>
      <w:r w:rsidRPr="00866171">
        <w:rPr>
          <w:sz w:val="28"/>
          <w:szCs w:val="28"/>
          <w:lang w:eastAsia="zh-CN"/>
        </w:rPr>
        <w:t xml:space="preserve">1)(A) and by eliminating the terms “appellee” and “appellant” throughout ARCAP 7. </w:t>
      </w:r>
    </w:p>
    <w:p w:rsidR="00AA59C3" w:rsidRPr="00866171" w:rsidRDefault="00AA59C3" w:rsidP="00AA59C3">
      <w:pPr>
        <w:pStyle w:val="BodyText"/>
        <w:spacing w:line="480" w:lineRule="auto"/>
        <w:jc w:val="both"/>
        <w:rPr>
          <w:sz w:val="28"/>
          <w:szCs w:val="28"/>
          <w:lang w:eastAsia="zh-CN"/>
        </w:rPr>
      </w:pPr>
      <w:r>
        <w:rPr>
          <w:b/>
          <w:i/>
          <w:sz w:val="28"/>
          <w:szCs w:val="28"/>
          <w:lang w:eastAsia="zh-CN"/>
        </w:rPr>
        <w:tab/>
      </w:r>
      <w:r w:rsidRPr="00866171">
        <w:rPr>
          <w:b/>
          <w:i/>
          <w:sz w:val="28"/>
          <w:szCs w:val="28"/>
          <w:lang w:eastAsia="zh-CN"/>
        </w:rPr>
        <w:t>Second</w:t>
      </w:r>
      <w:r w:rsidRPr="00866171">
        <w:rPr>
          <w:sz w:val="28"/>
          <w:szCs w:val="28"/>
          <w:lang w:eastAsia="zh-CN"/>
        </w:rPr>
        <w:t>, the proposal incorporates aspects of the pending changes to federal Rule 62 intended to clarify that security may be in a form other than a bond.</w:t>
      </w:r>
      <w:r w:rsidRPr="00866171">
        <w:rPr>
          <w:rStyle w:val="FootnoteReference"/>
          <w:sz w:val="28"/>
          <w:szCs w:val="28"/>
          <w:lang w:eastAsia="zh-CN"/>
        </w:rPr>
        <w:footnoteReference w:id="4"/>
      </w:r>
      <w:r w:rsidRPr="00866171">
        <w:rPr>
          <w:sz w:val="28"/>
          <w:szCs w:val="28"/>
          <w:lang w:eastAsia="zh-CN"/>
        </w:rPr>
        <w:t xml:space="preserve"> ARCAP </w:t>
      </w:r>
      <w:r w:rsidRPr="00866171">
        <w:rPr>
          <w:sz w:val="28"/>
          <w:szCs w:val="28"/>
          <w:lang w:eastAsia="zh-CN"/>
        </w:rPr>
        <w:lastRenderedPageBreak/>
        <w:t>7(a)(1)(A) would be amended to expressly provide that the terms “bond” and “</w:t>
      </w:r>
      <w:proofErr w:type="spellStart"/>
      <w:r w:rsidRPr="00866171">
        <w:rPr>
          <w:sz w:val="28"/>
          <w:szCs w:val="28"/>
          <w:lang w:eastAsia="zh-CN"/>
        </w:rPr>
        <w:t>supersedeas</w:t>
      </w:r>
      <w:proofErr w:type="spellEnd"/>
      <w:r w:rsidRPr="00866171">
        <w:rPr>
          <w:sz w:val="28"/>
          <w:szCs w:val="28"/>
          <w:lang w:eastAsia="zh-CN"/>
        </w:rPr>
        <w:t xml:space="preserve"> bond” as used in the Rule “also includes other types of security as ordered by the superior court in lieu of a </w:t>
      </w:r>
      <w:proofErr w:type="spellStart"/>
      <w:r w:rsidRPr="00866171">
        <w:rPr>
          <w:sz w:val="28"/>
          <w:szCs w:val="28"/>
          <w:lang w:eastAsia="zh-CN"/>
        </w:rPr>
        <w:t>supersedeas</w:t>
      </w:r>
      <w:proofErr w:type="spellEnd"/>
      <w:r w:rsidRPr="00866171">
        <w:rPr>
          <w:sz w:val="28"/>
          <w:szCs w:val="28"/>
          <w:lang w:eastAsia="zh-CN"/>
        </w:rPr>
        <w:t xml:space="preserve"> bond.” Corresponding changes are made throughout ARCAP 7, as well as in Rule 62. </w:t>
      </w:r>
    </w:p>
    <w:p w:rsidR="00AA59C3" w:rsidRPr="00866171" w:rsidRDefault="00AA59C3" w:rsidP="00AA59C3">
      <w:pPr>
        <w:pStyle w:val="PleadingPhL3"/>
        <w:rPr>
          <w:szCs w:val="28"/>
        </w:rPr>
      </w:pPr>
      <w:r w:rsidRPr="00866171">
        <w:rPr>
          <w:szCs w:val="28"/>
        </w:rPr>
        <w:t>Proposed Changes to Ariz. R. Civ. P. 62</w:t>
      </w:r>
    </w:p>
    <w:p w:rsidR="00AA59C3" w:rsidRDefault="00AA59C3" w:rsidP="00AA59C3">
      <w:pPr>
        <w:pStyle w:val="PleadingPhL4"/>
        <w:jc w:val="both"/>
        <w:rPr>
          <w:szCs w:val="28"/>
        </w:rPr>
      </w:pPr>
      <w:r w:rsidRPr="00866171">
        <w:rPr>
          <w:szCs w:val="28"/>
        </w:rPr>
        <w:t>Ariz. R. Civ. P. 62: Automatic stay and other federalizing changes</w:t>
      </w:r>
    </w:p>
    <w:p w:rsidR="00AA59C3" w:rsidRPr="00AA59C3" w:rsidRDefault="00AA59C3" w:rsidP="00AA59C3">
      <w:pPr>
        <w:pStyle w:val="BodyText"/>
        <w:rPr>
          <w:lang w:eastAsia="zh-CN"/>
        </w:rPr>
      </w:pPr>
    </w:p>
    <w:p w:rsidR="00AA59C3" w:rsidRPr="00866171" w:rsidRDefault="00AA59C3" w:rsidP="00AA59C3">
      <w:pPr>
        <w:pStyle w:val="BodyText"/>
        <w:spacing w:line="480" w:lineRule="auto"/>
        <w:jc w:val="both"/>
        <w:rPr>
          <w:sz w:val="28"/>
          <w:szCs w:val="28"/>
          <w:lang w:eastAsia="zh-CN"/>
        </w:rPr>
      </w:pPr>
      <w:r>
        <w:rPr>
          <w:sz w:val="28"/>
          <w:szCs w:val="28"/>
          <w:lang w:eastAsia="zh-CN"/>
        </w:rPr>
        <w:tab/>
      </w:r>
      <w:r w:rsidRPr="00866171">
        <w:rPr>
          <w:sz w:val="28"/>
          <w:szCs w:val="28"/>
          <w:lang w:eastAsia="zh-CN"/>
        </w:rPr>
        <w:t>The State Bar proposes amending Rule 62 to include a 15-day “automatic stay” of execution and enforcement of a monetary judgment “unless the court orders otherwise.” This “automatic stay” provision follows the approach in Fed. R. Civ. P. 62, except that the current automatic stay period under the federal rule is 14 days.</w:t>
      </w:r>
      <w:r w:rsidRPr="00866171">
        <w:rPr>
          <w:sz w:val="28"/>
          <w:szCs w:val="28"/>
          <w:vertAlign w:val="superscript"/>
          <w:lang w:eastAsia="zh-CN"/>
        </w:rPr>
        <w:footnoteReference w:id="5"/>
      </w:r>
      <w:r w:rsidRPr="00866171">
        <w:rPr>
          <w:sz w:val="28"/>
          <w:szCs w:val="28"/>
          <w:lang w:eastAsia="zh-CN"/>
        </w:rPr>
        <w:t xml:space="preserve"> Rule 62(a) also would be amended to add the following sentence, unique to Arizona’s rule: “During the 15-day period, unless and until a bond or other security is posted, a party may record a judgment.” This parallels current ARCAP 7(a</w:t>
      </w:r>
      <w:proofErr w:type="gramStart"/>
      <w:r w:rsidRPr="00866171">
        <w:rPr>
          <w:sz w:val="28"/>
          <w:szCs w:val="28"/>
          <w:lang w:eastAsia="zh-CN"/>
        </w:rPr>
        <w:t>)(</w:t>
      </w:r>
      <w:proofErr w:type="gramEnd"/>
      <w:r w:rsidRPr="00866171">
        <w:rPr>
          <w:sz w:val="28"/>
          <w:szCs w:val="28"/>
          <w:lang w:eastAsia="zh-CN"/>
        </w:rPr>
        <w:t xml:space="preserve">2), which provides that filing a motion for a </w:t>
      </w:r>
      <w:proofErr w:type="spellStart"/>
      <w:r w:rsidRPr="00866171">
        <w:rPr>
          <w:sz w:val="28"/>
          <w:szCs w:val="28"/>
          <w:lang w:eastAsia="zh-CN"/>
        </w:rPr>
        <w:t>supersedeas</w:t>
      </w:r>
      <w:proofErr w:type="spellEnd"/>
      <w:r w:rsidRPr="00866171">
        <w:rPr>
          <w:sz w:val="28"/>
          <w:szCs w:val="28"/>
          <w:lang w:eastAsia="zh-CN"/>
        </w:rPr>
        <w:t xml:space="preserve"> bond temporarily stays </w:t>
      </w:r>
      <w:r w:rsidRPr="00866171">
        <w:rPr>
          <w:sz w:val="28"/>
          <w:szCs w:val="28"/>
          <w:lang w:eastAsia="zh-CN"/>
        </w:rPr>
        <w:lastRenderedPageBreak/>
        <w:t xml:space="preserve">enforcement of the judgment until the court denies the motion or sets the bond amount, but also allows that “until a bond is posted, a party may record a judgment.” </w:t>
      </w:r>
    </w:p>
    <w:p w:rsidR="00AA59C3" w:rsidRPr="00866171" w:rsidRDefault="00AA59C3" w:rsidP="00AA59C3">
      <w:pPr>
        <w:pStyle w:val="BodyText"/>
        <w:spacing w:line="480" w:lineRule="auto"/>
        <w:jc w:val="both"/>
        <w:rPr>
          <w:sz w:val="28"/>
          <w:szCs w:val="28"/>
          <w:lang w:eastAsia="zh-CN"/>
        </w:rPr>
      </w:pPr>
      <w:r>
        <w:rPr>
          <w:sz w:val="28"/>
          <w:szCs w:val="28"/>
          <w:lang w:eastAsia="zh-CN"/>
        </w:rPr>
        <w:tab/>
      </w:r>
      <w:r w:rsidRPr="00866171">
        <w:rPr>
          <w:sz w:val="28"/>
          <w:szCs w:val="28"/>
          <w:lang w:eastAsia="zh-CN"/>
        </w:rPr>
        <w:t xml:space="preserve">The State Bar proposes other stylistic changes to Rule 62 to incorporate other aspects of the pending changes to </w:t>
      </w:r>
      <w:proofErr w:type="gramStart"/>
      <w:r w:rsidRPr="00866171">
        <w:rPr>
          <w:sz w:val="28"/>
          <w:szCs w:val="28"/>
          <w:lang w:eastAsia="zh-CN"/>
        </w:rPr>
        <w:t>Fed.</w:t>
      </w:r>
      <w:proofErr w:type="gramEnd"/>
      <w:r w:rsidRPr="00866171">
        <w:rPr>
          <w:sz w:val="28"/>
          <w:szCs w:val="28"/>
          <w:lang w:eastAsia="zh-CN"/>
        </w:rPr>
        <w:t xml:space="preserve"> R. Civ. P. 62. </w:t>
      </w:r>
    </w:p>
    <w:p w:rsidR="00AA59C3" w:rsidRPr="00866171" w:rsidRDefault="00AA59C3" w:rsidP="00AA59C3">
      <w:pPr>
        <w:pStyle w:val="PleadingPhL3"/>
        <w:rPr>
          <w:szCs w:val="28"/>
        </w:rPr>
      </w:pPr>
      <w:r w:rsidRPr="00866171">
        <w:rPr>
          <w:szCs w:val="28"/>
        </w:rPr>
        <w:t>Ariz. R. Civ. P. 69</w:t>
      </w:r>
    </w:p>
    <w:p w:rsidR="00AA59C3" w:rsidRDefault="00AA59C3" w:rsidP="00AA59C3">
      <w:pPr>
        <w:pStyle w:val="PleadingPhL4"/>
        <w:jc w:val="both"/>
        <w:rPr>
          <w:szCs w:val="28"/>
        </w:rPr>
      </w:pPr>
      <w:r w:rsidRPr="00866171">
        <w:rPr>
          <w:szCs w:val="28"/>
        </w:rPr>
        <w:t>Ariz. R. Civ. P. 69(c)(1): Automatic stay</w:t>
      </w:r>
    </w:p>
    <w:p w:rsidR="00AA59C3" w:rsidRPr="00AA59C3" w:rsidRDefault="00AA59C3" w:rsidP="00AA59C3">
      <w:pPr>
        <w:pStyle w:val="BodyText"/>
        <w:rPr>
          <w:lang w:eastAsia="zh-CN"/>
        </w:rPr>
      </w:pPr>
    </w:p>
    <w:p w:rsidR="00AA59C3" w:rsidRPr="00866171" w:rsidRDefault="00AA59C3" w:rsidP="00AA59C3">
      <w:pPr>
        <w:pStyle w:val="BodyText"/>
        <w:spacing w:line="480" w:lineRule="auto"/>
        <w:jc w:val="both"/>
        <w:rPr>
          <w:sz w:val="28"/>
          <w:szCs w:val="28"/>
        </w:rPr>
      </w:pPr>
      <w:r>
        <w:rPr>
          <w:sz w:val="28"/>
          <w:szCs w:val="28"/>
          <w:lang w:eastAsia="zh-CN"/>
        </w:rPr>
        <w:tab/>
      </w:r>
      <w:r w:rsidRPr="00866171">
        <w:rPr>
          <w:sz w:val="28"/>
          <w:szCs w:val="28"/>
          <w:lang w:eastAsia="zh-CN"/>
        </w:rPr>
        <w:t>To conform to the Rule 62 changes addressed above, the State Bar proposes to amend Rule 69(c)(1) to prohibit discovery during the 15-day automatic stay of a judgment, unless the court orders otherwise for “good cause.”</w:t>
      </w:r>
    </w:p>
    <w:p w:rsidR="00AA59C3" w:rsidRDefault="00AA59C3" w:rsidP="00AA59C3">
      <w:pPr>
        <w:pStyle w:val="PleadingPhL4"/>
        <w:jc w:val="both"/>
        <w:rPr>
          <w:szCs w:val="28"/>
        </w:rPr>
      </w:pPr>
      <w:r w:rsidRPr="00866171">
        <w:rPr>
          <w:szCs w:val="28"/>
        </w:rPr>
        <w:t xml:space="preserve">Ariz. R. Civ. P. 69(c)(2)-(4): Proposed revisions regarding </w:t>
      </w:r>
      <w:proofErr w:type="spellStart"/>
      <w:r w:rsidRPr="00866171">
        <w:rPr>
          <w:szCs w:val="28"/>
        </w:rPr>
        <w:t>postjudgment</w:t>
      </w:r>
      <w:proofErr w:type="spellEnd"/>
      <w:r w:rsidRPr="00866171">
        <w:rPr>
          <w:szCs w:val="28"/>
        </w:rPr>
        <w:t xml:space="preserve"> discovery</w:t>
      </w:r>
    </w:p>
    <w:p w:rsidR="00AA59C3" w:rsidRPr="00AA59C3" w:rsidRDefault="00AA59C3" w:rsidP="00AA59C3">
      <w:pPr>
        <w:pStyle w:val="BodyText"/>
        <w:rPr>
          <w:lang w:eastAsia="zh-CN"/>
        </w:rPr>
      </w:pP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 xml:space="preserve">Current Rule 69 does not explicitly address whether discovery is allowed if enforcement of a judgment is stayed on appeal, and does not expressly allow for discovery where the amount of the appeal bond is less than the full amount of the judgment. Practitioners report that Arizona superior court judges have reached different interpretations of the rule, with some judges denying discovery if a stay is </w:t>
      </w:r>
      <w:r w:rsidRPr="00866171">
        <w:rPr>
          <w:sz w:val="28"/>
          <w:szCs w:val="28"/>
        </w:rPr>
        <w:lastRenderedPageBreak/>
        <w:t>in place, and other judges permitting discovery, at least where the bond does not fully secure the judgment.</w:t>
      </w:r>
      <w:r w:rsidRPr="00866171">
        <w:rPr>
          <w:sz w:val="28"/>
          <w:szCs w:val="28"/>
          <w:vertAlign w:val="superscript"/>
        </w:rPr>
        <w:footnoteReference w:id="6"/>
      </w:r>
      <w:r w:rsidRPr="00866171">
        <w:rPr>
          <w:sz w:val="28"/>
          <w:szCs w:val="28"/>
        </w:rPr>
        <w:t xml:space="preserve"> </w:t>
      </w:r>
    </w:p>
    <w:p w:rsidR="00AA59C3" w:rsidRPr="00866171" w:rsidRDefault="00AA59C3" w:rsidP="00AA59C3">
      <w:pPr>
        <w:pStyle w:val="BodyText"/>
        <w:spacing w:line="480" w:lineRule="auto"/>
        <w:jc w:val="both"/>
        <w:rPr>
          <w:sz w:val="28"/>
          <w:szCs w:val="28"/>
        </w:rPr>
      </w:pPr>
      <w:r>
        <w:rPr>
          <w:sz w:val="28"/>
          <w:szCs w:val="28"/>
        </w:rPr>
        <w:tab/>
      </w:r>
      <w:r w:rsidRPr="00866171">
        <w:rPr>
          <w:sz w:val="28"/>
          <w:szCs w:val="28"/>
        </w:rPr>
        <w:t xml:space="preserve">The proposed amendments to Rule 69 clarify that even if enforcement of a judgment is stayed on appeal, the superior court may permit discovery if the amount of any posted security does not cover the total amount of the monetary judgment (meaning that the judgment creditor is under-secured), or if the discovery is otherwise necessary to protect the appellee’s interests while the appeal is pending. </w:t>
      </w:r>
    </w:p>
    <w:p w:rsidR="00AA59C3" w:rsidRDefault="00AA59C3" w:rsidP="00AA59C3">
      <w:pPr>
        <w:pStyle w:val="PleadingPhL2"/>
        <w:rPr>
          <w:szCs w:val="28"/>
        </w:rPr>
      </w:pPr>
      <w:r>
        <w:rPr>
          <w:szCs w:val="28"/>
        </w:rPr>
        <w:t>CONCLUSION</w:t>
      </w:r>
    </w:p>
    <w:p w:rsidR="00AA59C3" w:rsidRPr="00AA59C3" w:rsidRDefault="00AA59C3" w:rsidP="00AA59C3">
      <w:pPr>
        <w:pStyle w:val="BodyText"/>
        <w:rPr>
          <w:lang w:eastAsia="zh-CN"/>
        </w:rPr>
      </w:pPr>
    </w:p>
    <w:p w:rsidR="000F7A7F" w:rsidRPr="00231818" w:rsidRDefault="00AA59C3" w:rsidP="00231818">
      <w:pPr>
        <w:pStyle w:val="BodyText"/>
        <w:spacing w:line="480" w:lineRule="auto"/>
        <w:jc w:val="both"/>
        <w:rPr>
          <w:sz w:val="28"/>
          <w:szCs w:val="28"/>
        </w:rPr>
      </w:pPr>
      <w:r>
        <w:rPr>
          <w:sz w:val="28"/>
          <w:szCs w:val="28"/>
        </w:rPr>
        <w:tab/>
      </w:r>
      <w:r w:rsidRPr="00866171">
        <w:rPr>
          <w:sz w:val="28"/>
          <w:szCs w:val="28"/>
        </w:rPr>
        <w:t xml:space="preserve">For the foregoing reasons, the State Bar respectfully petitions this Court to amend ARCAP 7 and Rules 62 and 69 as set forth in the attached Appendices.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8405E">
          <w:rPr>
            <w:noProof/>
            <w:sz w:val="26"/>
            <w:szCs w:val="26"/>
          </w:rPr>
          <w:t>14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AA59C3" w:rsidRPr="00866171" w:rsidRDefault="00AA59C3" w:rsidP="00AA59C3">
      <w:pPr>
        <w:pStyle w:val="FootnoteText"/>
        <w:jc w:val="both"/>
        <w:rPr>
          <w:sz w:val="28"/>
          <w:szCs w:val="28"/>
        </w:rPr>
      </w:pPr>
      <w:r w:rsidRPr="00866171">
        <w:rPr>
          <w:rStyle w:val="FootnoteReference"/>
          <w:sz w:val="28"/>
          <w:szCs w:val="28"/>
        </w:rPr>
        <w:footnoteRef/>
      </w:r>
      <w:r w:rsidRPr="00866171">
        <w:rPr>
          <w:sz w:val="28"/>
          <w:szCs w:val="28"/>
        </w:rPr>
        <w:t xml:space="preserve"> The Court of Appeals relied on the statutory language of Section 12-2108, which provides that its bond limits apply “[</w:t>
      </w:r>
      <w:proofErr w:type="spellStart"/>
      <w:r w:rsidRPr="00866171">
        <w:rPr>
          <w:sz w:val="28"/>
          <w:szCs w:val="28"/>
        </w:rPr>
        <w:t>i</w:t>
      </w:r>
      <w:proofErr w:type="spellEnd"/>
      <w:r w:rsidRPr="00866171">
        <w:rPr>
          <w:sz w:val="28"/>
          <w:szCs w:val="28"/>
        </w:rPr>
        <w:t>]f a plaintiff in any civil action obtains a judgment under any legal theory.”  It also cited portions of the legislative history explaining that civil actions “can involve . . . family law issues, such as divorce.”</w:t>
      </w:r>
    </w:p>
  </w:footnote>
  <w:footnote w:id="2">
    <w:p w:rsidR="00AA59C3" w:rsidRPr="00866171" w:rsidRDefault="00AA59C3" w:rsidP="00AA59C3">
      <w:pPr>
        <w:pStyle w:val="FootnoteText"/>
        <w:jc w:val="both"/>
        <w:rPr>
          <w:sz w:val="28"/>
          <w:szCs w:val="28"/>
        </w:rPr>
      </w:pPr>
      <w:r w:rsidRPr="00866171">
        <w:rPr>
          <w:rStyle w:val="FootnoteReference"/>
          <w:sz w:val="28"/>
          <w:szCs w:val="28"/>
        </w:rPr>
        <w:footnoteRef/>
      </w:r>
      <w:r w:rsidRPr="00866171">
        <w:rPr>
          <w:sz w:val="28"/>
          <w:szCs w:val="28"/>
        </w:rPr>
        <w:t xml:space="preserve"> Before filing this Petition, the State Bar sought input from interested groups, including the Bar’s appellate and family law sections, and the Arizona Chamber of Commerce &amp; Industry (“Chamber”). The Chamber has indicated that it may comment on the Petition as part of the rule petition process.</w:t>
      </w:r>
    </w:p>
  </w:footnote>
  <w:footnote w:id="3">
    <w:p w:rsidR="00AA59C3" w:rsidRDefault="00AA59C3" w:rsidP="00AA59C3">
      <w:pPr>
        <w:pStyle w:val="FootnoteText"/>
        <w:spacing w:before="240"/>
        <w:jc w:val="both"/>
      </w:pPr>
      <w:r w:rsidRPr="00866171">
        <w:rPr>
          <w:rStyle w:val="FootnoteReference"/>
          <w:sz w:val="28"/>
          <w:szCs w:val="28"/>
        </w:rPr>
        <w:footnoteRef/>
      </w:r>
      <w:r w:rsidRPr="00866171">
        <w:rPr>
          <w:sz w:val="28"/>
          <w:szCs w:val="28"/>
        </w:rPr>
        <w:t xml:space="preserve"> To the extent that the proposed change to ARCAP 7(a</w:t>
      </w:r>
      <w:proofErr w:type="gramStart"/>
      <w:r w:rsidRPr="00866171">
        <w:rPr>
          <w:sz w:val="28"/>
          <w:szCs w:val="28"/>
        </w:rPr>
        <w:t>)(</w:t>
      </w:r>
      <w:proofErr w:type="gramEnd"/>
      <w:r w:rsidRPr="00866171">
        <w:rPr>
          <w:sz w:val="28"/>
          <w:szCs w:val="28"/>
        </w:rPr>
        <w:t>4) clarifies a statutory ambiguity and is consistent with the legislative history, a statutory amendment may not strictly be necessary. Nevertheless, a conforming statutory change to clarify the types of monetary awards that may be included in computing the bond amount—as provided in the proposed rule change</w:t>
      </w:r>
      <w:r w:rsidRPr="00866171">
        <w:rPr>
          <w:sz w:val="28"/>
          <w:szCs w:val="28"/>
        </w:rPr>
        <w:softHyphen/>
      </w:r>
      <w:r w:rsidRPr="00866171">
        <w:rPr>
          <w:sz w:val="28"/>
          <w:szCs w:val="28"/>
        </w:rPr>
        <w:softHyphen/>
      </w:r>
      <w:r w:rsidRPr="00866171">
        <w:rPr>
          <w:sz w:val="28"/>
          <w:szCs w:val="28"/>
        </w:rPr>
        <w:softHyphen/>
      </w:r>
      <w:r w:rsidRPr="00866171">
        <w:rPr>
          <w:sz w:val="28"/>
          <w:szCs w:val="28"/>
        </w:rPr>
        <w:softHyphen/>
      </w:r>
      <w:r w:rsidRPr="00866171">
        <w:rPr>
          <w:sz w:val="28"/>
          <w:szCs w:val="28"/>
        </w:rPr>
        <w:softHyphen/>
      </w:r>
      <w:r w:rsidRPr="00866171">
        <w:rPr>
          <w:sz w:val="28"/>
          <w:szCs w:val="28"/>
        </w:rPr>
        <w:softHyphen/>
      </w:r>
      <w:r w:rsidRPr="00866171">
        <w:rPr>
          <w:sz w:val="28"/>
          <w:szCs w:val="28"/>
        </w:rPr>
        <w:softHyphen/>
      </w:r>
      <w:r w:rsidRPr="00866171">
        <w:rPr>
          <w:sz w:val="28"/>
          <w:szCs w:val="28"/>
        </w:rPr>
        <w:softHyphen/>
        <w:t>—would eliminate any potential conflict or ambiguity.</w:t>
      </w:r>
      <w:r>
        <w:t xml:space="preserve"> </w:t>
      </w:r>
    </w:p>
  </w:footnote>
  <w:footnote w:id="4">
    <w:p w:rsidR="00AA59C3" w:rsidRPr="00866171" w:rsidRDefault="00AA59C3" w:rsidP="00AA59C3">
      <w:pPr>
        <w:pStyle w:val="FootnoteText"/>
        <w:jc w:val="both"/>
        <w:rPr>
          <w:sz w:val="28"/>
          <w:szCs w:val="28"/>
        </w:rPr>
      </w:pPr>
      <w:r w:rsidRPr="00866171">
        <w:rPr>
          <w:rStyle w:val="FootnoteReference"/>
          <w:sz w:val="28"/>
          <w:szCs w:val="28"/>
        </w:rPr>
        <w:footnoteRef/>
      </w:r>
      <w:r w:rsidRPr="00866171">
        <w:rPr>
          <w:sz w:val="28"/>
          <w:szCs w:val="28"/>
        </w:rPr>
        <w:t xml:space="preserve"> The pending changes to Fed. R. Civ. P. 62 and Fed. R. App. P. 8(b) eliminate the term “</w:t>
      </w:r>
      <w:proofErr w:type="spellStart"/>
      <w:r w:rsidRPr="00866171">
        <w:rPr>
          <w:sz w:val="28"/>
          <w:szCs w:val="28"/>
        </w:rPr>
        <w:t>supersedeas</w:t>
      </w:r>
      <w:proofErr w:type="spellEnd"/>
      <w:r w:rsidRPr="00866171">
        <w:rPr>
          <w:sz w:val="28"/>
          <w:szCs w:val="28"/>
        </w:rPr>
        <w:t xml:space="preserve"> bond” as “antiquated” and “too limiting,” replacing it with the phrase “bond or other security.” Because the term “</w:t>
      </w:r>
      <w:proofErr w:type="spellStart"/>
      <w:r w:rsidRPr="00866171">
        <w:rPr>
          <w:sz w:val="28"/>
          <w:szCs w:val="28"/>
        </w:rPr>
        <w:t>supersedeas</w:t>
      </w:r>
      <w:proofErr w:type="spellEnd"/>
      <w:r w:rsidRPr="00866171">
        <w:rPr>
          <w:sz w:val="28"/>
          <w:szCs w:val="28"/>
        </w:rPr>
        <w:t xml:space="preserve"> bond” has a long history of use in Arizona and appears throughout ARCAP 7, the State Bar’s proposal retains the term, while at the same time clarifying that other types of security may be ordered. </w:t>
      </w:r>
    </w:p>
  </w:footnote>
  <w:footnote w:id="5">
    <w:p w:rsidR="00AA59C3" w:rsidRDefault="00AA59C3" w:rsidP="00AA59C3">
      <w:pPr>
        <w:pStyle w:val="FootnoteText"/>
        <w:spacing w:before="240"/>
        <w:jc w:val="both"/>
      </w:pPr>
      <w:r w:rsidRPr="00866171">
        <w:rPr>
          <w:rStyle w:val="FootnoteReference"/>
          <w:sz w:val="28"/>
          <w:szCs w:val="28"/>
        </w:rPr>
        <w:footnoteRef/>
      </w:r>
      <w:r w:rsidRPr="00866171">
        <w:rPr>
          <w:sz w:val="28"/>
          <w:szCs w:val="28"/>
        </w:rPr>
        <w:t xml:space="preserve"> The stay period corresponds to the former federal time limit of 14 days for motions brought under Federal Rules of Civil Procedure 50, 52, or 59. The pending federal amendments will increase the stay period to 30 days.</w:t>
      </w:r>
    </w:p>
  </w:footnote>
  <w:footnote w:id="6">
    <w:p w:rsidR="00AA59C3" w:rsidRPr="00866171" w:rsidRDefault="00AA59C3" w:rsidP="00AA59C3">
      <w:pPr>
        <w:pStyle w:val="FootnoteText"/>
        <w:spacing w:before="240"/>
        <w:jc w:val="both"/>
        <w:rPr>
          <w:sz w:val="28"/>
          <w:szCs w:val="28"/>
        </w:rPr>
      </w:pPr>
      <w:r w:rsidRPr="00866171">
        <w:rPr>
          <w:rStyle w:val="FootnoteReference"/>
          <w:sz w:val="28"/>
          <w:szCs w:val="28"/>
        </w:rPr>
        <w:footnoteRef/>
      </w:r>
      <w:r w:rsidRPr="00866171">
        <w:rPr>
          <w:sz w:val="28"/>
          <w:szCs w:val="28"/>
        </w:rPr>
        <w:t xml:space="preserve"> This issue was the subject of a Petition for Review filed with the Arizona Supreme Court in </w:t>
      </w:r>
      <w:r w:rsidRPr="00866171">
        <w:rPr>
          <w:i/>
          <w:iCs/>
          <w:sz w:val="28"/>
          <w:szCs w:val="28"/>
        </w:rPr>
        <w:t xml:space="preserve">Hubbard v. </w:t>
      </w:r>
      <w:proofErr w:type="spellStart"/>
      <w:r w:rsidRPr="00866171">
        <w:rPr>
          <w:i/>
          <w:iCs/>
          <w:sz w:val="28"/>
          <w:szCs w:val="28"/>
        </w:rPr>
        <w:t>Trebesch</w:t>
      </w:r>
      <w:proofErr w:type="spellEnd"/>
      <w:r w:rsidRPr="00866171">
        <w:rPr>
          <w:iCs/>
          <w:sz w:val="28"/>
          <w:szCs w:val="28"/>
        </w:rPr>
        <w:t>,</w:t>
      </w:r>
      <w:r w:rsidRPr="00866171">
        <w:rPr>
          <w:i/>
          <w:iCs/>
          <w:sz w:val="28"/>
          <w:szCs w:val="28"/>
        </w:rPr>
        <w:t xml:space="preserve"> </w:t>
      </w:r>
      <w:r w:rsidRPr="00866171">
        <w:rPr>
          <w:sz w:val="28"/>
          <w:szCs w:val="28"/>
        </w:rPr>
        <w:t>CV-16-0238-PR, but the Court denied review on March 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66"/>
    <w:multiLevelType w:val="multilevel"/>
    <w:tmpl w:val="8112202E"/>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b/>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31818"/>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A59C3"/>
    <w:rsid w:val="00AF282C"/>
    <w:rsid w:val="00AF3FF7"/>
    <w:rsid w:val="00B1491D"/>
    <w:rsid w:val="00B47B7D"/>
    <w:rsid w:val="00C03E0F"/>
    <w:rsid w:val="00C52E56"/>
    <w:rsid w:val="00C5407A"/>
    <w:rsid w:val="00C662B0"/>
    <w:rsid w:val="00C72458"/>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405E"/>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rsid w:val="00AA59C3"/>
    <w:pPr>
      <w:keepNext/>
      <w:numPr>
        <w:numId w:val="15"/>
      </w:numPr>
      <w:spacing w:before="240" w:after="0" w:line="240" w:lineRule="exact"/>
      <w:jc w:val="center"/>
      <w:outlineLvl w:val="0"/>
    </w:pPr>
    <w:rPr>
      <w:b/>
      <w:sz w:val="28"/>
      <w:lang w:eastAsia="zh-CN"/>
    </w:rPr>
  </w:style>
  <w:style w:type="paragraph" w:customStyle="1" w:styleId="PleadingPhL2">
    <w:name w:val="PleadingPh_L2"/>
    <w:basedOn w:val="BodyText"/>
    <w:next w:val="BodyText"/>
    <w:link w:val="PleadingPhL2Char"/>
    <w:rsid w:val="00AA59C3"/>
    <w:pPr>
      <w:keepNext/>
      <w:numPr>
        <w:ilvl w:val="1"/>
        <w:numId w:val="15"/>
      </w:numPr>
      <w:spacing w:before="240" w:after="0" w:line="240" w:lineRule="exact"/>
      <w:jc w:val="both"/>
      <w:outlineLvl w:val="1"/>
    </w:pPr>
    <w:rPr>
      <w:b/>
      <w:caps/>
      <w:sz w:val="28"/>
      <w:lang w:eastAsia="zh-CN"/>
    </w:rPr>
  </w:style>
  <w:style w:type="character" w:customStyle="1" w:styleId="PleadingPhL2Char">
    <w:name w:val="PleadingPh_L2 Char"/>
    <w:link w:val="PleadingPhL2"/>
    <w:rsid w:val="00AA59C3"/>
    <w:rPr>
      <w:b/>
      <w:caps/>
      <w:sz w:val="28"/>
      <w:lang w:eastAsia="zh-CN"/>
    </w:rPr>
  </w:style>
  <w:style w:type="paragraph" w:customStyle="1" w:styleId="PleadingPhL3">
    <w:name w:val="PleadingPh_L3"/>
    <w:basedOn w:val="BodyText"/>
    <w:next w:val="BodyText"/>
    <w:link w:val="PleadingPhL3Char"/>
    <w:rsid w:val="00AA59C3"/>
    <w:pPr>
      <w:keepNext/>
      <w:numPr>
        <w:ilvl w:val="2"/>
        <w:numId w:val="15"/>
      </w:numPr>
      <w:spacing w:before="240" w:after="0" w:line="240" w:lineRule="exact"/>
      <w:jc w:val="both"/>
      <w:outlineLvl w:val="2"/>
    </w:pPr>
    <w:rPr>
      <w:b/>
      <w:sz w:val="28"/>
      <w:lang w:eastAsia="zh-CN"/>
    </w:rPr>
  </w:style>
  <w:style w:type="character" w:customStyle="1" w:styleId="PleadingPhL3Char">
    <w:name w:val="PleadingPh_L3 Char"/>
    <w:link w:val="PleadingPhL3"/>
    <w:rsid w:val="00AA59C3"/>
    <w:rPr>
      <w:b/>
      <w:sz w:val="28"/>
      <w:lang w:eastAsia="zh-CN"/>
    </w:rPr>
  </w:style>
  <w:style w:type="paragraph" w:customStyle="1" w:styleId="PleadingPhL4">
    <w:name w:val="PleadingPh_L4"/>
    <w:basedOn w:val="BodyText"/>
    <w:next w:val="BodyText"/>
    <w:link w:val="PleadingPhL4Char"/>
    <w:rsid w:val="00AA59C3"/>
    <w:pPr>
      <w:keepNext/>
      <w:numPr>
        <w:ilvl w:val="3"/>
        <w:numId w:val="15"/>
      </w:numPr>
      <w:spacing w:before="240" w:after="0" w:line="240" w:lineRule="exact"/>
      <w:outlineLvl w:val="3"/>
    </w:pPr>
    <w:rPr>
      <w:b/>
      <w:sz w:val="28"/>
      <w:lang w:eastAsia="zh-CN"/>
    </w:rPr>
  </w:style>
  <w:style w:type="character" w:customStyle="1" w:styleId="PleadingPhL4Char">
    <w:name w:val="PleadingPh_L4 Char"/>
    <w:link w:val="PleadingPhL4"/>
    <w:rsid w:val="00AA59C3"/>
    <w:rPr>
      <w:b/>
      <w:sz w:val="28"/>
      <w:lang w:eastAsia="zh-CN"/>
    </w:rPr>
  </w:style>
  <w:style w:type="paragraph" w:customStyle="1" w:styleId="PleadingPhL5">
    <w:name w:val="PleadingPh_L5"/>
    <w:basedOn w:val="BodyText"/>
    <w:next w:val="BodyText"/>
    <w:rsid w:val="00AA59C3"/>
    <w:pPr>
      <w:keepNext/>
      <w:numPr>
        <w:ilvl w:val="4"/>
        <w:numId w:val="15"/>
      </w:numPr>
      <w:spacing w:before="240" w:after="0" w:line="240" w:lineRule="exact"/>
      <w:outlineLvl w:val="4"/>
    </w:pPr>
    <w:rPr>
      <w:b/>
      <w:sz w:val="28"/>
      <w:lang w:eastAsia="zh-CN"/>
    </w:rPr>
  </w:style>
  <w:style w:type="paragraph" w:customStyle="1" w:styleId="PleadingPhL6">
    <w:name w:val="PleadingPh_L6"/>
    <w:basedOn w:val="BodyText"/>
    <w:next w:val="BodyText"/>
    <w:rsid w:val="00AA59C3"/>
    <w:pPr>
      <w:keepNext/>
      <w:numPr>
        <w:ilvl w:val="5"/>
        <w:numId w:val="15"/>
      </w:numPr>
      <w:spacing w:before="240" w:after="0" w:line="240" w:lineRule="exact"/>
      <w:outlineLvl w:val="5"/>
    </w:pPr>
    <w:rPr>
      <w:b/>
      <w:sz w:val="28"/>
      <w:lang w:eastAsia="zh-CN"/>
    </w:rPr>
  </w:style>
  <w:style w:type="paragraph" w:customStyle="1" w:styleId="PleadingPhL7">
    <w:name w:val="PleadingPh_L7"/>
    <w:basedOn w:val="Normal"/>
    <w:next w:val="BodyText"/>
    <w:rsid w:val="00AA59C3"/>
    <w:pPr>
      <w:keepNext/>
      <w:numPr>
        <w:ilvl w:val="6"/>
        <w:numId w:val="15"/>
      </w:numPr>
      <w:spacing w:before="240" w:line="240" w:lineRule="exact"/>
      <w:outlineLvl w:val="6"/>
    </w:pPr>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3927-06ED-4B57-8BCE-A61EA9B5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14</Pages>
  <Words>2475</Words>
  <Characters>13180</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2018-01-08T22:05:00Z</dcterms:created>
  <dcterms:modified xsi:type="dcterms:W3CDTF">2018-01-08T22:06:00Z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