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1EF" w:rsidRPr="00AB55F8" w:rsidRDefault="00C931EF" w:rsidP="00C931EF">
      <w:pPr>
        <w:rPr>
          <w:sz w:val="28"/>
          <w:szCs w:val="28"/>
        </w:rPr>
      </w:pPr>
      <w:r w:rsidRPr="00AB55F8">
        <w:rPr>
          <w:sz w:val="28"/>
          <w:szCs w:val="28"/>
        </w:rPr>
        <w:t>David K. Byers</w:t>
      </w:r>
    </w:p>
    <w:p w:rsidR="00C931EF" w:rsidRPr="00AB55F8" w:rsidRDefault="00C931EF" w:rsidP="00C931EF">
      <w:pPr>
        <w:rPr>
          <w:sz w:val="28"/>
          <w:szCs w:val="28"/>
        </w:rPr>
      </w:pPr>
      <w:r w:rsidRPr="00AB55F8">
        <w:rPr>
          <w:sz w:val="28"/>
          <w:szCs w:val="28"/>
        </w:rPr>
        <w:t>Administrative Director</w:t>
      </w:r>
    </w:p>
    <w:p w:rsidR="00C931EF" w:rsidRPr="00AB55F8" w:rsidRDefault="00C931EF" w:rsidP="00C931EF">
      <w:pPr>
        <w:rPr>
          <w:sz w:val="28"/>
          <w:szCs w:val="28"/>
        </w:rPr>
      </w:pPr>
      <w:r w:rsidRPr="00AB55F8">
        <w:rPr>
          <w:sz w:val="28"/>
          <w:szCs w:val="28"/>
        </w:rPr>
        <w:t>Administrative Office of the Courts</w:t>
      </w:r>
    </w:p>
    <w:p w:rsidR="00C931EF" w:rsidRPr="00AB55F8" w:rsidRDefault="00C931EF" w:rsidP="00C931EF">
      <w:pPr>
        <w:rPr>
          <w:sz w:val="28"/>
          <w:szCs w:val="28"/>
        </w:rPr>
      </w:pPr>
      <w:r w:rsidRPr="00AB55F8">
        <w:rPr>
          <w:sz w:val="28"/>
          <w:szCs w:val="28"/>
        </w:rPr>
        <w:t>1501 W. Washington, Suite 411</w:t>
      </w:r>
    </w:p>
    <w:p w:rsidR="00C931EF" w:rsidRPr="00AB55F8" w:rsidRDefault="00C931EF" w:rsidP="00C931EF">
      <w:pPr>
        <w:rPr>
          <w:sz w:val="28"/>
          <w:szCs w:val="28"/>
        </w:rPr>
      </w:pPr>
      <w:r w:rsidRPr="00AB55F8">
        <w:rPr>
          <w:sz w:val="28"/>
          <w:szCs w:val="28"/>
        </w:rPr>
        <w:t>Phoenix, AZ  85007</w:t>
      </w:r>
    </w:p>
    <w:p w:rsidR="00C931EF" w:rsidRPr="00AB55F8" w:rsidRDefault="00C931EF" w:rsidP="00C931EF">
      <w:pPr>
        <w:rPr>
          <w:sz w:val="28"/>
          <w:szCs w:val="28"/>
        </w:rPr>
      </w:pPr>
      <w:r w:rsidRPr="00AB55F8">
        <w:rPr>
          <w:sz w:val="28"/>
          <w:szCs w:val="28"/>
        </w:rPr>
        <w:t>(602) 452-3301</w:t>
      </w:r>
    </w:p>
    <w:p w:rsidR="00C931EF" w:rsidRPr="00AB55F8" w:rsidRDefault="00C931EF" w:rsidP="00C931EF">
      <w:pPr>
        <w:rPr>
          <w:sz w:val="28"/>
          <w:szCs w:val="28"/>
        </w:rPr>
      </w:pPr>
      <w:r w:rsidRPr="00AB55F8">
        <w:rPr>
          <w:sz w:val="28"/>
          <w:szCs w:val="28"/>
        </w:rPr>
        <w:t>Projects2@courts.az.gov</w:t>
      </w:r>
    </w:p>
    <w:p w:rsidR="00AE5191" w:rsidRPr="00AB55F8" w:rsidRDefault="00AE5191" w:rsidP="00C931EF">
      <w:pPr>
        <w:rPr>
          <w:sz w:val="28"/>
          <w:szCs w:val="28"/>
        </w:rPr>
      </w:pPr>
    </w:p>
    <w:p w:rsidR="00C931EF" w:rsidRPr="00AB55F8"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IN THE SUPREME COURT</w:t>
      </w:r>
    </w:p>
    <w:p w:rsidR="000468C5" w:rsidRPr="00AE5191"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STATE OF ARIZONA</w:t>
      </w:r>
    </w:p>
    <w:p w:rsidR="004226BE" w:rsidRDefault="004226BE" w:rsidP="00C931EF">
      <w:pPr>
        <w:tabs>
          <w:tab w:val="left" w:pos="4320"/>
        </w:tabs>
        <w:rPr>
          <w:sz w:val="28"/>
          <w:szCs w:val="28"/>
        </w:rPr>
      </w:pPr>
    </w:p>
    <w:p w:rsidR="00C931EF" w:rsidRDefault="00367ECD" w:rsidP="00C931EF">
      <w:pPr>
        <w:tabs>
          <w:tab w:val="left" w:pos="4320"/>
        </w:tabs>
        <w:rPr>
          <w:sz w:val="28"/>
          <w:szCs w:val="28"/>
        </w:rPr>
      </w:pPr>
      <w:r>
        <w:rPr>
          <w:sz w:val="28"/>
          <w:szCs w:val="28"/>
        </w:rPr>
        <w:t>In the Matter of</w:t>
      </w:r>
      <w:r w:rsidR="00893454">
        <w:rPr>
          <w:sz w:val="28"/>
          <w:szCs w:val="28"/>
        </w:rPr>
        <w:tab/>
        <w:t>)</w:t>
      </w:r>
    </w:p>
    <w:p w:rsidR="00F74766" w:rsidRDefault="00F74766" w:rsidP="00C931EF">
      <w:pPr>
        <w:tabs>
          <w:tab w:val="left" w:pos="4320"/>
        </w:tabs>
        <w:rPr>
          <w:sz w:val="28"/>
          <w:szCs w:val="28"/>
        </w:rPr>
      </w:pPr>
      <w:r>
        <w:rPr>
          <w:sz w:val="28"/>
          <w:szCs w:val="28"/>
        </w:rPr>
        <w:tab/>
        <w:t>)</w:t>
      </w:r>
    </w:p>
    <w:p w:rsidR="00893454" w:rsidRDefault="00893454" w:rsidP="00C931EF">
      <w:pPr>
        <w:tabs>
          <w:tab w:val="left" w:pos="4320"/>
        </w:tabs>
        <w:rPr>
          <w:sz w:val="28"/>
          <w:szCs w:val="28"/>
        </w:rPr>
      </w:pPr>
      <w:r>
        <w:rPr>
          <w:sz w:val="28"/>
          <w:szCs w:val="28"/>
        </w:rPr>
        <w:t xml:space="preserve">PETITION TO AMEND RULES </w:t>
      </w:r>
      <w:r>
        <w:rPr>
          <w:sz w:val="28"/>
          <w:szCs w:val="28"/>
        </w:rPr>
        <w:tab/>
        <w:t>)</w:t>
      </w:r>
    </w:p>
    <w:p w:rsidR="00367ECD" w:rsidRDefault="00893454" w:rsidP="00C931EF">
      <w:pPr>
        <w:tabs>
          <w:tab w:val="left" w:pos="4320"/>
        </w:tabs>
        <w:rPr>
          <w:sz w:val="28"/>
          <w:szCs w:val="28"/>
        </w:rPr>
      </w:pPr>
      <w:r>
        <w:rPr>
          <w:sz w:val="28"/>
          <w:szCs w:val="28"/>
        </w:rPr>
        <w:t>11.5 and 11.</w:t>
      </w:r>
      <w:r w:rsidR="009C7E0D">
        <w:rPr>
          <w:sz w:val="28"/>
          <w:szCs w:val="28"/>
        </w:rPr>
        <w:t>6</w:t>
      </w:r>
      <w:r>
        <w:rPr>
          <w:sz w:val="28"/>
          <w:szCs w:val="28"/>
        </w:rPr>
        <w:t xml:space="preserve"> </w:t>
      </w:r>
      <w:r w:rsidR="00A4421B">
        <w:rPr>
          <w:sz w:val="28"/>
          <w:szCs w:val="28"/>
        </w:rPr>
        <w:t>OF THE ARIZONA</w:t>
      </w:r>
      <w:r w:rsidR="00367ECD">
        <w:rPr>
          <w:sz w:val="28"/>
          <w:szCs w:val="28"/>
        </w:rPr>
        <w:tab/>
        <w:t>)</w:t>
      </w:r>
      <w:r w:rsidR="00367ECD">
        <w:rPr>
          <w:sz w:val="28"/>
          <w:szCs w:val="28"/>
        </w:rPr>
        <w:tab/>
        <w:t>Supreme Court No.</w:t>
      </w:r>
      <w:r w:rsidR="00F74766">
        <w:rPr>
          <w:sz w:val="28"/>
          <w:szCs w:val="28"/>
        </w:rPr>
        <w:t xml:space="preserve"> R-18-</w:t>
      </w:r>
      <w:r w:rsidR="009C6A75">
        <w:rPr>
          <w:sz w:val="28"/>
          <w:szCs w:val="28"/>
        </w:rPr>
        <w:t>____</w:t>
      </w:r>
    </w:p>
    <w:p w:rsidR="00367ECD" w:rsidRDefault="004656AB" w:rsidP="00C931EF">
      <w:pPr>
        <w:tabs>
          <w:tab w:val="left" w:pos="4320"/>
        </w:tabs>
        <w:rPr>
          <w:sz w:val="28"/>
          <w:szCs w:val="28"/>
        </w:rPr>
      </w:pPr>
      <w:r>
        <w:rPr>
          <w:sz w:val="28"/>
          <w:szCs w:val="28"/>
        </w:rPr>
        <w:t>RULES OF</w:t>
      </w:r>
      <w:r w:rsidR="00A4421B">
        <w:rPr>
          <w:sz w:val="28"/>
          <w:szCs w:val="28"/>
        </w:rPr>
        <w:t xml:space="preserve"> CRIMINAL </w:t>
      </w:r>
      <w:r w:rsidR="00367ECD">
        <w:rPr>
          <w:sz w:val="28"/>
          <w:szCs w:val="28"/>
        </w:rPr>
        <w:tab/>
        <w:t>)</w:t>
      </w:r>
      <w:r w:rsidR="00367ECD">
        <w:rPr>
          <w:sz w:val="28"/>
          <w:szCs w:val="28"/>
        </w:rPr>
        <w:tab/>
      </w:r>
    </w:p>
    <w:p w:rsidR="00367ECD" w:rsidRDefault="004656AB" w:rsidP="00C931EF">
      <w:pPr>
        <w:tabs>
          <w:tab w:val="left" w:pos="4320"/>
        </w:tabs>
        <w:rPr>
          <w:sz w:val="28"/>
          <w:szCs w:val="28"/>
        </w:rPr>
      </w:pPr>
      <w:r>
        <w:rPr>
          <w:sz w:val="28"/>
          <w:szCs w:val="28"/>
        </w:rPr>
        <w:t>PROCEDURE</w:t>
      </w:r>
      <w:r w:rsidR="00367ECD">
        <w:rPr>
          <w:sz w:val="28"/>
          <w:szCs w:val="28"/>
        </w:rPr>
        <w:tab/>
        <w:t>)</w:t>
      </w:r>
    </w:p>
    <w:p w:rsidR="002F6CDD" w:rsidRDefault="002F6CDD" w:rsidP="00C931EF">
      <w:pPr>
        <w:tabs>
          <w:tab w:val="left" w:pos="4320"/>
        </w:tabs>
        <w:rPr>
          <w:sz w:val="28"/>
          <w:szCs w:val="28"/>
        </w:rPr>
      </w:pPr>
      <w:r>
        <w:rPr>
          <w:sz w:val="28"/>
          <w:szCs w:val="28"/>
        </w:rPr>
        <w:t>_______________________________)</w:t>
      </w:r>
    </w:p>
    <w:p w:rsidR="00367ECD" w:rsidRDefault="00367ECD" w:rsidP="00C931EF">
      <w:pPr>
        <w:tabs>
          <w:tab w:val="left" w:pos="4320"/>
        </w:tabs>
        <w:rPr>
          <w:sz w:val="28"/>
          <w:szCs w:val="28"/>
        </w:rPr>
      </w:pPr>
    </w:p>
    <w:p w:rsidR="00766541" w:rsidRPr="00AB55F8" w:rsidRDefault="00766541" w:rsidP="00C931EF">
      <w:pPr>
        <w:tabs>
          <w:tab w:val="left" w:pos="4320"/>
        </w:tabs>
        <w:rPr>
          <w:sz w:val="28"/>
          <w:szCs w:val="28"/>
        </w:rPr>
      </w:pPr>
    </w:p>
    <w:p w:rsidR="006C0C5A" w:rsidRDefault="00C931EF" w:rsidP="00974A48">
      <w:pPr>
        <w:spacing w:line="480" w:lineRule="auto"/>
        <w:ind w:firstLine="720"/>
        <w:jc w:val="both"/>
        <w:rPr>
          <w:sz w:val="28"/>
          <w:szCs w:val="28"/>
        </w:rPr>
      </w:pPr>
      <w:r>
        <w:rPr>
          <w:sz w:val="28"/>
          <w:szCs w:val="28"/>
        </w:rPr>
        <w:t xml:space="preserve">Pursuant to Rule 28 of the Arizona Supreme Court, David K. Byers, Administrative Director, Administrative Office of the Courts, </w:t>
      </w:r>
      <w:r w:rsidR="00367ECD">
        <w:rPr>
          <w:sz w:val="28"/>
          <w:szCs w:val="28"/>
        </w:rPr>
        <w:t xml:space="preserve">and Chair of the Supreme Court Task Force on Fair Justice for All: </w:t>
      </w:r>
      <w:r w:rsidR="00766541">
        <w:rPr>
          <w:sz w:val="28"/>
          <w:szCs w:val="28"/>
        </w:rPr>
        <w:t xml:space="preserve"> </w:t>
      </w:r>
      <w:r w:rsidR="00367ECD">
        <w:rPr>
          <w:sz w:val="28"/>
          <w:szCs w:val="28"/>
        </w:rPr>
        <w:t>Court-Ordered Fines, Penalties, Fees, and Pretrial Release Policies (“</w:t>
      </w:r>
      <w:r w:rsidR="004A1C5F">
        <w:rPr>
          <w:sz w:val="28"/>
          <w:szCs w:val="28"/>
        </w:rPr>
        <w:t xml:space="preserve">the </w:t>
      </w:r>
      <w:r w:rsidR="00367ECD">
        <w:rPr>
          <w:sz w:val="28"/>
          <w:szCs w:val="28"/>
        </w:rPr>
        <w:t xml:space="preserve">Task Force”) </w:t>
      </w:r>
      <w:r>
        <w:rPr>
          <w:sz w:val="28"/>
          <w:szCs w:val="28"/>
        </w:rPr>
        <w:t xml:space="preserve">respectfully petitions this Court to amend </w:t>
      </w:r>
      <w:r w:rsidR="00D33F38">
        <w:rPr>
          <w:sz w:val="28"/>
          <w:szCs w:val="28"/>
        </w:rPr>
        <w:t>Rule</w:t>
      </w:r>
      <w:r w:rsidR="00234868">
        <w:rPr>
          <w:sz w:val="28"/>
          <w:szCs w:val="28"/>
        </w:rPr>
        <w:t xml:space="preserve">s </w:t>
      </w:r>
      <w:r w:rsidR="00893454">
        <w:rPr>
          <w:sz w:val="28"/>
          <w:szCs w:val="28"/>
        </w:rPr>
        <w:t>11.5 and 11.6 of</w:t>
      </w:r>
      <w:r w:rsidR="00367ECD">
        <w:rPr>
          <w:sz w:val="28"/>
          <w:szCs w:val="28"/>
        </w:rPr>
        <w:t xml:space="preserve"> </w:t>
      </w:r>
      <w:r w:rsidR="004656AB">
        <w:rPr>
          <w:sz w:val="28"/>
          <w:szCs w:val="28"/>
        </w:rPr>
        <w:t>the Rules of Criminal Procedure</w:t>
      </w:r>
      <w:r w:rsidR="00234868">
        <w:rPr>
          <w:sz w:val="28"/>
          <w:szCs w:val="28"/>
        </w:rPr>
        <w:t>.</w:t>
      </w:r>
      <w:r w:rsidR="004C0AE1">
        <w:rPr>
          <w:sz w:val="28"/>
          <w:szCs w:val="28"/>
        </w:rPr>
        <w:t xml:space="preserve">  The amendments to Rules 11.5 and 11.6 are set forth in Appendix A.</w:t>
      </w:r>
    </w:p>
    <w:p w:rsidR="006C0C5A" w:rsidRDefault="00234868" w:rsidP="00974A48">
      <w:pPr>
        <w:spacing w:line="480" w:lineRule="auto"/>
        <w:ind w:firstLine="720"/>
        <w:jc w:val="both"/>
        <w:rPr>
          <w:sz w:val="28"/>
          <w:szCs w:val="28"/>
        </w:rPr>
      </w:pPr>
      <w:r>
        <w:rPr>
          <w:sz w:val="28"/>
          <w:szCs w:val="28"/>
        </w:rPr>
        <w:t xml:space="preserve"> </w:t>
      </w:r>
      <w:r w:rsidR="00766541">
        <w:rPr>
          <w:sz w:val="28"/>
          <w:szCs w:val="28"/>
        </w:rPr>
        <w:t xml:space="preserve"> </w:t>
      </w:r>
    </w:p>
    <w:p w:rsidR="00786FB6" w:rsidRPr="00C271A4" w:rsidRDefault="00791598" w:rsidP="00C271A4">
      <w:pPr>
        <w:pStyle w:val="ListParagraph"/>
        <w:numPr>
          <w:ilvl w:val="0"/>
          <w:numId w:val="9"/>
        </w:numPr>
        <w:spacing w:line="480" w:lineRule="auto"/>
        <w:ind w:left="0" w:firstLine="720"/>
        <w:jc w:val="both"/>
        <w:rPr>
          <w:sz w:val="28"/>
          <w:szCs w:val="28"/>
        </w:rPr>
      </w:pPr>
      <w:r w:rsidRPr="00C271A4">
        <w:rPr>
          <w:b/>
          <w:sz w:val="28"/>
          <w:szCs w:val="28"/>
        </w:rPr>
        <w:t xml:space="preserve">Background of the Proposed </w:t>
      </w:r>
      <w:r w:rsidR="00432BF7" w:rsidRPr="00C271A4">
        <w:rPr>
          <w:b/>
          <w:sz w:val="28"/>
          <w:szCs w:val="28"/>
        </w:rPr>
        <w:t>Rule Amendments</w:t>
      </w:r>
      <w:r w:rsidRPr="00C271A4">
        <w:rPr>
          <w:sz w:val="28"/>
          <w:szCs w:val="28"/>
        </w:rPr>
        <w:t xml:space="preserve">. </w:t>
      </w:r>
      <w:r w:rsidR="00766541" w:rsidRPr="00C271A4">
        <w:rPr>
          <w:sz w:val="28"/>
          <w:szCs w:val="28"/>
        </w:rPr>
        <w:t xml:space="preserve"> </w:t>
      </w:r>
      <w:r w:rsidR="00C271A4">
        <w:rPr>
          <w:sz w:val="28"/>
          <w:szCs w:val="28"/>
        </w:rPr>
        <w:t>The m</w:t>
      </w:r>
      <w:r w:rsidR="00C271A4" w:rsidRPr="00C271A4">
        <w:rPr>
          <w:sz w:val="28"/>
          <w:szCs w:val="28"/>
        </w:rPr>
        <w:t>embers of the</w:t>
      </w:r>
      <w:r w:rsidR="000C2EAE" w:rsidRPr="00C271A4">
        <w:rPr>
          <w:sz w:val="28"/>
          <w:szCs w:val="28"/>
        </w:rPr>
        <w:t xml:space="preserve"> Task Force’s Subcommittee on Mental Health and the Criminal Justice System</w:t>
      </w:r>
      <w:r w:rsidR="00F00811" w:rsidRPr="00C271A4">
        <w:rPr>
          <w:sz w:val="28"/>
          <w:szCs w:val="28"/>
        </w:rPr>
        <w:t xml:space="preserve"> (“the Subcommittee”)</w:t>
      </w:r>
      <w:r w:rsidR="00C271A4" w:rsidRPr="00C271A4">
        <w:rPr>
          <w:sz w:val="28"/>
          <w:szCs w:val="28"/>
        </w:rPr>
        <w:t xml:space="preserve"> recommended these proposed changes to Rules 11.5 and 11.6</w:t>
      </w:r>
      <w:r w:rsidR="000C2EAE" w:rsidRPr="00C271A4">
        <w:rPr>
          <w:sz w:val="28"/>
          <w:szCs w:val="28"/>
        </w:rPr>
        <w:t>.</w:t>
      </w:r>
      <w:r w:rsidR="00322D80" w:rsidRPr="00C271A4">
        <w:rPr>
          <w:sz w:val="28"/>
          <w:szCs w:val="28"/>
        </w:rPr>
        <w:t xml:space="preserve">  </w:t>
      </w:r>
      <w:r w:rsidR="00C271A4" w:rsidRPr="00C271A4">
        <w:rPr>
          <w:sz w:val="28"/>
          <w:szCs w:val="28"/>
        </w:rPr>
        <w:lastRenderedPageBreak/>
        <w:t>The Subcommittee’s membership is comprised of an extensive cross section of professionals from the criminal justice and mental health communities.  They include judges, prosecutors, public defenders, court administrators, physicians, academics, and mental health advocates (</w:t>
      </w:r>
      <w:r w:rsidR="00AB2B65">
        <w:rPr>
          <w:sz w:val="28"/>
          <w:szCs w:val="28"/>
        </w:rPr>
        <w:t>s</w:t>
      </w:r>
      <w:r w:rsidR="00C271A4" w:rsidRPr="00C271A4">
        <w:rPr>
          <w:sz w:val="28"/>
          <w:szCs w:val="28"/>
        </w:rPr>
        <w:t>ee Appendix B)</w:t>
      </w:r>
      <w:r w:rsidR="00AB2B65">
        <w:rPr>
          <w:sz w:val="28"/>
          <w:szCs w:val="28"/>
        </w:rPr>
        <w:t>.</w:t>
      </w:r>
      <w:r w:rsidR="00C271A4">
        <w:rPr>
          <w:sz w:val="28"/>
          <w:szCs w:val="28"/>
        </w:rPr>
        <w:t xml:space="preserve">  </w:t>
      </w:r>
      <w:r w:rsidR="005A4485" w:rsidRPr="00C271A4">
        <w:rPr>
          <w:sz w:val="28"/>
          <w:szCs w:val="28"/>
        </w:rPr>
        <w:t xml:space="preserve">The Task Force charged the Subcommittee </w:t>
      </w:r>
      <w:r w:rsidR="008B6C21" w:rsidRPr="00C271A4">
        <w:rPr>
          <w:sz w:val="28"/>
          <w:szCs w:val="28"/>
        </w:rPr>
        <w:t>“</w:t>
      </w:r>
      <w:r w:rsidR="005A4485" w:rsidRPr="00C271A4">
        <w:rPr>
          <w:sz w:val="28"/>
          <w:szCs w:val="28"/>
        </w:rPr>
        <w:t>to recommend rules and procedures needed to implement new provisions of SB 1157 relating to competency hearings.”</w:t>
      </w:r>
      <w:r w:rsidR="00152ABB" w:rsidRPr="00C271A4">
        <w:rPr>
          <w:sz w:val="28"/>
          <w:szCs w:val="28"/>
        </w:rPr>
        <w:t xml:space="preserve">  </w:t>
      </w:r>
      <w:r w:rsidR="008B6C21" w:rsidRPr="00C271A4">
        <w:rPr>
          <w:sz w:val="28"/>
          <w:szCs w:val="28"/>
        </w:rPr>
        <w:t>T</w:t>
      </w:r>
      <w:r w:rsidR="003C1C5B" w:rsidRPr="00C271A4">
        <w:rPr>
          <w:sz w:val="28"/>
          <w:szCs w:val="28"/>
        </w:rPr>
        <w:t>he Task Force</w:t>
      </w:r>
      <w:r w:rsidR="008B6C21" w:rsidRPr="00C271A4">
        <w:rPr>
          <w:sz w:val="28"/>
          <w:szCs w:val="28"/>
        </w:rPr>
        <w:t xml:space="preserve"> further</w:t>
      </w:r>
      <w:r w:rsidR="003C1C5B" w:rsidRPr="00C271A4">
        <w:rPr>
          <w:sz w:val="28"/>
          <w:szCs w:val="28"/>
        </w:rPr>
        <w:t xml:space="preserve"> directed the Subcommittee </w:t>
      </w:r>
      <w:r w:rsidR="008B6C21" w:rsidRPr="00C271A4">
        <w:rPr>
          <w:sz w:val="28"/>
          <w:szCs w:val="28"/>
        </w:rPr>
        <w:t>“</w:t>
      </w:r>
      <w:r w:rsidR="003C1C5B" w:rsidRPr="00C271A4">
        <w:rPr>
          <w:sz w:val="28"/>
          <w:szCs w:val="28"/>
        </w:rPr>
        <w:t>to recommend if any current court rule or statutes should be modified to enable the courts to more effectively handle individuals in the</w:t>
      </w:r>
      <w:r w:rsidR="00F80A61" w:rsidRPr="00C271A4">
        <w:rPr>
          <w:sz w:val="28"/>
          <w:szCs w:val="28"/>
        </w:rPr>
        <w:t xml:space="preserve"> justice system who</w:t>
      </w:r>
      <w:r w:rsidR="003C1C5B" w:rsidRPr="00C271A4">
        <w:rPr>
          <w:sz w:val="28"/>
          <w:szCs w:val="28"/>
        </w:rPr>
        <w:t xml:space="preserve"> have mental health issues.”</w:t>
      </w:r>
      <w:r w:rsidR="000C2EAE" w:rsidRPr="00C271A4">
        <w:rPr>
          <w:sz w:val="28"/>
          <w:szCs w:val="28"/>
        </w:rPr>
        <w:t xml:space="preserve"> </w:t>
      </w:r>
      <w:r w:rsidR="00C271A4">
        <w:rPr>
          <w:sz w:val="28"/>
          <w:szCs w:val="28"/>
        </w:rPr>
        <w:t>(See Appendix C</w:t>
      </w:r>
      <w:r w:rsidR="00564C83" w:rsidRPr="00C271A4">
        <w:rPr>
          <w:sz w:val="28"/>
          <w:szCs w:val="28"/>
        </w:rPr>
        <w:t>)</w:t>
      </w:r>
      <w:r w:rsidR="003C1C5B" w:rsidRPr="00C271A4">
        <w:rPr>
          <w:sz w:val="28"/>
          <w:szCs w:val="28"/>
        </w:rPr>
        <w:t xml:space="preserve">.  </w:t>
      </w:r>
      <w:r w:rsidR="00C271A4">
        <w:rPr>
          <w:sz w:val="28"/>
          <w:szCs w:val="28"/>
        </w:rPr>
        <w:t>The members of the Subcommittee unanimously support the proposed amendments</w:t>
      </w:r>
      <w:r w:rsidR="00786FB6" w:rsidRPr="00C271A4">
        <w:rPr>
          <w:sz w:val="28"/>
          <w:szCs w:val="28"/>
        </w:rPr>
        <w:t>.  The Task Force has reviewed the Subcommittee’s proposal and has given it a favorable review.</w:t>
      </w:r>
    </w:p>
    <w:p w:rsidR="0027286E" w:rsidRPr="00F80A61" w:rsidRDefault="0027286E" w:rsidP="0027286E">
      <w:pPr>
        <w:pStyle w:val="ListParagraph"/>
        <w:spacing w:line="480" w:lineRule="auto"/>
        <w:jc w:val="both"/>
        <w:rPr>
          <w:sz w:val="28"/>
          <w:szCs w:val="28"/>
        </w:rPr>
      </w:pPr>
    </w:p>
    <w:p w:rsidR="00B310FD" w:rsidRPr="00187035" w:rsidRDefault="00F86089" w:rsidP="00187035">
      <w:pPr>
        <w:pStyle w:val="ListParagraph"/>
        <w:numPr>
          <w:ilvl w:val="0"/>
          <w:numId w:val="9"/>
        </w:numPr>
        <w:tabs>
          <w:tab w:val="left" w:pos="1440"/>
        </w:tabs>
        <w:spacing w:line="480" w:lineRule="auto"/>
        <w:ind w:left="0" w:firstLine="720"/>
        <w:jc w:val="both"/>
        <w:rPr>
          <w:rFonts w:eastAsia="Franklin Gothic Book"/>
          <w:b/>
          <w:sz w:val="28"/>
          <w:szCs w:val="28"/>
        </w:rPr>
      </w:pPr>
      <w:r w:rsidRPr="00F86089">
        <w:rPr>
          <w:rFonts w:eastAsia="Franklin Gothic Book"/>
          <w:b/>
          <w:sz w:val="28"/>
          <w:szCs w:val="28"/>
        </w:rPr>
        <w:t xml:space="preserve">History of </w:t>
      </w:r>
      <w:r w:rsidR="00C271A4">
        <w:rPr>
          <w:rFonts w:eastAsia="Franklin Gothic Book"/>
          <w:b/>
          <w:sz w:val="28"/>
          <w:szCs w:val="28"/>
        </w:rPr>
        <w:t xml:space="preserve">2017 </w:t>
      </w:r>
      <w:r w:rsidRPr="00F86089">
        <w:rPr>
          <w:rFonts w:eastAsia="Franklin Gothic Book"/>
          <w:b/>
          <w:sz w:val="28"/>
          <w:szCs w:val="28"/>
        </w:rPr>
        <w:t>Changes to Rule 11</w:t>
      </w:r>
      <w:r w:rsidR="00A72FF5">
        <w:rPr>
          <w:rFonts w:eastAsia="Franklin Gothic Book"/>
          <w:b/>
          <w:sz w:val="28"/>
          <w:szCs w:val="28"/>
        </w:rPr>
        <w:t xml:space="preserve">.  </w:t>
      </w:r>
      <w:r w:rsidR="00B310FD" w:rsidRPr="00B310FD">
        <w:rPr>
          <w:rFonts w:eastAsia="Franklin Gothic Book"/>
          <w:sz w:val="28"/>
          <w:szCs w:val="28"/>
        </w:rPr>
        <w:t>In 2017, t</w:t>
      </w:r>
      <w:r w:rsidR="00B310FD">
        <w:rPr>
          <w:rFonts w:eastAsia="Franklin Gothic Book"/>
          <w:sz w:val="28"/>
          <w:szCs w:val="28"/>
        </w:rPr>
        <w:t>he Court</w:t>
      </w:r>
      <w:r w:rsidR="007F0D34" w:rsidRPr="00B310FD">
        <w:rPr>
          <w:rFonts w:eastAsia="Franklin Gothic Book"/>
          <w:sz w:val="28"/>
          <w:szCs w:val="28"/>
        </w:rPr>
        <w:t xml:space="preserve"> amended Rule 11 on three occasions</w:t>
      </w:r>
      <w:r w:rsidR="00B310FD" w:rsidRPr="00B310FD">
        <w:rPr>
          <w:rFonts w:eastAsia="Franklin Gothic Book"/>
          <w:sz w:val="28"/>
          <w:szCs w:val="28"/>
        </w:rPr>
        <w:t>.</w:t>
      </w:r>
      <w:r w:rsidR="00B310FD">
        <w:rPr>
          <w:rFonts w:eastAsia="Franklin Gothic Book"/>
          <w:sz w:val="28"/>
          <w:szCs w:val="28"/>
        </w:rPr>
        <w:t xml:space="preserve">  </w:t>
      </w:r>
      <w:r w:rsidR="0027286E">
        <w:rPr>
          <w:rFonts w:eastAsia="Franklin Gothic Book"/>
          <w:sz w:val="28"/>
          <w:szCs w:val="28"/>
        </w:rPr>
        <w:t>First, i</w:t>
      </w:r>
      <w:r w:rsidR="00A72FF5">
        <w:rPr>
          <w:rFonts w:eastAsia="Franklin Gothic Book"/>
          <w:sz w:val="28"/>
          <w:szCs w:val="28"/>
        </w:rPr>
        <w:t xml:space="preserve">n </w:t>
      </w:r>
      <w:r w:rsidR="00B310FD">
        <w:rPr>
          <w:rFonts w:eastAsia="Franklin Gothic Book"/>
          <w:sz w:val="28"/>
          <w:szCs w:val="28"/>
        </w:rPr>
        <w:t>R-17-0041</w:t>
      </w:r>
      <w:r w:rsidR="00A72FF5">
        <w:rPr>
          <w:rFonts w:eastAsia="Franklin Gothic Book"/>
          <w:sz w:val="28"/>
          <w:szCs w:val="28"/>
        </w:rPr>
        <w:t xml:space="preserve">, the Court ordered </w:t>
      </w:r>
      <w:r w:rsidR="00C271A4">
        <w:rPr>
          <w:rFonts w:eastAsia="Franklin Gothic Book"/>
          <w:sz w:val="28"/>
          <w:szCs w:val="28"/>
        </w:rPr>
        <w:t xml:space="preserve">amendments to </w:t>
      </w:r>
      <w:r w:rsidR="00A72FF5">
        <w:rPr>
          <w:rFonts w:eastAsia="Franklin Gothic Book"/>
          <w:sz w:val="28"/>
          <w:szCs w:val="28"/>
        </w:rPr>
        <w:t>Rules 11.2,</w:t>
      </w:r>
      <w:r w:rsidR="00C271A4">
        <w:rPr>
          <w:rFonts w:eastAsia="Franklin Gothic Book"/>
          <w:sz w:val="28"/>
          <w:szCs w:val="28"/>
        </w:rPr>
        <w:t xml:space="preserve"> 11.3, 11.5, and 11.7</w:t>
      </w:r>
      <w:r w:rsidR="00A72FF5">
        <w:rPr>
          <w:rFonts w:eastAsia="Franklin Gothic Book"/>
          <w:sz w:val="28"/>
          <w:szCs w:val="28"/>
        </w:rPr>
        <w:t xml:space="preserve"> on an emergency </w:t>
      </w:r>
      <w:r w:rsidR="00107C7B">
        <w:rPr>
          <w:rFonts w:eastAsia="Franklin Gothic Book"/>
          <w:sz w:val="28"/>
          <w:szCs w:val="28"/>
        </w:rPr>
        <w:t>basis</w:t>
      </w:r>
      <w:r w:rsidR="00CB38EC">
        <w:rPr>
          <w:rFonts w:eastAsia="Franklin Gothic Book"/>
          <w:sz w:val="28"/>
          <w:szCs w:val="28"/>
        </w:rPr>
        <w:t>,</w:t>
      </w:r>
      <w:r w:rsidR="00F87490">
        <w:rPr>
          <w:rFonts w:eastAsia="Franklin Gothic Book"/>
          <w:sz w:val="28"/>
          <w:szCs w:val="28"/>
        </w:rPr>
        <w:t xml:space="preserve"> effective August 9, 2017.  That</w:t>
      </w:r>
      <w:r w:rsidR="00B028CB">
        <w:rPr>
          <w:rFonts w:eastAsia="Franklin Gothic Book"/>
          <w:sz w:val="28"/>
          <w:szCs w:val="28"/>
        </w:rPr>
        <w:t xml:space="preserve"> Order </w:t>
      </w:r>
      <w:proofErr w:type="gramStart"/>
      <w:r w:rsidR="00187035">
        <w:rPr>
          <w:rFonts w:eastAsia="Franklin Gothic Book"/>
          <w:sz w:val="28"/>
          <w:szCs w:val="28"/>
        </w:rPr>
        <w:t>conformed</w:t>
      </w:r>
      <w:proofErr w:type="gramEnd"/>
      <w:r w:rsidR="00107C7B">
        <w:rPr>
          <w:rFonts w:eastAsia="Franklin Gothic Book"/>
          <w:sz w:val="28"/>
          <w:szCs w:val="28"/>
        </w:rPr>
        <w:t xml:space="preserve"> Rule 11 to the</w:t>
      </w:r>
      <w:r w:rsidR="00A72FF5">
        <w:rPr>
          <w:rFonts w:eastAsia="Franklin Gothic Book"/>
          <w:sz w:val="28"/>
          <w:szCs w:val="28"/>
        </w:rPr>
        <w:t xml:space="preserve"> statutory changes made in the 2017 legislative session</w:t>
      </w:r>
      <w:r w:rsidR="00B028CB">
        <w:rPr>
          <w:rFonts w:eastAsia="Franklin Gothic Book"/>
          <w:sz w:val="28"/>
          <w:szCs w:val="28"/>
        </w:rPr>
        <w:t>.  In</w:t>
      </w:r>
      <w:r w:rsidR="00E164AF">
        <w:rPr>
          <w:rFonts w:eastAsia="Franklin Gothic Book"/>
          <w:sz w:val="28"/>
          <w:szCs w:val="28"/>
        </w:rPr>
        <w:t xml:space="preserve"> part, the </w:t>
      </w:r>
      <w:r w:rsidR="0008690D">
        <w:rPr>
          <w:rFonts w:eastAsia="Franklin Gothic Book"/>
          <w:sz w:val="28"/>
          <w:szCs w:val="28"/>
        </w:rPr>
        <w:t>legislative changes</w:t>
      </w:r>
      <w:r w:rsidR="00107C7B">
        <w:rPr>
          <w:rFonts w:eastAsia="Franklin Gothic Book"/>
          <w:sz w:val="28"/>
          <w:szCs w:val="28"/>
        </w:rPr>
        <w:t xml:space="preserve"> allow limited jurisdiction courts</w:t>
      </w:r>
      <w:r w:rsidR="004E3C9F">
        <w:rPr>
          <w:rFonts w:eastAsia="Franklin Gothic Book"/>
          <w:sz w:val="28"/>
          <w:szCs w:val="28"/>
        </w:rPr>
        <w:t>, with the permission of the presiding judge,</w:t>
      </w:r>
      <w:r w:rsidR="00107C7B">
        <w:rPr>
          <w:rFonts w:eastAsia="Franklin Gothic Book"/>
          <w:sz w:val="28"/>
          <w:szCs w:val="28"/>
        </w:rPr>
        <w:t xml:space="preserve"> to exercise jurisdiction over competency hearings in misdemeanor cases arising out of that jurisdiction</w:t>
      </w:r>
      <w:r w:rsidR="00A72FF5">
        <w:rPr>
          <w:rFonts w:eastAsia="Franklin Gothic Book"/>
          <w:sz w:val="28"/>
          <w:szCs w:val="28"/>
        </w:rPr>
        <w:t xml:space="preserve">.  </w:t>
      </w:r>
      <w:r w:rsidR="0027286E">
        <w:rPr>
          <w:rFonts w:eastAsia="Franklin Gothic Book"/>
          <w:sz w:val="28"/>
          <w:szCs w:val="28"/>
        </w:rPr>
        <w:t>Second, i</w:t>
      </w:r>
      <w:r w:rsidR="00B310FD">
        <w:rPr>
          <w:rFonts w:eastAsia="Franklin Gothic Book"/>
          <w:sz w:val="28"/>
          <w:szCs w:val="28"/>
        </w:rPr>
        <w:t>n R-17-0002, the Court approved the restyling of the Arizona Rules of Criminal Procedures</w:t>
      </w:r>
      <w:r w:rsidR="00107C7B">
        <w:rPr>
          <w:rFonts w:eastAsia="Franklin Gothic Book"/>
          <w:sz w:val="28"/>
          <w:szCs w:val="28"/>
        </w:rPr>
        <w:t xml:space="preserve">, effective </w:t>
      </w:r>
      <w:r w:rsidR="00107C7B">
        <w:rPr>
          <w:rFonts w:eastAsia="Franklin Gothic Book"/>
          <w:sz w:val="28"/>
          <w:szCs w:val="28"/>
        </w:rPr>
        <w:lastRenderedPageBreak/>
        <w:t>January 1, 2018</w:t>
      </w:r>
      <w:r w:rsidR="00CB38EC">
        <w:rPr>
          <w:rFonts w:eastAsia="Franklin Gothic Book"/>
          <w:sz w:val="28"/>
          <w:szCs w:val="28"/>
        </w:rPr>
        <w:t>.  R</w:t>
      </w:r>
      <w:r w:rsidR="00B310FD">
        <w:rPr>
          <w:rFonts w:eastAsia="Franklin Gothic Book"/>
          <w:sz w:val="28"/>
          <w:szCs w:val="28"/>
        </w:rPr>
        <w:t>estyled Rule 11 incorporated the substantive changes from the earlier emergency petition</w:t>
      </w:r>
      <w:r w:rsidR="00187035">
        <w:rPr>
          <w:rFonts w:eastAsia="Franklin Gothic Book"/>
          <w:sz w:val="28"/>
          <w:szCs w:val="28"/>
        </w:rPr>
        <w:t>, R-17-0041</w:t>
      </w:r>
      <w:r w:rsidR="00B310FD">
        <w:rPr>
          <w:rFonts w:eastAsia="Franklin Gothic Book"/>
          <w:sz w:val="28"/>
          <w:szCs w:val="28"/>
        </w:rPr>
        <w:t xml:space="preserve">.  </w:t>
      </w:r>
      <w:r w:rsidR="00CB38EC">
        <w:rPr>
          <w:rFonts w:eastAsia="Franklin Gothic Book"/>
          <w:sz w:val="28"/>
          <w:szCs w:val="28"/>
        </w:rPr>
        <w:t>Finally, on December 13</w:t>
      </w:r>
      <w:r w:rsidR="004E3C9F">
        <w:rPr>
          <w:rFonts w:eastAsia="Franklin Gothic Book"/>
          <w:sz w:val="28"/>
          <w:szCs w:val="28"/>
        </w:rPr>
        <w:t>, 2017</w:t>
      </w:r>
      <w:r w:rsidR="00B310FD">
        <w:rPr>
          <w:rFonts w:eastAsia="Franklin Gothic Book"/>
          <w:sz w:val="28"/>
          <w:szCs w:val="28"/>
        </w:rPr>
        <w:t xml:space="preserve">, the Court </w:t>
      </w:r>
      <w:r w:rsidR="00C271A4">
        <w:rPr>
          <w:rFonts w:eastAsia="Franklin Gothic Book"/>
          <w:sz w:val="28"/>
          <w:szCs w:val="28"/>
        </w:rPr>
        <w:t>entered an</w:t>
      </w:r>
      <w:r w:rsidR="0067305E">
        <w:rPr>
          <w:rFonts w:eastAsia="Franklin Gothic Book"/>
          <w:sz w:val="28"/>
          <w:szCs w:val="28"/>
        </w:rPr>
        <w:t xml:space="preserve"> </w:t>
      </w:r>
      <w:r w:rsidR="009C7E0D">
        <w:rPr>
          <w:rFonts w:eastAsia="Franklin Gothic Book"/>
          <w:sz w:val="28"/>
          <w:szCs w:val="28"/>
        </w:rPr>
        <w:t>o</w:t>
      </w:r>
      <w:r w:rsidR="0067305E">
        <w:rPr>
          <w:rFonts w:eastAsia="Franklin Gothic Book"/>
          <w:sz w:val="28"/>
          <w:szCs w:val="28"/>
        </w:rPr>
        <w:t>rder in R-17-0041</w:t>
      </w:r>
      <w:r w:rsidR="004E3C9F">
        <w:rPr>
          <w:rFonts w:eastAsia="Franklin Gothic Book"/>
          <w:sz w:val="28"/>
          <w:szCs w:val="28"/>
        </w:rPr>
        <w:t xml:space="preserve"> further</w:t>
      </w:r>
      <w:r w:rsidR="0067305E">
        <w:rPr>
          <w:rFonts w:eastAsia="Franklin Gothic Book"/>
          <w:sz w:val="28"/>
          <w:szCs w:val="28"/>
        </w:rPr>
        <w:t xml:space="preserve"> amending Rules 11.4, 11.5, and 11.7</w:t>
      </w:r>
      <w:r w:rsidR="004E3C9F">
        <w:rPr>
          <w:rFonts w:eastAsia="Franklin Gothic Book"/>
          <w:sz w:val="28"/>
          <w:szCs w:val="28"/>
        </w:rPr>
        <w:t>,</w:t>
      </w:r>
      <w:r w:rsidR="0067305E">
        <w:rPr>
          <w:rFonts w:eastAsia="Franklin Gothic Book"/>
          <w:sz w:val="28"/>
          <w:szCs w:val="28"/>
        </w:rPr>
        <w:t xml:space="preserve"> as restyled in R-</w:t>
      </w:r>
      <w:r w:rsidR="004E3C9F">
        <w:rPr>
          <w:rFonts w:eastAsia="Franklin Gothic Book"/>
          <w:sz w:val="28"/>
          <w:szCs w:val="28"/>
        </w:rPr>
        <w:t>17-0002, effective April 2, 2018.</w:t>
      </w:r>
      <w:r w:rsidR="00CB38EC">
        <w:rPr>
          <w:rFonts w:eastAsia="Franklin Gothic Book"/>
          <w:sz w:val="28"/>
          <w:szCs w:val="28"/>
        </w:rPr>
        <w:t xml:space="preserve">  </w:t>
      </w:r>
      <w:r w:rsidR="00CB38EC" w:rsidRPr="00187035">
        <w:rPr>
          <w:rFonts w:eastAsia="Franklin Gothic Book"/>
          <w:sz w:val="28"/>
          <w:szCs w:val="28"/>
        </w:rPr>
        <w:t xml:space="preserve">This Petition proposes </w:t>
      </w:r>
      <w:r w:rsidR="0008690D">
        <w:rPr>
          <w:rFonts w:eastAsia="Franklin Gothic Book"/>
          <w:sz w:val="28"/>
          <w:szCs w:val="28"/>
        </w:rPr>
        <w:t xml:space="preserve">additional </w:t>
      </w:r>
      <w:r w:rsidR="00CB38EC" w:rsidRPr="00187035">
        <w:rPr>
          <w:rFonts w:eastAsia="Franklin Gothic Book"/>
          <w:sz w:val="28"/>
          <w:szCs w:val="28"/>
        </w:rPr>
        <w:t>changes to Ru</w:t>
      </w:r>
      <w:r w:rsidR="00187035" w:rsidRPr="00187035">
        <w:rPr>
          <w:rFonts w:eastAsia="Franklin Gothic Book"/>
          <w:sz w:val="28"/>
          <w:szCs w:val="28"/>
        </w:rPr>
        <w:t>le 11.5 and 11.6.</w:t>
      </w:r>
      <w:r w:rsidR="00187035">
        <w:rPr>
          <w:rStyle w:val="FootnoteReference"/>
          <w:rFonts w:eastAsia="Franklin Gothic Book"/>
          <w:sz w:val="28"/>
          <w:szCs w:val="28"/>
        </w:rPr>
        <w:footnoteReference w:id="1"/>
      </w:r>
    </w:p>
    <w:p w:rsidR="0027286E" w:rsidRPr="0027286E" w:rsidRDefault="0027286E" w:rsidP="0027286E">
      <w:pPr>
        <w:tabs>
          <w:tab w:val="left" w:pos="1440"/>
        </w:tabs>
        <w:spacing w:line="480" w:lineRule="auto"/>
        <w:jc w:val="both"/>
        <w:rPr>
          <w:rFonts w:eastAsia="Franklin Gothic Book"/>
          <w:b/>
          <w:sz w:val="28"/>
          <w:szCs w:val="28"/>
        </w:rPr>
      </w:pPr>
    </w:p>
    <w:p w:rsidR="00A6224C" w:rsidRPr="00A6224C" w:rsidRDefault="00F80A61" w:rsidP="005C3195">
      <w:pPr>
        <w:pStyle w:val="ListParagraph"/>
        <w:numPr>
          <w:ilvl w:val="0"/>
          <w:numId w:val="9"/>
        </w:numPr>
        <w:spacing w:line="480" w:lineRule="auto"/>
        <w:ind w:left="0" w:firstLine="720"/>
        <w:jc w:val="both"/>
        <w:rPr>
          <w:b/>
          <w:sz w:val="28"/>
          <w:szCs w:val="28"/>
        </w:rPr>
      </w:pPr>
      <w:r w:rsidRPr="00F80A61">
        <w:rPr>
          <w:b/>
          <w:sz w:val="28"/>
          <w:szCs w:val="28"/>
        </w:rPr>
        <w:t>Purpose and Explanation of the Proposed Rule Amendments</w:t>
      </w:r>
      <w:r>
        <w:rPr>
          <w:b/>
          <w:sz w:val="28"/>
          <w:szCs w:val="28"/>
        </w:rPr>
        <w:t>.</w:t>
      </w:r>
      <w:r>
        <w:rPr>
          <w:sz w:val="28"/>
          <w:szCs w:val="28"/>
        </w:rPr>
        <w:t xml:space="preserve">  The proposed rule changes follow through on the Task Force’s directives </w:t>
      </w:r>
      <w:r w:rsidR="00C271A4">
        <w:rPr>
          <w:sz w:val="28"/>
          <w:szCs w:val="28"/>
        </w:rPr>
        <w:t xml:space="preserve">and should </w:t>
      </w:r>
      <w:r>
        <w:rPr>
          <w:sz w:val="28"/>
          <w:szCs w:val="28"/>
        </w:rPr>
        <w:t>enable the courts to mo</w:t>
      </w:r>
      <w:r w:rsidR="0027286E">
        <w:rPr>
          <w:sz w:val="28"/>
          <w:szCs w:val="28"/>
        </w:rPr>
        <w:t>re effectively handle indivi</w:t>
      </w:r>
      <w:r>
        <w:rPr>
          <w:sz w:val="28"/>
          <w:szCs w:val="28"/>
        </w:rPr>
        <w:t>duals in the justice system who have mental health issues.</w:t>
      </w:r>
      <w:r w:rsidR="0032216A">
        <w:rPr>
          <w:sz w:val="28"/>
          <w:szCs w:val="28"/>
        </w:rPr>
        <w:t xml:space="preserve">  The </w:t>
      </w:r>
      <w:r w:rsidR="00C271A4">
        <w:rPr>
          <w:sz w:val="28"/>
          <w:szCs w:val="28"/>
        </w:rPr>
        <w:t xml:space="preserve">proposed </w:t>
      </w:r>
      <w:r w:rsidR="0032216A">
        <w:rPr>
          <w:sz w:val="28"/>
          <w:szCs w:val="28"/>
        </w:rPr>
        <w:t xml:space="preserve">amendments to Rules 11.5 and 11.6 </w:t>
      </w:r>
      <w:r w:rsidR="0008690D">
        <w:rPr>
          <w:sz w:val="28"/>
          <w:szCs w:val="28"/>
        </w:rPr>
        <w:t xml:space="preserve">are </w:t>
      </w:r>
      <w:r w:rsidR="0032216A">
        <w:rPr>
          <w:sz w:val="28"/>
          <w:szCs w:val="28"/>
        </w:rPr>
        <w:t xml:space="preserve">fall into one of three categories: </w:t>
      </w:r>
    </w:p>
    <w:p w:rsidR="00A6224C" w:rsidRDefault="0032216A" w:rsidP="00A6224C">
      <w:pPr>
        <w:spacing w:line="480" w:lineRule="auto"/>
        <w:ind w:left="1260" w:hanging="540"/>
        <w:jc w:val="both"/>
        <w:rPr>
          <w:sz w:val="28"/>
          <w:szCs w:val="28"/>
        </w:rPr>
      </w:pPr>
      <w:r w:rsidRPr="00A6224C">
        <w:rPr>
          <w:sz w:val="28"/>
          <w:szCs w:val="28"/>
        </w:rPr>
        <w:t xml:space="preserve">(A) substantive changes to </w:t>
      </w:r>
      <w:r w:rsidR="00A6224C" w:rsidRPr="00A6224C">
        <w:rPr>
          <w:sz w:val="28"/>
          <w:szCs w:val="28"/>
        </w:rPr>
        <w:t>permit</w:t>
      </w:r>
      <w:r w:rsidRPr="00A6224C">
        <w:rPr>
          <w:sz w:val="28"/>
          <w:szCs w:val="28"/>
        </w:rPr>
        <w:t xml:space="preserve"> a l</w:t>
      </w:r>
      <w:r w:rsidR="00A6224C" w:rsidRPr="00A6224C">
        <w:rPr>
          <w:sz w:val="28"/>
          <w:szCs w:val="28"/>
        </w:rPr>
        <w:t>imited jurisdiction court to order restoration treatment</w:t>
      </w:r>
      <w:r w:rsidRPr="00A6224C">
        <w:rPr>
          <w:sz w:val="28"/>
          <w:szCs w:val="28"/>
        </w:rPr>
        <w:t xml:space="preserve"> if the defendant is found </w:t>
      </w:r>
      <w:r w:rsidRPr="00A6224C">
        <w:rPr>
          <w:sz w:val="28"/>
          <w:szCs w:val="28"/>
          <w:u w:val="single"/>
        </w:rPr>
        <w:t>incompetent but restorable</w:t>
      </w:r>
      <w:r w:rsidR="00C271A4" w:rsidRPr="00A6224C">
        <w:rPr>
          <w:sz w:val="28"/>
          <w:szCs w:val="28"/>
        </w:rPr>
        <w:t xml:space="preserve"> [Rule 11.5(b)(2)]</w:t>
      </w:r>
      <w:r w:rsidRPr="00A6224C">
        <w:rPr>
          <w:sz w:val="28"/>
          <w:szCs w:val="28"/>
        </w:rPr>
        <w:t xml:space="preserve">; </w:t>
      </w:r>
      <w:r w:rsidR="00A6224C" w:rsidRPr="00A6224C">
        <w:rPr>
          <w:sz w:val="28"/>
          <w:szCs w:val="28"/>
        </w:rPr>
        <w:t xml:space="preserve"> </w:t>
      </w:r>
    </w:p>
    <w:p w:rsidR="00A6224C" w:rsidRDefault="0032216A" w:rsidP="00A6224C">
      <w:pPr>
        <w:spacing w:line="480" w:lineRule="auto"/>
        <w:ind w:left="1260" w:hanging="540"/>
        <w:jc w:val="both"/>
        <w:rPr>
          <w:sz w:val="28"/>
          <w:szCs w:val="28"/>
        </w:rPr>
      </w:pPr>
      <w:r w:rsidRPr="00A6224C">
        <w:rPr>
          <w:sz w:val="28"/>
          <w:szCs w:val="28"/>
        </w:rPr>
        <w:t xml:space="preserve">(B) </w:t>
      </w:r>
      <w:r w:rsidR="00E52346" w:rsidRPr="00A6224C">
        <w:rPr>
          <w:sz w:val="28"/>
          <w:szCs w:val="28"/>
        </w:rPr>
        <w:t xml:space="preserve">clarifying language </w:t>
      </w:r>
      <w:r w:rsidR="0008690D" w:rsidRPr="00A6224C">
        <w:rPr>
          <w:sz w:val="28"/>
          <w:szCs w:val="28"/>
        </w:rPr>
        <w:t>to delineate</w:t>
      </w:r>
      <w:r w:rsidR="000435AC" w:rsidRPr="00A6224C">
        <w:rPr>
          <w:sz w:val="28"/>
          <w:szCs w:val="28"/>
        </w:rPr>
        <w:t xml:space="preserve"> the differences between</w:t>
      </w:r>
      <w:r w:rsidR="00E52346" w:rsidRPr="00A6224C">
        <w:rPr>
          <w:sz w:val="28"/>
          <w:szCs w:val="28"/>
        </w:rPr>
        <w:t xml:space="preserve"> what</w:t>
      </w:r>
      <w:r w:rsidRPr="00A6224C">
        <w:rPr>
          <w:sz w:val="28"/>
          <w:szCs w:val="28"/>
        </w:rPr>
        <w:t xml:space="preserve"> </w:t>
      </w:r>
      <w:r w:rsidR="000435AC" w:rsidRPr="00A6224C">
        <w:rPr>
          <w:sz w:val="28"/>
          <w:szCs w:val="28"/>
        </w:rPr>
        <w:t xml:space="preserve">a </w:t>
      </w:r>
      <w:r w:rsidRPr="00A6224C">
        <w:rPr>
          <w:sz w:val="28"/>
          <w:szCs w:val="28"/>
        </w:rPr>
        <w:t>limited jurisdiction court</w:t>
      </w:r>
      <w:r w:rsidR="00E52346" w:rsidRPr="00A6224C">
        <w:rPr>
          <w:sz w:val="28"/>
          <w:szCs w:val="28"/>
        </w:rPr>
        <w:t xml:space="preserve"> and the superior court may do if a</w:t>
      </w:r>
      <w:r w:rsidRPr="00A6224C">
        <w:rPr>
          <w:sz w:val="28"/>
          <w:szCs w:val="28"/>
        </w:rPr>
        <w:t xml:space="preserve"> defendant is found </w:t>
      </w:r>
      <w:r w:rsidRPr="00A6224C">
        <w:rPr>
          <w:sz w:val="28"/>
          <w:szCs w:val="28"/>
          <w:u w:val="single"/>
        </w:rPr>
        <w:t>incompetent but not restorable</w:t>
      </w:r>
      <w:r w:rsidR="00C271A4" w:rsidRPr="00A6224C">
        <w:rPr>
          <w:sz w:val="28"/>
          <w:szCs w:val="28"/>
        </w:rPr>
        <w:t xml:space="preserve"> [Rule 11.5(b)(3)]; </w:t>
      </w:r>
      <w:r w:rsidRPr="00A6224C">
        <w:rPr>
          <w:sz w:val="28"/>
          <w:szCs w:val="28"/>
        </w:rPr>
        <w:t xml:space="preserve">and </w:t>
      </w:r>
    </w:p>
    <w:p w:rsidR="00E8591D" w:rsidRPr="00A6224C" w:rsidRDefault="0032216A" w:rsidP="00A6224C">
      <w:pPr>
        <w:spacing w:line="480" w:lineRule="auto"/>
        <w:ind w:left="1260" w:hanging="540"/>
        <w:jc w:val="both"/>
        <w:rPr>
          <w:b/>
          <w:sz w:val="28"/>
          <w:szCs w:val="28"/>
        </w:rPr>
      </w:pPr>
      <w:r w:rsidRPr="00A6224C">
        <w:rPr>
          <w:sz w:val="28"/>
          <w:szCs w:val="28"/>
        </w:rPr>
        <w:t xml:space="preserve">(C) </w:t>
      </w:r>
      <w:bookmarkStart w:id="0" w:name="_Hlk502674703"/>
      <w:r w:rsidR="00C271A4" w:rsidRPr="00A6224C">
        <w:rPr>
          <w:sz w:val="28"/>
          <w:szCs w:val="28"/>
        </w:rPr>
        <w:t>clarifications</w:t>
      </w:r>
      <w:r w:rsidRPr="00A6224C">
        <w:rPr>
          <w:sz w:val="28"/>
          <w:szCs w:val="28"/>
        </w:rPr>
        <w:t xml:space="preserve"> to timeframes </w:t>
      </w:r>
      <w:r w:rsidR="00F973F8">
        <w:rPr>
          <w:sz w:val="28"/>
          <w:szCs w:val="28"/>
        </w:rPr>
        <w:t>for the restoration of competency treatment orders</w:t>
      </w:r>
      <w:r w:rsidRPr="00A6224C">
        <w:rPr>
          <w:sz w:val="28"/>
          <w:szCs w:val="28"/>
        </w:rPr>
        <w:t>.</w:t>
      </w:r>
      <w:bookmarkEnd w:id="0"/>
    </w:p>
    <w:p w:rsidR="00E8591D" w:rsidRPr="00EF7413" w:rsidRDefault="00E8591D" w:rsidP="00EF7413">
      <w:pPr>
        <w:pStyle w:val="ListParagraph"/>
        <w:rPr>
          <w:b/>
          <w:sz w:val="28"/>
          <w:szCs w:val="28"/>
        </w:rPr>
      </w:pPr>
    </w:p>
    <w:p w:rsidR="0032216A" w:rsidRPr="004308A2" w:rsidRDefault="00EF7413" w:rsidP="004308A2">
      <w:pPr>
        <w:pStyle w:val="ListParagraph"/>
        <w:numPr>
          <w:ilvl w:val="0"/>
          <w:numId w:val="13"/>
        </w:numPr>
        <w:ind w:left="1080"/>
        <w:jc w:val="both"/>
        <w:rPr>
          <w:b/>
          <w:sz w:val="28"/>
          <w:szCs w:val="28"/>
        </w:rPr>
      </w:pPr>
      <w:r w:rsidRPr="00AC678C">
        <w:rPr>
          <w:b/>
          <w:i/>
          <w:sz w:val="28"/>
          <w:szCs w:val="28"/>
        </w:rPr>
        <w:t>Su</w:t>
      </w:r>
      <w:r w:rsidR="00F973F8">
        <w:rPr>
          <w:b/>
          <w:i/>
          <w:sz w:val="28"/>
          <w:szCs w:val="28"/>
        </w:rPr>
        <w:t>bstantive changes to permit</w:t>
      </w:r>
      <w:r w:rsidR="0060637B" w:rsidRPr="00AC678C">
        <w:rPr>
          <w:b/>
          <w:i/>
          <w:sz w:val="28"/>
          <w:szCs w:val="28"/>
        </w:rPr>
        <w:t xml:space="preserve"> a limited jurisdiction court </w:t>
      </w:r>
      <w:r w:rsidR="00F973F8">
        <w:rPr>
          <w:b/>
          <w:i/>
          <w:sz w:val="28"/>
          <w:szCs w:val="28"/>
        </w:rPr>
        <w:t>to order restoration treatment if the</w:t>
      </w:r>
      <w:r w:rsidR="0060637B" w:rsidRPr="00AC678C">
        <w:rPr>
          <w:b/>
          <w:i/>
          <w:sz w:val="28"/>
          <w:szCs w:val="28"/>
        </w:rPr>
        <w:t xml:space="preserve"> defendant is found incompet</w:t>
      </w:r>
      <w:r w:rsidRPr="00AC678C">
        <w:rPr>
          <w:b/>
          <w:i/>
          <w:sz w:val="28"/>
          <w:szCs w:val="28"/>
        </w:rPr>
        <w:t>ent but restorable</w:t>
      </w:r>
      <w:r w:rsidR="009C7E0D">
        <w:rPr>
          <w:b/>
          <w:i/>
          <w:sz w:val="28"/>
          <w:szCs w:val="28"/>
        </w:rPr>
        <w:t>.</w:t>
      </w:r>
    </w:p>
    <w:p w:rsidR="004308A2" w:rsidRPr="00AC678C" w:rsidRDefault="004308A2" w:rsidP="004308A2">
      <w:pPr>
        <w:pStyle w:val="ListParagraph"/>
        <w:ind w:left="1080"/>
        <w:jc w:val="both"/>
        <w:rPr>
          <w:b/>
          <w:sz w:val="28"/>
          <w:szCs w:val="28"/>
        </w:rPr>
      </w:pPr>
    </w:p>
    <w:p w:rsidR="004942C7" w:rsidRDefault="000435AC" w:rsidP="007873D0">
      <w:pPr>
        <w:spacing w:line="480" w:lineRule="auto"/>
        <w:ind w:firstLine="720"/>
        <w:jc w:val="both"/>
        <w:rPr>
          <w:sz w:val="28"/>
          <w:szCs w:val="28"/>
        </w:rPr>
      </w:pPr>
      <w:r>
        <w:rPr>
          <w:sz w:val="28"/>
          <w:szCs w:val="28"/>
        </w:rPr>
        <w:t>A</w:t>
      </w:r>
      <w:r w:rsidR="007873D0">
        <w:rPr>
          <w:sz w:val="28"/>
          <w:szCs w:val="28"/>
        </w:rPr>
        <w:t>mendment</w:t>
      </w:r>
      <w:r>
        <w:rPr>
          <w:sz w:val="28"/>
          <w:szCs w:val="28"/>
        </w:rPr>
        <w:t>s</w:t>
      </w:r>
      <w:r w:rsidR="007873D0">
        <w:rPr>
          <w:sz w:val="28"/>
          <w:szCs w:val="28"/>
        </w:rPr>
        <w:t xml:space="preserve"> to Rule 11.5(b)(2) </w:t>
      </w:r>
      <w:r>
        <w:rPr>
          <w:sz w:val="28"/>
          <w:szCs w:val="28"/>
        </w:rPr>
        <w:t xml:space="preserve">substantively </w:t>
      </w:r>
      <w:r w:rsidR="007873D0">
        <w:rPr>
          <w:sz w:val="28"/>
          <w:szCs w:val="28"/>
        </w:rPr>
        <w:t>expa</w:t>
      </w:r>
      <w:r>
        <w:rPr>
          <w:sz w:val="28"/>
          <w:szCs w:val="28"/>
        </w:rPr>
        <w:t>nd</w:t>
      </w:r>
      <w:r w:rsidR="0060637B">
        <w:rPr>
          <w:sz w:val="28"/>
          <w:szCs w:val="28"/>
        </w:rPr>
        <w:t xml:space="preserve"> the jurisdiction of</w:t>
      </w:r>
      <w:r w:rsidR="007873D0">
        <w:rPr>
          <w:sz w:val="28"/>
          <w:szCs w:val="28"/>
        </w:rPr>
        <w:t xml:space="preserve"> a limited jurisdiction court </w:t>
      </w:r>
      <w:r>
        <w:rPr>
          <w:sz w:val="28"/>
          <w:szCs w:val="28"/>
        </w:rPr>
        <w:t xml:space="preserve">to allow it </w:t>
      </w:r>
      <w:r w:rsidR="00E8591D">
        <w:rPr>
          <w:sz w:val="28"/>
          <w:szCs w:val="28"/>
        </w:rPr>
        <w:t xml:space="preserve">the option </w:t>
      </w:r>
      <w:r>
        <w:rPr>
          <w:sz w:val="28"/>
          <w:szCs w:val="28"/>
        </w:rPr>
        <w:t xml:space="preserve">to order competency restoration treatment if it finds the defendant incompetent but </w:t>
      </w:r>
      <w:r w:rsidR="0060637B">
        <w:rPr>
          <w:sz w:val="28"/>
          <w:szCs w:val="28"/>
        </w:rPr>
        <w:t xml:space="preserve">restorable.  </w:t>
      </w:r>
      <w:r>
        <w:rPr>
          <w:sz w:val="28"/>
          <w:szCs w:val="28"/>
        </w:rPr>
        <w:t>Currently u</w:t>
      </w:r>
      <w:r w:rsidR="008D01CE">
        <w:rPr>
          <w:sz w:val="28"/>
          <w:szCs w:val="28"/>
        </w:rPr>
        <w:t>nder Rule 11.5</w:t>
      </w:r>
      <w:r w:rsidR="00F87490">
        <w:rPr>
          <w:sz w:val="28"/>
          <w:szCs w:val="28"/>
        </w:rPr>
        <w:t>(b)(2)</w:t>
      </w:r>
      <w:r w:rsidR="008D01CE">
        <w:rPr>
          <w:sz w:val="28"/>
          <w:szCs w:val="28"/>
        </w:rPr>
        <w:t>, th</w:t>
      </w:r>
      <w:r w:rsidR="00187035">
        <w:rPr>
          <w:sz w:val="28"/>
          <w:szCs w:val="28"/>
        </w:rPr>
        <w:t>e limited jurisdiction court has</w:t>
      </w:r>
      <w:r w:rsidR="008D01CE">
        <w:rPr>
          <w:sz w:val="28"/>
          <w:szCs w:val="28"/>
        </w:rPr>
        <w:t xml:space="preserve"> only </w:t>
      </w:r>
      <w:r w:rsidR="007873D0">
        <w:rPr>
          <w:sz w:val="28"/>
          <w:szCs w:val="28"/>
        </w:rPr>
        <w:t xml:space="preserve">two options:  </w:t>
      </w:r>
      <w:r w:rsidR="008D01CE">
        <w:rPr>
          <w:sz w:val="28"/>
          <w:szCs w:val="28"/>
        </w:rPr>
        <w:t>dismis</w:t>
      </w:r>
      <w:r w:rsidR="007873D0">
        <w:rPr>
          <w:sz w:val="28"/>
          <w:szCs w:val="28"/>
        </w:rPr>
        <w:t>s the charge</w:t>
      </w:r>
      <w:r w:rsidR="008D01CE">
        <w:rPr>
          <w:sz w:val="28"/>
          <w:szCs w:val="28"/>
        </w:rPr>
        <w:t xml:space="preserve">s on the State’s motion or transfer the case to the superior court for further proceedings.  </w:t>
      </w:r>
      <w:r w:rsidR="0060637B">
        <w:rPr>
          <w:sz w:val="28"/>
          <w:szCs w:val="28"/>
        </w:rPr>
        <w:t xml:space="preserve">The amendment </w:t>
      </w:r>
      <w:r w:rsidR="00E8591D">
        <w:rPr>
          <w:sz w:val="28"/>
          <w:szCs w:val="28"/>
        </w:rPr>
        <w:t>adds a third option:  i</w:t>
      </w:r>
      <w:r w:rsidR="007873D0">
        <w:rPr>
          <w:sz w:val="28"/>
          <w:szCs w:val="28"/>
        </w:rPr>
        <w:t>f authorized by the presiding judge of the superior court, the</w:t>
      </w:r>
      <w:r w:rsidR="0060637B">
        <w:rPr>
          <w:sz w:val="28"/>
          <w:szCs w:val="28"/>
        </w:rPr>
        <w:t xml:space="preserve"> limited jurisdiction</w:t>
      </w:r>
      <w:r w:rsidR="007873D0">
        <w:rPr>
          <w:sz w:val="28"/>
          <w:szCs w:val="28"/>
        </w:rPr>
        <w:t xml:space="preserve"> court may</w:t>
      </w:r>
      <w:r w:rsidR="0060637B">
        <w:rPr>
          <w:sz w:val="28"/>
          <w:szCs w:val="28"/>
        </w:rPr>
        <w:t xml:space="preserve"> </w:t>
      </w:r>
      <w:r w:rsidR="00E8591D">
        <w:rPr>
          <w:sz w:val="28"/>
          <w:szCs w:val="28"/>
        </w:rPr>
        <w:t xml:space="preserve">choose to </w:t>
      </w:r>
      <w:r w:rsidR="0060637B">
        <w:rPr>
          <w:sz w:val="28"/>
          <w:szCs w:val="28"/>
        </w:rPr>
        <w:t xml:space="preserve">order </w:t>
      </w:r>
      <w:r w:rsidR="00187035">
        <w:rPr>
          <w:sz w:val="28"/>
          <w:szCs w:val="28"/>
        </w:rPr>
        <w:t>competency restoration treatment</w:t>
      </w:r>
      <w:r w:rsidR="0060637B">
        <w:rPr>
          <w:sz w:val="28"/>
          <w:szCs w:val="28"/>
        </w:rPr>
        <w:t xml:space="preserve">.  </w:t>
      </w:r>
    </w:p>
    <w:p w:rsidR="00773A7A" w:rsidRDefault="0060637B" w:rsidP="00BE0F66">
      <w:pPr>
        <w:spacing w:line="480" w:lineRule="auto"/>
        <w:ind w:firstLine="720"/>
        <w:jc w:val="both"/>
        <w:rPr>
          <w:sz w:val="28"/>
          <w:szCs w:val="28"/>
        </w:rPr>
      </w:pPr>
      <w:r w:rsidRPr="00AE6A70">
        <w:rPr>
          <w:sz w:val="28"/>
          <w:szCs w:val="28"/>
        </w:rPr>
        <w:t>T</w:t>
      </w:r>
      <w:r w:rsidR="007873D0" w:rsidRPr="00AE6A70">
        <w:rPr>
          <w:sz w:val="28"/>
          <w:szCs w:val="28"/>
        </w:rPr>
        <w:t xml:space="preserve">here are several reasons to </w:t>
      </w:r>
      <w:r w:rsidR="00F87490">
        <w:rPr>
          <w:sz w:val="28"/>
          <w:szCs w:val="28"/>
        </w:rPr>
        <w:t xml:space="preserve">allow limited jurisdiction courts to order </w:t>
      </w:r>
      <w:r w:rsidR="00187035">
        <w:rPr>
          <w:sz w:val="28"/>
          <w:szCs w:val="28"/>
        </w:rPr>
        <w:t>competency restoration treatment</w:t>
      </w:r>
      <w:r w:rsidR="007873D0" w:rsidRPr="00AE6A70">
        <w:rPr>
          <w:sz w:val="28"/>
          <w:szCs w:val="28"/>
        </w:rPr>
        <w:t>.  First, a</w:t>
      </w:r>
      <w:r w:rsidR="00877CE0" w:rsidRPr="00AE6A70">
        <w:rPr>
          <w:sz w:val="28"/>
          <w:szCs w:val="28"/>
        </w:rPr>
        <w:t>llowing a</w:t>
      </w:r>
      <w:r w:rsidR="008D01CE" w:rsidRPr="00AE6A70">
        <w:rPr>
          <w:sz w:val="28"/>
          <w:szCs w:val="28"/>
        </w:rPr>
        <w:t xml:space="preserve"> </w:t>
      </w:r>
      <w:r w:rsidR="000435AC">
        <w:rPr>
          <w:sz w:val="28"/>
          <w:szCs w:val="28"/>
        </w:rPr>
        <w:t xml:space="preserve">limited jurisdiction court </w:t>
      </w:r>
      <w:r w:rsidR="002B5714" w:rsidRPr="00AE6A70">
        <w:rPr>
          <w:sz w:val="28"/>
          <w:szCs w:val="28"/>
        </w:rPr>
        <w:t>to</w:t>
      </w:r>
      <w:r w:rsidR="007873D0" w:rsidRPr="00AE6A70">
        <w:rPr>
          <w:sz w:val="28"/>
          <w:szCs w:val="28"/>
        </w:rPr>
        <w:t xml:space="preserve"> order treatment</w:t>
      </w:r>
      <w:r w:rsidR="002B5714" w:rsidRPr="00AE6A70">
        <w:rPr>
          <w:sz w:val="28"/>
          <w:szCs w:val="28"/>
        </w:rPr>
        <w:t xml:space="preserve"> and monitor progress</w:t>
      </w:r>
      <w:r w:rsidR="007873D0" w:rsidRPr="00AE6A70">
        <w:rPr>
          <w:sz w:val="28"/>
          <w:szCs w:val="28"/>
        </w:rPr>
        <w:t xml:space="preserve"> </w:t>
      </w:r>
      <w:r w:rsidR="00D965DB" w:rsidRPr="00AE6A70">
        <w:rPr>
          <w:sz w:val="28"/>
          <w:szCs w:val="28"/>
        </w:rPr>
        <w:t>is consisten</w:t>
      </w:r>
      <w:r w:rsidR="00AE6A70" w:rsidRPr="00AE6A70">
        <w:rPr>
          <w:sz w:val="28"/>
          <w:szCs w:val="28"/>
        </w:rPr>
        <w:t>t with the</w:t>
      </w:r>
      <w:r w:rsidR="00877CE0" w:rsidRPr="00AE6A70">
        <w:rPr>
          <w:sz w:val="28"/>
          <w:szCs w:val="28"/>
        </w:rPr>
        <w:t xml:space="preserve"> policies that supported statutory changes to permit these same cour</w:t>
      </w:r>
      <w:r w:rsidR="002B5714" w:rsidRPr="00AE6A70">
        <w:rPr>
          <w:sz w:val="28"/>
          <w:szCs w:val="28"/>
        </w:rPr>
        <w:t>ts to conduct Rule 11 hearings</w:t>
      </w:r>
      <w:r w:rsidR="007873D0" w:rsidRPr="00AE6A70">
        <w:rPr>
          <w:sz w:val="28"/>
          <w:szCs w:val="28"/>
        </w:rPr>
        <w:t xml:space="preserve">.  Holding Rule 11 hearings in limited jurisdiction courts </w:t>
      </w:r>
      <w:r w:rsidR="00187035">
        <w:rPr>
          <w:sz w:val="28"/>
          <w:szCs w:val="28"/>
        </w:rPr>
        <w:t xml:space="preserve">provides a defendant easier access to </w:t>
      </w:r>
    </w:p>
    <w:p w:rsidR="00773A7A" w:rsidRDefault="00187035" w:rsidP="00773A7A">
      <w:pPr>
        <w:spacing w:line="480" w:lineRule="auto"/>
        <w:jc w:val="both"/>
        <w:rPr>
          <w:sz w:val="28"/>
          <w:szCs w:val="28"/>
        </w:rPr>
      </w:pPr>
      <w:r>
        <w:rPr>
          <w:sz w:val="28"/>
          <w:szCs w:val="28"/>
        </w:rPr>
        <w:t>the courts</w:t>
      </w:r>
      <w:r w:rsidR="007873D0" w:rsidRPr="00AE6A70">
        <w:rPr>
          <w:sz w:val="28"/>
          <w:szCs w:val="28"/>
        </w:rPr>
        <w:t xml:space="preserve">.  </w:t>
      </w:r>
      <w:r w:rsidR="000435AC">
        <w:rPr>
          <w:sz w:val="28"/>
          <w:szCs w:val="28"/>
        </w:rPr>
        <w:t>In 2015, the Supreme Court established a</w:t>
      </w:r>
      <w:r w:rsidR="00877CE0" w:rsidRPr="00AE6A70">
        <w:rPr>
          <w:sz w:val="28"/>
          <w:szCs w:val="28"/>
        </w:rPr>
        <w:t xml:space="preserve"> </w:t>
      </w:r>
      <w:r w:rsidR="00B21B9E" w:rsidRPr="00AE6A70">
        <w:rPr>
          <w:sz w:val="28"/>
          <w:szCs w:val="28"/>
        </w:rPr>
        <w:t xml:space="preserve">pilot program </w:t>
      </w:r>
      <w:r w:rsidR="000435AC">
        <w:rPr>
          <w:sz w:val="28"/>
          <w:szCs w:val="28"/>
        </w:rPr>
        <w:t>that authorizes</w:t>
      </w:r>
      <w:r w:rsidR="00C15863" w:rsidRPr="00AE6A70">
        <w:rPr>
          <w:sz w:val="28"/>
          <w:szCs w:val="28"/>
        </w:rPr>
        <w:t xml:space="preserve"> </w:t>
      </w:r>
    </w:p>
    <w:p w:rsidR="00773A7A" w:rsidRDefault="00773A7A" w:rsidP="00773A7A">
      <w:pPr>
        <w:spacing w:line="480" w:lineRule="auto"/>
        <w:jc w:val="both"/>
        <w:rPr>
          <w:sz w:val="28"/>
          <w:szCs w:val="28"/>
        </w:rPr>
      </w:pPr>
    </w:p>
    <w:p w:rsidR="00773A7A" w:rsidRDefault="00773A7A" w:rsidP="00773A7A">
      <w:pPr>
        <w:spacing w:line="480" w:lineRule="auto"/>
        <w:jc w:val="both"/>
        <w:rPr>
          <w:sz w:val="28"/>
          <w:szCs w:val="28"/>
        </w:rPr>
      </w:pPr>
    </w:p>
    <w:p w:rsidR="005C3195" w:rsidRDefault="00C15863" w:rsidP="00773A7A">
      <w:pPr>
        <w:spacing w:line="480" w:lineRule="auto"/>
        <w:jc w:val="both"/>
        <w:rPr>
          <w:sz w:val="28"/>
          <w:szCs w:val="28"/>
        </w:rPr>
      </w:pPr>
      <w:r w:rsidRPr="00AE6A70">
        <w:rPr>
          <w:sz w:val="28"/>
          <w:szCs w:val="28"/>
        </w:rPr>
        <w:lastRenderedPageBreak/>
        <w:t>two municipalities to conduct</w:t>
      </w:r>
      <w:r w:rsidR="00877CE0" w:rsidRPr="00AE6A70">
        <w:rPr>
          <w:sz w:val="28"/>
          <w:szCs w:val="28"/>
        </w:rPr>
        <w:t xml:space="preserve"> Rule 11 proceedings</w:t>
      </w:r>
      <w:r w:rsidR="000435AC">
        <w:rPr>
          <w:sz w:val="28"/>
          <w:szCs w:val="28"/>
        </w:rPr>
        <w:t>.</w:t>
      </w:r>
      <w:r w:rsidR="00877CE0">
        <w:rPr>
          <w:rStyle w:val="FootnoteReference"/>
          <w:sz w:val="28"/>
          <w:szCs w:val="28"/>
        </w:rPr>
        <w:footnoteReference w:id="2"/>
      </w:r>
      <w:r w:rsidR="000435AC">
        <w:rPr>
          <w:sz w:val="28"/>
          <w:szCs w:val="28"/>
        </w:rPr>
        <w:t xml:space="preserve">  The</w:t>
      </w:r>
      <w:r w:rsidR="00595478">
        <w:rPr>
          <w:sz w:val="28"/>
          <w:szCs w:val="28"/>
        </w:rPr>
        <w:t xml:space="preserve"> Task Force’s Subcommittee recognized</w:t>
      </w:r>
      <w:r w:rsidR="000435AC">
        <w:rPr>
          <w:sz w:val="28"/>
          <w:szCs w:val="28"/>
        </w:rPr>
        <w:t xml:space="preserve"> many benefits to this </w:t>
      </w:r>
      <w:r w:rsidR="00595478">
        <w:rPr>
          <w:sz w:val="28"/>
          <w:szCs w:val="28"/>
        </w:rPr>
        <w:t xml:space="preserve">pilot </w:t>
      </w:r>
      <w:r w:rsidR="000435AC">
        <w:rPr>
          <w:sz w:val="28"/>
          <w:szCs w:val="28"/>
        </w:rPr>
        <w:t>program including</w:t>
      </w:r>
      <w:r w:rsidR="00595478">
        <w:rPr>
          <w:sz w:val="28"/>
          <w:szCs w:val="28"/>
        </w:rPr>
        <w:t xml:space="preserve"> a speedier resolution of Rule 11 proceedings with an average time from initial motion to conclusion being 45-50 days</w:t>
      </w:r>
      <w:r w:rsidR="000435AC" w:rsidRPr="000435AC">
        <w:rPr>
          <w:sz w:val="28"/>
          <w:szCs w:val="28"/>
        </w:rPr>
        <w:t xml:space="preserve"> </w:t>
      </w:r>
      <w:r w:rsidR="000435AC">
        <w:rPr>
          <w:sz w:val="28"/>
          <w:szCs w:val="28"/>
        </w:rPr>
        <w:t>(</w:t>
      </w:r>
      <w:r w:rsidR="00AB2B65">
        <w:rPr>
          <w:sz w:val="28"/>
          <w:szCs w:val="28"/>
        </w:rPr>
        <w:t>s</w:t>
      </w:r>
      <w:r w:rsidR="009C02E4">
        <w:rPr>
          <w:sz w:val="28"/>
          <w:szCs w:val="28"/>
        </w:rPr>
        <w:t>ee Appendix D</w:t>
      </w:r>
      <w:r w:rsidR="000435AC">
        <w:rPr>
          <w:sz w:val="28"/>
          <w:szCs w:val="28"/>
        </w:rPr>
        <w:t>)</w:t>
      </w:r>
      <w:r w:rsidR="00AB2B65">
        <w:rPr>
          <w:sz w:val="28"/>
          <w:szCs w:val="28"/>
        </w:rPr>
        <w:t>.</w:t>
      </w:r>
      <w:r w:rsidR="00877CE0" w:rsidRPr="00AE6A70">
        <w:rPr>
          <w:sz w:val="28"/>
          <w:szCs w:val="28"/>
        </w:rPr>
        <w:t xml:space="preserve">  Furthermore,</w:t>
      </w:r>
      <w:r w:rsidR="000435AC">
        <w:rPr>
          <w:sz w:val="28"/>
          <w:szCs w:val="28"/>
        </w:rPr>
        <w:t xml:space="preserve"> Glendale and Mesa reported to the Subcommittee </w:t>
      </w:r>
      <w:r w:rsidR="00595478">
        <w:rPr>
          <w:sz w:val="28"/>
          <w:szCs w:val="28"/>
        </w:rPr>
        <w:t>other benefits for holding Rule 11 proceedings in their courts</w:t>
      </w:r>
      <w:r w:rsidR="005C3195">
        <w:rPr>
          <w:sz w:val="28"/>
          <w:szCs w:val="28"/>
        </w:rPr>
        <w:t xml:space="preserve">.  </w:t>
      </w:r>
      <w:r w:rsidR="00595478">
        <w:rPr>
          <w:sz w:val="28"/>
          <w:szCs w:val="28"/>
        </w:rPr>
        <w:t xml:space="preserve">Defendants were more likely to keep their medical appointments because the doctors scheduled the examinations either at the courthouse or close by.  Since the municipal courthouse was usually closer to the defendant’s home than the superior courthouse, defendants were more likely to appear for their scheduled hearing dates.    </w:t>
      </w:r>
    </w:p>
    <w:p w:rsidR="00F973F8" w:rsidRDefault="00595478" w:rsidP="005C3195">
      <w:pPr>
        <w:spacing w:line="480" w:lineRule="auto"/>
        <w:ind w:firstLine="720"/>
        <w:jc w:val="both"/>
        <w:rPr>
          <w:sz w:val="28"/>
          <w:szCs w:val="28"/>
        </w:rPr>
      </w:pPr>
      <w:r>
        <w:rPr>
          <w:sz w:val="28"/>
          <w:szCs w:val="28"/>
        </w:rPr>
        <w:t>The pilot program has shown measurable improvements in case management, improved service to defendants, particularly t</w:t>
      </w:r>
      <w:r w:rsidR="005C3195">
        <w:rPr>
          <w:sz w:val="28"/>
          <w:szCs w:val="28"/>
        </w:rPr>
        <w:t>hose suffering from mental illnes</w:t>
      </w:r>
      <w:r>
        <w:rPr>
          <w:sz w:val="28"/>
          <w:szCs w:val="28"/>
        </w:rPr>
        <w:t>s, and a cost savings</w:t>
      </w:r>
      <w:r w:rsidR="005C3195">
        <w:rPr>
          <w:sz w:val="28"/>
          <w:szCs w:val="28"/>
        </w:rPr>
        <w:t xml:space="preserve"> realized from</w:t>
      </w:r>
      <w:r>
        <w:rPr>
          <w:sz w:val="28"/>
          <w:szCs w:val="28"/>
        </w:rPr>
        <w:t xml:space="preserve"> fewer missed medical appointments and speedier resolution of cases.  Building on the beneficial results of holding Rule 11 proceedings locally, the defendant may continue to benefit if the same court that conducted the defendant’s Rule 11 proceeding retains control of the restoration to </w:t>
      </w:r>
      <w:r>
        <w:rPr>
          <w:sz w:val="28"/>
          <w:szCs w:val="28"/>
        </w:rPr>
        <w:lastRenderedPageBreak/>
        <w:t>competency process</w:t>
      </w:r>
      <w:r w:rsidR="008D01CE" w:rsidRPr="00AE6A70">
        <w:rPr>
          <w:sz w:val="28"/>
          <w:szCs w:val="28"/>
        </w:rPr>
        <w:t xml:space="preserve">.  </w:t>
      </w:r>
    </w:p>
    <w:p w:rsidR="005C3195" w:rsidRDefault="008054EA" w:rsidP="005C3195">
      <w:pPr>
        <w:spacing w:line="480" w:lineRule="auto"/>
        <w:ind w:firstLine="720"/>
        <w:jc w:val="both"/>
        <w:rPr>
          <w:sz w:val="28"/>
          <w:szCs w:val="28"/>
        </w:rPr>
      </w:pPr>
      <w:r>
        <w:rPr>
          <w:sz w:val="28"/>
          <w:szCs w:val="28"/>
        </w:rPr>
        <w:t xml:space="preserve">Second, </w:t>
      </w:r>
      <w:r w:rsidR="00EB43D7">
        <w:rPr>
          <w:sz w:val="28"/>
          <w:szCs w:val="28"/>
        </w:rPr>
        <w:t>municipalities</w:t>
      </w:r>
      <w:r w:rsidR="007233FC">
        <w:rPr>
          <w:sz w:val="28"/>
          <w:szCs w:val="28"/>
        </w:rPr>
        <w:t xml:space="preserve"> have always been responsible to pay the costs for Rule 11 proceedings and restoration, even when the misdemeanor case is transferred to the superior court (A</w:t>
      </w:r>
      <w:r w:rsidR="00F87490">
        <w:rPr>
          <w:sz w:val="28"/>
          <w:szCs w:val="28"/>
        </w:rPr>
        <w:t>.</w:t>
      </w:r>
      <w:r w:rsidR="007233FC">
        <w:rPr>
          <w:sz w:val="28"/>
          <w:szCs w:val="28"/>
        </w:rPr>
        <w:t>R</w:t>
      </w:r>
      <w:r w:rsidR="00F87490">
        <w:rPr>
          <w:sz w:val="28"/>
          <w:szCs w:val="28"/>
        </w:rPr>
        <w:t>.</w:t>
      </w:r>
      <w:r w:rsidR="007233FC">
        <w:rPr>
          <w:sz w:val="28"/>
          <w:szCs w:val="28"/>
        </w:rPr>
        <w:t>S</w:t>
      </w:r>
      <w:r w:rsidR="00F87490">
        <w:rPr>
          <w:sz w:val="28"/>
          <w:szCs w:val="28"/>
        </w:rPr>
        <w:t>. §</w:t>
      </w:r>
      <w:r w:rsidR="007233FC">
        <w:rPr>
          <w:sz w:val="28"/>
          <w:szCs w:val="28"/>
        </w:rPr>
        <w:t xml:space="preserve"> 13-4512).  Therefore, since the local jurisdictions have been responsible for </w:t>
      </w:r>
      <w:r w:rsidR="00EB43D7">
        <w:rPr>
          <w:sz w:val="28"/>
          <w:szCs w:val="28"/>
        </w:rPr>
        <w:t xml:space="preserve">the </w:t>
      </w:r>
      <w:r w:rsidR="007233FC">
        <w:rPr>
          <w:sz w:val="28"/>
          <w:szCs w:val="28"/>
        </w:rPr>
        <w:t>cos</w:t>
      </w:r>
      <w:r w:rsidR="00F973F8">
        <w:rPr>
          <w:sz w:val="28"/>
          <w:szCs w:val="28"/>
        </w:rPr>
        <w:t>ts of</w:t>
      </w:r>
      <w:r w:rsidR="007233FC">
        <w:rPr>
          <w:sz w:val="28"/>
          <w:szCs w:val="28"/>
        </w:rPr>
        <w:t xml:space="preserve"> mental competency evaluations and any subsequent </w:t>
      </w:r>
      <w:r w:rsidR="00187035">
        <w:rPr>
          <w:sz w:val="28"/>
          <w:szCs w:val="28"/>
        </w:rPr>
        <w:t xml:space="preserve">competency </w:t>
      </w:r>
      <w:r w:rsidR="007233FC">
        <w:rPr>
          <w:sz w:val="28"/>
          <w:szCs w:val="28"/>
        </w:rPr>
        <w:t xml:space="preserve">restoration </w:t>
      </w:r>
      <w:r w:rsidR="00F87490">
        <w:rPr>
          <w:sz w:val="28"/>
          <w:szCs w:val="28"/>
        </w:rPr>
        <w:t xml:space="preserve">treatment, </w:t>
      </w:r>
      <w:r w:rsidR="007233FC">
        <w:rPr>
          <w:sz w:val="28"/>
          <w:szCs w:val="28"/>
        </w:rPr>
        <w:t xml:space="preserve">the local court </w:t>
      </w:r>
      <w:r w:rsidR="00F87490">
        <w:rPr>
          <w:sz w:val="28"/>
          <w:szCs w:val="28"/>
        </w:rPr>
        <w:t xml:space="preserve">should be the court to decide whether to order </w:t>
      </w:r>
      <w:r w:rsidR="00677FEB">
        <w:rPr>
          <w:sz w:val="28"/>
          <w:szCs w:val="28"/>
        </w:rPr>
        <w:t>the</w:t>
      </w:r>
      <w:r w:rsidR="00F87490">
        <w:rPr>
          <w:sz w:val="28"/>
          <w:szCs w:val="28"/>
        </w:rPr>
        <w:t xml:space="preserve"> treatment</w:t>
      </w:r>
      <w:r>
        <w:rPr>
          <w:sz w:val="28"/>
          <w:szCs w:val="28"/>
        </w:rPr>
        <w:t>.</w:t>
      </w:r>
      <w:r w:rsidR="00BE0F66">
        <w:rPr>
          <w:sz w:val="28"/>
          <w:szCs w:val="28"/>
        </w:rPr>
        <w:t xml:space="preserve">  </w:t>
      </w:r>
    </w:p>
    <w:p w:rsidR="00B872F9" w:rsidRDefault="00BE0F66" w:rsidP="005C3195">
      <w:pPr>
        <w:spacing w:line="480" w:lineRule="auto"/>
        <w:ind w:firstLine="720"/>
        <w:jc w:val="both"/>
        <w:rPr>
          <w:sz w:val="28"/>
          <w:szCs w:val="28"/>
        </w:rPr>
      </w:pPr>
      <w:r>
        <w:rPr>
          <w:sz w:val="28"/>
          <w:szCs w:val="28"/>
        </w:rPr>
        <w:t>Third</w:t>
      </w:r>
      <w:r w:rsidR="008D01CE" w:rsidRPr="00AE6A70">
        <w:rPr>
          <w:sz w:val="28"/>
          <w:szCs w:val="28"/>
        </w:rPr>
        <w:t xml:space="preserve">, </w:t>
      </w:r>
      <w:r w:rsidR="007233FC">
        <w:rPr>
          <w:sz w:val="28"/>
          <w:szCs w:val="28"/>
        </w:rPr>
        <w:t xml:space="preserve">the </w:t>
      </w:r>
      <w:r w:rsidR="00F973F8">
        <w:rPr>
          <w:sz w:val="28"/>
          <w:szCs w:val="28"/>
        </w:rPr>
        <w:t xml:space="preserve">proposed </w:t>
      </w:r>
      <w:r w:rsidR="007233FC">
        <w:rPr>
          <w:sz w:val="28"/>
          <w:szCs w:val="28"/>
        </w:rPr>
        <w:t>amendment to allow</w:t>
      </w:r>
      <w:r w:rsidR="00F66703" w:rsidRPr="00AE6A70">
        <w:rPr>
          <w:sz w:val="28"/>
          <w:szCs w:val="28"/>
        </w:rPr>
        <w:t xml:space="preserve"> a limited jurisdiction court</w:t>
      </w:r>
      <w:r w:rsidR="007233FC">
        <w:rPr>
          <w:sz w:val="28"/>
          <w:szCs w:val="28"/>
        </w:rPr>
        <w:t xml:space="preserve"> to order competency restoration treatment is conditioned upon the approval of </w:t>
      </w:r>
      <w:r w:rsidR="00F66703" w:rsidRPr="00AE6A70">
        <w:rPr>
          <w:sz w:val="28"/>
          <w:szCs w:val="28"/>
        </w:rPr>
        <w:t>the presiding judge</w:t>
      </w:r>
      <w:r w:rsidR="007233FC">
        <w:rPr>
          <w:sz w:val="28"/>
          <w:szCs w:val="28"/>
        </w:rPr>
        <w:t xml:space="preserve"> of that county</w:t>
      </w:r>
      <w:r w:rsidR="00F66703" w:rsidRPr="00AE6A70">
        <w:rPr>
          <w:sz w:val="28"/>
          <w:szCs w:val="28"/>
        </w:rPr>
        <w:t>.</w:t>
      </w:r>
      <w:r>
        <w:rPr>
          <w:sz w:val="28"/>
          <w:szCs w:val="28"/>
        </w:rPr>
        <w:t xml:space="preserve">  </w:t>
      </w:r>
      <w:r w:rsidR="00187035">
        <w:rPr>
          <w:sz w:val="28"/>
          <w:szCs w:val="28"/>
        </w:rPr>
        <w:t>A presiding jud</w:t>
      </w:r>
      <w:r w:rsidR="00677FEB">
        <w:rPr>
          <w:sz w:val="28"/>
          <w:szCs w:val="28"/>
        </w:rPr>
        <w:t xml:space="preserve">ge would grant authorization </w:t>
      </w:r>
      <w:r w:rsidR="00187035">
        <w:rPr>
          <w:sz w:val="28"/>
          <w:szCs w:val="28"/>
        </w:rPr>
        <w:t>only</w:t>
      </w:r>
      <w:r w:rsidR="00677FEB">
        <w:rPr>
          <w:sz w:val="28"/>
          <w:szCs w:val="28"/>
        </w:rPr>
        <w:t xml:space="preserve"> to</w:t>
      </w:r>
      <w:r w:rsidR="00187035">
        <w:rPr>
          <w:sz w:val="28"/>
          <w:szCs w:val="28"/>
        </w:rPr>
        <w:t xml:space="preserve"> those courts that have </w:t>
      </w:r>
      <w:r w:rsidR="00677FEB">
        <w:rPr>
          <w:sz w:val="28"/>
          <w:szCs w:val="28"/>
        </w:rPr>
        <w:t xml:space="preserve">established </w:t>
      </w:r>
      <w:r w:rsidR="00187035">
        <w:rPr>
          <w:sz w:val="28"/>
          <w:szCs w:val="28"/>
        </w:rPr>
        <w:t xml:space="preserve">the proper protocols, procedures, and training.  </w:t>
      </w:r>
      <w:r w:rsidR="005C3195">
        <w:rPr>
          <w:sz w:val="28"/>
          <w:szCs w:val="28"/>
        </w:rPr>
        <w:t>On a final note</w:t>
      </w:r>
      <w:r w:rsidR="007873D0" w:rsidRPr="00BE0F66">
        <w:rPr>
          <w:sz w:val="28"/>
          <w:szCs w:val="28"/>
        </w:rPr>
        <w:t>,</w:t>
      </w:r>
      <w:r w:rsidR="007873D0">
        <w:rPr>
          <w:b/>
          <w:i/>
          <w:sz w:val="28"/>
          <w:szCs w:val="28"/>
        </w:rPr>
        <w:t xml:space="preserve"> </w:t>
      </w:r>
      <w:r w:rsidR="007873D0">
        <w:rPr>
          <w:sz w:val="28"/>
          <w:szCs w:val="28"/>
        </w:rPr>
        <w:t>the Subcommittee noted when making this proposal that nothing in the language of SB 1157 precludes a limited jurisdiction court from retaining juri</w:t>
      </w:r>
      <w:r>
        <w:rPr>
          <w:sz w:val="28"/>
          <w:szCs w:val="28"/>
        </w:rPr>
        <w:t>sdiction under these circumstances (</w:t>
      </w:r>
      <w:r w:rsidR="00AB2B65">
        <w:rPr>
          <w:sz w:val="28"/>
          <w:szCs w:val="28"/>
        </w:rPr>
        <w:t>s</w:t>
      </w:r>
      <w:r>
        <w:rPr>
          <w:sz w:val="28"/>
          <w:szCs w:val="28"/>
        </w:rPr>
        <w:t xml:space="preserve">ee </w:t>
      </w:r>
      <w:r w:rsidR="009C02E4">
        <w:rPr>
          <w:sz w:val="28"/>
          <w:szCs w:val="28"/>
        </w:rPr>
        <w:t>Appendix E</w:t>
      </w:r>
      <w:r>
        <w:rPr>
          <w:sz w:val="28"/>
          <w:szCs w:val="28"/>
        </w:rPr>
        <w:t>)</w:t>
      </w:r>
      <w:r w:rsidR="00AB2B65">
        <w:rPr>
          <w:sz w:val="28"/>
          <w:szCs w:val="28"/>
        </w:rPr>
        <w:t>.</w:t>
      </w:r>
    </w:p>
    <w:p w:rsidR="007873D0" w:rsidRDefault="00773A7A" w:rsidP="004308A2">
      <w:pPr>
        <w:ind w:left="1080" w:hanging="360"/>
        <w:jc w:val="both"/>
        <w:rPr>
          <w:b/>
          <w:i/>
          <w:sz w:val="28"/>
          <w:szCs w:val="28"/>
        </w:rPr>
      </w:pPr>
      <w:r>
        <w:rPr>
          <w:b/>
          <w:i/>
          <w:sz w:val="28"/>
          <w:szCs w:val="28"/>
        </w:rPr>
        <w:t>B</w:t>
      </w:r>
      <w:r w:rsidR="005C3195">
        <w:rPr>
          <w:b/>
          <w:i/>
          <w:sz w:val="28"/>
          <w:szCs w:val="28"/>
        </w:rPr>
        <w:t>.</w:t>
      </w:r>
      <w:r w:rsidR="00F973F8">
        <w:rPr>
          <w:b/>
          <w:i/>
          <w:sz w:val="28"/>
          <w:szCs w:val="28"/>
        </w:rPr>
        <w:tab/>
        <w:t>C</w:t>
      </w:r>
      <w:r w:rsidR="00B872F9" w:rsidRPr="00B872F9">
        <w:rPr>
          <w:b/>
          <w:i/>
          <w:sz w:val="28"/>
          <w:szCs w:val="28"/>
        </w:rPr>
        <w:t xml:space="preserve">larifying language delineating </w:t>
      </w:r>
      <w:r w:rsidR="00A37383">
        <w:rPr>
          <w:b/>
          <w:i/>
          <w:sz w:val="28"/>
          <w:szCs w:val="28"/>
        </w:rPr>
        <w:t xml:space="preserve">the difference between </w:t>
      </w:r>
      <w:r w:rsidR="00B872F9" w:rsidRPr="00B872F9">
        <w:rPr>
          <w:b/>
          <w:i/>
          <w:sz w:val="28"/>
          <w:szCs w:val="28"/>
        </w:rPr>
        <w:t xml:space="preserve">what </w:t>
      </w:r>
      <w:r w:rsidR="002676D7">
        <w:rPr>
          <w:b/>
          <w:i/>
          <w:sz w:val="28"/>
          <w:szCs w:val="28"/>
        </w:rPr>
        <w:t xml:space="preserve">the </w:t>
      </w:r>
      <w:r w:rsidR="00B872F9" w:rsidRPr="00B872F9">
        <w:rPr>
          <w:b/>
          <w:i/>
          <w:sz w:val="28"/>
          <w:szCs w:val="28"/>
        </w:rPr>
        <w:t>limited jurisdiction courts and</w:t>
      </w:r>
      <w:r w:rsidR="002676D7">
        <w:rPr>
          <w:b/>
          <w:i/>
          <w:sz w:val="28"/>
          <w:szCs w:val="28"/>
        </w:rPr>
        <w:t xml:space="preserve"> what</w:t>
      </w:r>
      <w:r w:rsidR="00B872F9" w:rsidRPr="00B872F9">
        <w:rPr>
          <w:b/>
          <w:i/>
          <w:sz w:val="28"/>
          <w:szCs w:val="28"/>
        </w:rPr>
        <w:t xml:space="preserve"> the superior court may do if a defendant is found incompetent but not restorable</w:t>
      </w:r>
      <w:r w:rsidR="009C7E0D">
        <w:rPr>
          <w:b/>
          <w:i/>
          <w:sz w:val="28"/>
          <w:szCs w:val="28"/>
        </w:rPr>
        <w:t>.</w:t>
      </w:r>
      <w:r w:rsidR="0037149E" w:rsidRPr="00B872F9">
        <w:rPr>
          <w:b/>
          <w:i/>
          <w:sz w:val="28"/>
          <w:szCs w:val="28"/>
        </w:rPr>
        <w:t xml:space="preserve"> </w:t>
      </w:r>
    </w:p>
    <w:p w:rsidR="004308A2" w:rsidRPr="00B872F9" w:rsidRDefault="004308A2" w:rsidP="004308A2">
      <w:pPr>
        <w:ind w:left="1080" w:hanging="360"/>
        <w:jc w:val="both"/>
        <w:rPr>
          <w:b/>
          <w:i/>
          <w:sz w:val="28"/>
          <w:szCs w:val="28"/>
        </w:rPr>
      </w:pPr>
    </w:p>
    <w:p w:rsidR="00B872F9" w:rsidRPr="00AE239C" w:rsidRDefault="00B872F9" w:rsidP="00AE239C">
      <w:pPr>
        <w:spacing w:line="480" w:lineRule="auto"/>
        <w:ind w:firstLine="720"/>
        <w:jc w:val="both"/>
        <w:rPr>
          <w:sz w:val="28"/>
          <w:szCs w:val="28"/>
        </w:rPr>
      </w:pPr>
      <w:r>
        <w:rPr>
          <w:sz w:val="28"/>
          <w:szCs w:val="28"/>
        </w:rPr>
        <w:t xml:space="preserve">The amendment to Rule 11.5(b)(3) clarifies that when a defendant is incompetent and not restorable, a limited jurisdiction court may only dismiss the charges on the State’s motion or transfer the case to the superior court for further proceedings.  </w:t>
      </w:r>
      <w:r w:rsidR="005C353D">
        <w:rPr>
          <w:sz w:val="28"/>
          <w:szCs w:val="28"/>
        </w:rPr>
        <w:t xml:space="preserve">The </w:t>
      </w:r>
      <w:r w:rsidR="005C3195">
        <w:rPr>
          <w:sz w:val="28"/>
          <w:szCs w:val="28"/>
        </w:rPr>
        <w:t>amendment</w:t>
      </w:r>
      <w:r w:rsidR="005C353D">
        <w:rPr>
          <w:sz w:val="28"/>
          <w:szCs w:val="28"/>
        </w:rPr>
        <w:t xml:space="preserve"> is intended to resolve any ambiguity regarding the </w:t>
      </w:r>
      <w:r w:rsidR="005C353D">
        <w:rPr>
          <w:sz w:val="28"/>
          <w:szCs w:val="28"/>
        </w:rPr>
        <w:lastRenderedPageBreak/>
        <w:t xml:space="preserve">limits of the limited jurisdiction court’s authority.  </w:t>
      </w:r>
      <w:r>
        <w:rPr>
          <w:sz w:val="28"/>
          <w:szCs w:val="28"/>
        </w:rPr>
        <w:t xml:space="preserve">Unlike the superior court, the limited jurisdiction court may </w:t>
      </w:r>
      <w:r w:rsidRPr="00B872F9">
        <w:rPr>
          <w:sz w:val="28"/>
          <w:szCs w:val="28"/>
          <w:u w:val="single"/>
        </w:rPr>
        <w:t>not</w:t>
      </w:r>
      <w:r w:rsidR="00AE239C">
        <w:rPr>
          <w:sz w:val="28"/>
          <w:szCs w:val="28"/>
        </w:rPr>
        <w:t xml:space="preserve"> r</w:t>
      </w:r>
      <w:r w:rsidRPr="00AE239C">
        <w:rPr>
          <w:sz w:val="28"/>
          <w:szCs w:val="28"/>
        </w:rPr>
        <w:t>emand the defendant to an evaluating agency approved and licensed under Title 36 to being civil commitment proceedi</w:t>
      </w:r>
      <w:r w:rsidR="00AE239C">
        <w:rPr>
          <w:sz w:val="28"/>
          <w:szCs w:val="28"/>
        </w:rPr>
        <w:t>ngs under A.R.S. § 36-501 et seq., o</w:t>
      </w:r>
      <w:r w:rsidRPr="00AE239C">
        <w:rPr>
          <w:sz w:val="28"/>
          <w:szCs w:val="28"/>
        </w:rPr>
        <w:t xml:space="preserve">rder </w:t>
      </w:r>
      <w:r w:rsidR="002676D7" w:rsidRPr="00AE239C">
        <w:rPr>
          <w:sz w:val="28"/>
          <w:szCs w:val="28"/>
        </w:rPr>
        <w:t xml:space="preserve">the </w:t>
      </w:r>
      <w:r w:rsidRPr="00AE239C">
        <w:rPr>
          <w:sz w:val="28"/>
          <w:szCs w:val="28"/>
        </w:rPr>
        <w:t>appointment of a guardian under A</w:t>
      </w:r>
      <w:r w:rsidR="00AE239C" w:rsidRPr="00AE239C">
        <w:rPr>
          <w:sz w:val="28"/>
          <w:szCs w:val="28"/>
        </w:rPr>
        <w:t>.</w:t>
      </w:r>
      <w:r w:rsidRPr="00AE239C">
        <w:rPr>
          <w:sz w:val="28"/>
          <w:szCs w:val="28"/>
        </w:rPr>
        <w:t>R</w:t>
      </w:r>
      <w:r w:rsidR="00AE239C" w:rsidRPr="00AE239C">
        <w:rPr>
          <w:sz w:val="28"/>
          <w:szCs w:val="28"/>
        </w:rPr>
        <w:t>.</w:t>
      </w:r>
      <w:r w:rsidRPr="00AE239C">
        <w:rPr>
          <w:sz w:val="28"/>
          <w:szCs w:val="28"/>
        </w:rPr>
        <w:t>S</w:t>
      </w:r>
      <w:r w:rsidR="00AE239C" w:rsidRPr="00AE239C">
        <w:rPr>
          <w:sz w:val="28"/>
          <w:szCs w:val="28"/>
        </w:rPr>
        <w:t>. §</w:t>
      </w:r>
      <w:r w:rsidR="00AE239C">
        <w:rPr>
          <w:sz w:val="28"/>
          <w:szCs w:val="28"/>
        </w:rPr>
        <w:t xml:space="preserve"> 14-5301 et seq.</w:t>
      </w:r>
      <w:r w:rsidR="00A37383">
        <w:rPr>
          <w:sz w:val="28"/>
          <w:szCs w:val="28"/>
        </w:rPr>
        <w:t>, or</w:t>
      </w:r>
      <w:r w:rsidR="00AE239C">
        <w:rPr>
          <w:sz w:val="28"/>
          <w:szCs w:val="28"/>
        </w:rPr>
        <w:t xml:space="preserve"> r</w:t>
      </w:r>
      <w:r w:rsidRPr="00AE239C">
        <w:rPr>
          <w:sz w:val="28"/>
          <w:szCs w:val="28"/>
        </w:rPr>
        <w:t>etain jurisdiction and enter further orders as specified in A.R.S. § 13-4517 and § 13-4518.</w:t>
      </w:r>
    </w:p>
    <w:p w:rsidR="00B872F9" w:rsidRDefault="00B872F9" w:rsidP="00A37383">
      <w:pPr>
        <w:spacing w:line="480" w:lineRule="auto"/>
        <w:ind w:firstLine="720"/>
        <w:jc w:val="both"/>
        <w:rPr>
          <w:sz w:val="28"/>
          <w:szCs w:val="28"/>
        </w:rPr>
      </w:pPr>
      <w:r>
        <w:rPr>
          <w:sz w:val="28"/>
          <w:szCs w:val="28"/>
        </w:rPr>
        <w:t>The amen</w:t>
      </w:r>
      <w:r w:rsidR="002676D7">
        <w:rPr>
          <w:sz w:val="28"/>
          <w:szCs w:val="28"/>
        </w:rPr>
        <w:t xml:space="preserve">dment to Rule 11.5(b)(3) provides clarity.  Additionally, it </w:t>
      </w:r>
      <w:r w:rsidR="005C353D">
        <w:rPr>
          <w:sz w:val="28"/>
          <w:szCs w:val="28"/>
        </w:rPr>
        <w:t>conforms Rule 11.5(b)(3) to the same drafting style of Rule 11.5(b)(2) by breaking</w:t>
      </w:r>
      <w:r w:rsidR="001E5725">
        <w:rPr>
          <w:sz w:val="28"/>
          <w:szCs w:val="28"/>
        </w:rPr>
        <w:t xml:space="preserve"> out the jurisdiction of the superior court and the limited jurisdiction court into two separate</w:t>
      </w:r>
      <w:r w:rsidR="00F973F8">
        <w:rPr>
          <w:sz w:val="28"/>
          <w:szCs w:val="28"/>
        </w:rPr>
        <w:t xml:space="preserve"> subparts</w:t>
      </w:r>
      <w:r w:rsidR="002676D7">
        <w:rPr>
          <w:sz w:val="28"/>
          <w:szCs w:val="28"/>
        </w:rPr>
        <w:t>.</w:t>
      </w:r>
    </w:p>
    <w:p w:rsidR="0092381D" w:rsidRDefault="00F973F8" w:rsidP="004308A2">
      <w:pPr>
        <w:ind w:left="1080" w:hanging="360"/>
        <w:jc w:val="both"/>
        <w:rPr>
          <w:sz w:val="28"/>
          <w:szCs w:val="28"/>
        </w:rPr>
      </w:pPr>
      <w:r>
        <w:rPr>
          <w:b/>
          <w:i/>
          <w:sz w:val="28"/>
          <w:szCs w:val="28"/>
        </w:rPr>
        <w:t>C</w:t>
      </w:r>
      <w:r w:rsidR="005C3195">
        <w:rPr>
          <w:b/>
          <w:i/>
          <w:sz w:val="28"/>
          <w:szCs w:val="28"/>
        </w:rPr>
        <w:t>.</w:t>
      </w:r>
      <w:r>
        <w:rPr>
          <w:b/>
          <w:i/>
          <w:sz w:val="28"/>
          <w:szCs w:val="28"/>
        </w:rPr>
        <w:tab/>
        <w:t>C</w:t>
      </w:r>
      <w:r w:rsidR="00187035" w:rsidRPr="00B872F9">
        <w:rPr>
          <w:b/>
          <w:i/>
          <w:sz w:val="28"/>
          <w:szCs w:val="28"/>
        </w:rPr>
        <w:t>larifying</w:t>
      </w:r>
      <w:r w:rsidR="00B872F9">
        <w:rPr>
          <w:b/>
          <w:i/>
          <w:sz w:val="28"/>
          <w:szCs w:val="28"/>
        </w:rPr>
        <w:t xml:space="preserve"> </w:t>
      </w:r>
      <w:r w:rsidR="0092381D" w:rsidRPr="0092381D">
        <w:rPr>
          <w:b/>
          <w:i/>
          <w:sz w:val="28"/>
          <w:szCs w:val="28"/>
        </w:rPr>
        <w:t>changes to timeframes for the restoration of a defendant to competency</w:t>
      </w:r>
      <w:r w:rsidR="0092381D">
        <w:rPr>
          <w:sz w:val="28"/>
          <w:szCs w:val="28"/>
        </w:rPr>
        <w:t>.</w:t>
      </w:r>
    </w:p>
    <w:p w:rsidR="004308A2" w:rsidRPr="00B872F9" w:rsidRDefault="004308A2" w:rsidP="004308A2">
      <w:pPr>
        <w:ind w:left="1080" w:hanging="360"/>
        <w:jc w:val="both"/>
        <w:rPr>
          <w:b/>
          <w:i/>
          <w:sz w:val="28"/>
          <w:szCs w:val="28"/>
        </w:rPr>
      </w:pPr>
    </w:p>
    <w:p w:rsidR="009E2DC0" w:rsidRDefault="00A44A90" w:rsidP="00597806">
      <w:pPr>
        <w:spacing w:line="480" w:lineRule="auto"/>
        <w:ind w:firstLine="720"/>
        <w:jc w:val="both"/>
        <w:rPr>
          <w:sz w:val="28"/>
          <w:szCs w:val="28"/>
        </w:rPr>
      </w:pPr>
      <w:r>
        <w:rPr>
          <w:sz w:val="28"/>
          <w:szCs w:val="28"/>
        </w:rPr>
        <w:t>The am</w:t>
      </w:r>
      <w:r w:rsidR="000D4560">
        <w:rPr>
          <w:sz w:val="28"/>
          <w:szCs w:val="28"/>
        </w:rPr>
        <w:t>endments make several changes to</w:t>
      </w:r>
      <w:r>
        <w:rPr>
          <w:sz w:val="28"/>
          <w:szCs w:val="28"/>
        </w:rPr>
        <w:t xml:space="preserve"> Rule 11.5 and 11.6 to strike language relating to specific timeframes for court ordered restoration </w:t>
      </w:r>
      <w:r w:rsidR="000D4560">
        <w:rPr>
          <w:sz w:val="28"/>
          <w:szCs w:val="28"/>
        </w:rPr>
        <w:t>treatment.  A treatment order, or combination of orders, shall not be in effect for more than the maximum possible sentence the defendant could have received, excluding sentence enhan</w:t>
      </w:r>
      <w:r w:rsidR="001E5725">
        <w:rPr>
          <w:sz w:val="28"/>
          <w:szCs w:val="28"/>
        </w:rPr>
        <w:t>cements (A.R.S. § 13-4515(A))</w:t>
      </w:r>
      <w:r w:rsidR="00AB2B65">
        <w:rPr>
          <w:sz w:val="28"/>
          <w:szCs w:val="28"/>
        </w:rPr>
        <w:t>.</w:t>
      </w:r>
      <w:r w:rsidR="001E5725">
        <w:rPr>
          <w:sz w:val="28"/>
          <w:szCs w:val="28"/>
        </w:rPr>
        <w:t xml:space="preserve">  </w:t>
      </w:r>
      <w:r>
        <w:rPr>
          <w:sz w:val="28"/>
          <w:szCs w:val="28"/>
        </w:rPr>
        <w:t>In misdemeanor cases, the maximum term of incarcera</w:t>
      </w:r>
      <w:r w:rsidR="000D4560">
        <w:rPr>
          <w:sz w:val="28"/>
          <w:szCs w:val="28"/>
        </w:rPr>
        <w:t>tion will be less than</w:t>
      </w:r>
      <w:r w:rsidR="00F973F8">
        <w:rPr>
          <w:sz w:val="28"/>
          <w:szCs w:val="28"/>
        </w:rPr>
        <w:t xml:space="preserve"> the 15-month or 21-</w:t>
      </w:r>
      <w:r w:rsidR="000D4560">
        <w:rPr>
          <w:sz w:val="28"/>
          <w:szCs w:val="28"/>
        </w:rPr>
        <w:t xml:space="preserve">month time periods </w:t>
      </w:r>
      <w:r w:rsidR="00597806">
        <w:rPr>
          <w:sz w:val="28"/>
          <w:szCs w:val="28"/>
        </w:rPr>
        <w:t xml:space="preserve">currently </w:t>
      </w:r>
      <w:r w:rsidR="000D4560">
        <w:rPr>
          <w:sz w:val="28"/>
          <w:szCs w:val="28"/>
        </w:rPr>
        <w:t xml:space="preserve">cited in the rules.  The amendments strike these time periods and </w:t>
      </w:r>
      <w:r w:rsidR="005C353D">
        <w:rPr>
          <w:sz w:val="28"/>
          <w:szCs w:val="28"/>
        </w:rPr>
        <w:t>clarify that these</w:t>
      </w:r>
      <w:r w:rsidR="000D4560">
        <w:rPr>
          <w:sz w:val="28"/>
          <w:szCs w:val="28"/>
        </w:rPr>
        <w:t xml:space="preserve"> </w:t>
      </w:r>
      <w:r w:rsidR="00F973F8">
        <w:rPr>
          <w:sz w:val="28"/>
          <w:szCs w:val="28"/>
        </w:rPr>
        <w:t xml:space="preserve">treatment </w:t>
      </w:r>
      <w:r w:rsidR="000D4560">
        <w:rPr>
          <w:sz w:val="28"/>
          <w:szCs w:val="28"/>
        </w:rPr>
        <w:t>orders</w:t>
      </w:r>
      <w:r w:rsidR="005C353D">
        <w:rPr>
          <w:sz w:val="28"/>
          <w:szCs w:val="28"/>
        </w:rPr>
        <w:t xml:space="preserve"> are</w:t>
      </w:r>
      <w:r w:rsidR="000D4560">
        <w:rPr>
          <w:sz w:val="28"/>
          <w:szCs w:val="28"/>
        </w:rPr>
        <w:t xml:space="preserve"> to be in effect within the timeframes </w:t>
      </w:r>
      <w:r w:rsidR="004308A2">
        <w:rPr>
          <w:sz w:val="28"/>
          <w:szCs w:val="28"/>
        </w:rPr>
        <w:t>allowed</w:t>
      </w:r>
      <w:r w:rsidR="000D4560">
        <w:rPr>
          <w:sz w:val="28"/>
          <w:szCs w:val="28"/>
        </w:rPr>
        <w:t xml:space="preserve"> by law.</w:t>
      </w:r>
      <w:r w:rsidR="004308A2">
        <w:rPr>
          <w:sz w:val="28"/>
          <w:szCs w:val="28"/>
        </w:rPr>
        <w:t xml:space="preserve">  For purposes of internal consistency, the reference to 21 months in 11.5(b)(3) has also </w:t>
      </w:r>
      <w:r w:rsidR="004308A2">
        <w:rPr>
          <w:sz w:val="28"/>
          <w:szCs w:val="28"/>
        </w:rPr>
        <w:lastRenderedPageBreak/>
        <w:t>been changed to within the timeframes allowed by law.</w:t>
      </w:r>
    </w:p>
    <w:p w:rsidR="00597806" w:rsidRPr="000C2EAE" w:rsidRDefault="00597806" w:rsidP="00597806">
      <w:pPr>
        <w:spacing w:line="480" w:lineRule="auto"/>
        <w:ind w:firstLine="720"/>
        <w:jc w:val="both"/>
        <w:rPr>
          <w:sz w:val="28"/>
          <w:szCs w:val="28"/>
        </w:rPr>
      </w:pPr>
    </w:p>
    <w:p w:rsidR="00002B79" w:rsidRDefault="00317BEF" w:rsidP="00A67B9D">
      <w:pPr>
        <w:spacing w:line="480" w:lineRule="auto"/>
        <w:ind w:firstLine="720"/>
        <w:jc w:val="both"/>
        <w:rPr>
          <w:sz w:val="28"/>
          <w:szCs w:val="28"/>
        </w:rPr>
      </w:pPr>
      <w:r>
        <w:rPr>
          <w:b/>
          <w:sz w:val="28"/>
          <w:szCs w:val="28"/>
        </w:rPr>
        <w:t>II</w:t>
      </w:r>
      <w:r w:rsidR="00002B79">
        <w:rPr>
          <w:b/>
          <w:sz w:val="28"/>
          <w:szCs w:val="28"/>
        </w:rPr>
        <w:t>. Preliminary Comments</w:t>
      </w:r>
      <w:r w:rsidR="00002B79">
        <w:rPr>
          <w:sz w:val="28"/>
          <w:szCs w:val="28"/>
        </w:rPr>
        <w:t>.</w:t>
      </w:r>
      <w:r w:rsidR="00766541">
        <w:rPr>
          <w:sz w:val="28"/>
          <w:szCs w:val="28"/>
        </w:rPr>
        <w:t xml:space="preserve"> </w:t>
      </w:r>
      <w:r w:rsidR="00002B79">
        <w:rPr>
          <w:sz w:val="28"/>
          <w:szCs w:val="28"/>
        </w:rPr>
        <w:t xml:space="preserve"> </w:t>
      </w:r>
      <w:r w:rsidR="00A67B9D">
        <w:rPr>
          <w:sz w:val="28"/>
          <w:szCs w:val="28"/>
        </w:rPr>
        <w:t>While the Task Force</w:t>
      </w:r>
      <w:r w:rsidR="00597806">
        <w:rPr>
          <w:sz w:val="28"/>
          <w:szCs w:val="28"/>
        </w:rPr>
        <w:t>’s Subcommittee on Mental Health and the Criminal Justice System</w:t>
      </w:r>
      <w:r w:rsidR="00A67B9D">
        <w:rPr>
          <w:sz w:val="28"/>
          <w:szCs w:val="28"/>
        </w:rPr>
        <w:t xml:space="preserve"> included a very comprehensive cross-section of</w:t>
      </w:r>
      <w:r w:rsidR="0085208F">
        <w:rPr>
          <w:sz w:val="28"/>
          <w:szCs w:val="28"/>
        </w:rPr>
        <w:t xml:space="preserve"> the criminal justice </w:t>
      </w:r>
      <w:r w:rsidR="00597806">
        <w:rPr>
          <w:sz w:val="28"/>
          <w:szCs w:val="28"/>
        </w:rPr>
        <w:t xml:space="preserve">and mental health </w:t>
      </w:r>
      <w:r w:rsidR="0085208F">
        <w:rPr>
          <w:sz w:val="28"/>
          <w:szCs w:val="28"/>
        </w:rPr>
        <w:t>co</w:t>
      </w:r>
      <w:r w:rsidR="00597806">
        <w:rPr>
          <w:sz w:val="28"/>
          <w:szCs w:val="28"/>
        </w:rPr>
        <w:t>mmunities</w:t>
      </w:r>
      <w:r w:rsidR="00A67B9D">
        <w:rPr>
          <w:sz w:val="28"/>
          <w:szCs w:val="28"/>
        </w:rPr>
        <w:t xml:space="preserve"> </w:t>
      </w:r>
      <w:r w:rsidR="0085208F">
        <w:rPr>
          <w:sz w:val="28"/>
          <w:szCs w:val="28"/>
        </w:rPr>
        <w:t xml:space="preserve">and the proposed rule amendments were either specifically recommended or </w:t>
      </w:r>
      <w:r w:rsidR="00597806">
        <w:rPr>
          <w:sz w:val="28"/>
          <w:szCs w:val="28"/>
        </w:rPr>
        <w:t>promote one or more Task Force’s directives to the Subcommittee</w:t>
      </w:r>
      <w:r w:rsidR="0085208F">
        <w:rPr>
          <w:sz w:val="28"/>
          <w:szCs w:val="28"/>
        </w:rPr>
        <w:t xml:space="preserve">, the specific language of </w:t>
      </w:r>
      <w:r w:rsidR="00A67B9D">
        <w:rPr>
          <w:sz w:val="28"/>
          <w:szCs w:val="28"/>
        </w:rPr>
        <w:t>t</w:t>
      </w:r>
      <w:r w:rsidR="00555CF7">
        <w:rPr>
          <w:sz w:val="28"/>
          <w:szCs w:val="28"/>
        </w:rPr>
        <w:t xml:space="preserve">his petition </w:t>
      </w:r>
      <w:r w:rsidR="0085208F">
        <w:rPr>
          <w:sz w:val="28"/>
          <w:szCs w:val="28"/>
        </w:rPr>
        <w:t>has not</w:t>
      </w:r>
      <w:r w:rsidR="00A67B9D">
        <w:rPr>
          <w:sz w:val="28"/>
          <w:szCs w:val="28"/>
        </w:rPr>
        <w:t xml:space="preserve"> </w:t>
      </w:r>
      <w:r w:rsidR="0085208F">
        <w:rPr>
          <w:sz w:val="28"/>
          <w:szCs w:val="28"/>
        </w:rPr>
        <w:t xml:space="preserve">been </w:t>
      </w:r>
      <w:r w:rsidR="00555CF7">
        <w:rPr>
          <w:sz w:val="28"/>
          <w:szCs w:val="28"/>
        </w:rPr>
        <w:t xml:space="preserve">circulated </w:t>
      </w:r>
      <w:r w:rsidR="0085208F">
        <w:rPr>
          <w:sz w:val="28"/>
          <w:szCs w:val="28"/>
        </w:rPr>
        <w:t xml:space="preserve">to other criminal justice system </w:t>
      </w:r>
      <w:r w:rsidR="00597806">
        <w:rPr>
          <w:sz w:val="28"/>
          <w:szCs w:val="28"/>
        </w:rPr>
        <w:t xml:space="preserve">or mental health </w:t>
      </w:r>
      <w:r w:rsidR="0085208F">
        <w:rPr>
          <w:sz w:val="28"/>
          <w:szCs w:val="28"/>
        </w:rPr>
        <w:t xml:space="preserve">stakeholders </w:t>
      </w:r>
      <w:r w:rsidR="00555CF7">
        <w:rPr>
          <w:sz w:val="28"/>
          <w:szCs w:val="28"/>
        </w:rPr>
        <w:t>for comment</w:t>
      </w:r>
      <w:r w:rsidR="00A67B9D">
        <w:rPr>
          <w:sz w:val="28"/>
          <w:szCs w:val="28"/>
        </w:rPr>
        <w:t xml:space="preserve"> before filing</w:t>
      </w:r>
      <w:r w:rsidR="00555CF7">
        <w:rPr>
          <w:sz w:val="28"/>
          <w:szCs w:val="28"/>
        </w:rPr>
        <w:t>.</w:t>
      </w:r>
      <w:r w:rsidR="0085208F">
        <w:rPr>
          <w:sz w:val="28"/>
          <w:szCs w:val="28"/>
        </w:rPr>
        <w:t xml:space="preserve">  Therefore, an opportunity for</w:t>
      </w:r>
      <w:r w:rsidR="00F973F8">
        <w:rPr>
          <w:sz w:val="28"/>
          <w:szCs w:val="28"/>
        </w:rPr>
        <w:t xml:space="preserve"> comment as part of the Court’s</w:t>
      </w:r>
      <w:r w:rsidR="0085208F">
        <w:rPr>
          <w:sz w:val="28"/>
          <w:szCs w:val="28"/>
        </w:rPr>
        <w:t xml:space="preserve"> review is recommended.</w:t>
      </w:r>
    </w:p>
    <w:p w:rsidR="00C530B0" w:rsidRPr="007809E9" w:rsidRDefault="00C530B0" w:rsidP="00C530B0">
      <w:pPr>
        <w:spacing w:line="480" w:lineRule="auto"/>
        <w:ind w:firstLine="720"/>
        <w:rPr>
          <w:sz w:val="28"/>
          <w:szCs w:val="28"/>
        </w:rPr>
      </w:pPr>
      <w:r>
        <w:rPr>
          <w:sz w:val="28"/>
          <w:szCs w:val="28"/>
        </w:rPr>
        <w:t>Wherefore, p</w:t>
      </w:r>
      <w:r w:rsidRPr="007809E9">
        <w:rPr>
          <w:sz w:val="28"/>
          <w:szCs w:val="28"/>
        </w:rPr>
        <w:t xml:space="preserve">etitioner respectfully requests that the Court </w:t>
      </w:r>
      <w:r>
        <w:rPr>
          <w:sz w:val="28"/>
          <w:szCs w:val="28"/>
        </w:rPr>
        <w:t xml:space="preserve">amend the Rules of Criminal Procedure as proposed in </w:t>
      </w:r>
      <w:r w:rsidR="00F973F8">
        <w:rPr>
          <w:sz w:val="28"/>
          <w:szCs w:val="28"/>
        </w:rPr>
        <w:t>Appendix A</w:t>
      </w:r>
      <w:r w:rsidRPr="007809E9">
        <w:rPr>
          <w:sz w:val="28"/>
          <w:szCs w:val="28"/>
        </w:rPr>
        <w:t>.</w:t>
      </w:r>
    </w:p>
    <w:p w:rsidR="00002B79" w:rsidRDefault="00002B79" w:rsidP="00002B79">
      <w:pPr>
        <w:ind w:firstLine="720"/>
        <w:jc w:val="both"/>
        <w:rPr>
          <w:sz w:val="28"/>
          <w:szCs w:val="28"/>
        </w:rPr>
      </w:pPr>
      <w:r>
        <w:rPr>
          <w:sz w:val="28"/>
          <w:szCs w:val="28"/>
        </w:rPr>
        <w:t xml:space="preserve">RESPECTFULLY SUBMITTED this </w:t>
      </w:r>
      <w:r w:rsidR="009C7E0D">
        <w:rPr>
          <w:sz w:val="28"/>
          <w:szCs w:val="28"/>
        </w:rPr>
        <w:t>10th</w:t>
      </w:r>
      <w:r>
        <w:rPr>
          <w:sz w:val="28"/>
          <w:szCs w:val="28"/>
        </w:rPr>
        <w:t xml:space="preserve"> day of </w:t>
      </w:r>
      <w:proofErr w:type="gramStart"/>
      <w:r w:rsidR="009C7E0D">
        <w:rPr>
          <w:sz w:val="28"/>
          <w:szCs w:val="28"/>
        </w:rPr>
        <w:t>January</w:t>
      </w:r>
      <w:r>
        <w:rPr>
          <w:sz w:val="28"/>
          <w:szCs w:val="28"/>
        </w:rPr>
        <w:t>,</w:t>
      </w:r>
      <w:proofErr w:type="gramEnd"/>
      <w:r>
        <w:rPr>
          <w:sz w:val="28"/>
          <w:szCs w:val="28"/>
        </w:rPr>
        <w:t xml:space="preserve"> 201</w:t>
      </w:r>
      <w:r w:rsidR="00AB2B65">
        <w:rPr>
          <w:sz w:val="28"/>
          <w:szCs w:val="28"/>
        </w:rPr>
        <w:t>8</w:t>
      </w:r>
      <w:r w:rsidR="00766541">
        <w:rPr>
          <w:sz w:val="28"/>
          <w:szCs w:val="28"/>
        </w:rPr>
        <w:t>.</w:t>
      </w:r>
    </w:p>
    <w:p w:rsidR="00002B79" w:rsidRDefault="00002B79" w:rsidP="00002B79">
      <w:pPr>
        <w:jc w:val="both"/>
        <w:rPr>
          <w:sz w:val="28"/>
          <w:szCs w:val="28"/>
        </w:rPr>
      </w:pPr>
    </w:p>
    <w:p w:rsidR="00002B79" w:rsidRDefault="00766541" w:rsidP="00766541">
      <w:pPr>
        <w:tabs>
          <w:tab w:val="left" w:pos="3600"/>
        </w:tabs>
        <w:jc w:val="both"/>
        <w:rPr>
          <w:sz w:val="28"/>
          <w:szCs w:val="28"/>
        </w:rPr>
      </w:pPr>
      <w:r>
        <w:rPr>
          <w:sz w:val="28"/>
          <w:szCs w:val="28"/>
        </w:rPr>
        <w:tab/>
      </w:r>
      <w:r w:rsidR="002F6CDD">
        <w:rPr>
          <w:sz w:val="28"/>
          <w:szCs w:val="28"/>
        </w:rPr>
        <w:t xml:space="preserve">By </w:t>
      </w:r>
      <w:r w:rsidR="00A55461">
        <w:rPr>
          <w:sz w:val="28"/>
          <w:szCs w:val="28"/>
          <w:u w:val="single"/>
        </w:rPr>
        <w:t>/s/</w:t>
      </w:r>
      <w:r w:rsidR="002F6CDD">
        <w:rPr>
          <w:sz w:val="28"/>
          <w:szCs w:val="28"/>
        </w:rPr>
        <w:t>___________________________</w:t>
      </w:r>
    </w:p>
    <w:p w:rsidR="00002B79" w:rsidRDefault="00002B79" w:rsidP="00766541">
      <w:pPr>
        <w:tabs>
          <w:tab w:val="left" w:pos="3600"/>
        </w:tabs>
        <w:jc w:val="both"/>
        <w:rPr>
          <w:sz w:val="28"/>
          <w:szCs w:val="28"/>
        </w:rPr>
      </w:pPr>
      <w:r>
        <w:rPr>
          <w:sz w:val="28"/>
          <w:szCs w:val="28"/>
        </w:rPr>
        <w:tab/>
        <w:t>David K. Byers, Administrative Director</w:t>
      </w:r>
    </w:p>
    <w:p w:rsidR="00002B79" w:rsidRDefault="00002B79" w:rsidP="00766541">
      <w:pPr>
        <w:tabs>
          <w:tab w:val="left" w:pos="3600"/>
        </w:tabs>
        <w:jc w:val="both"/>
        <w:rPr>
          <w:sz w:val="28"/>
          <w:szCs w:val="28"/>
        </w:rPr>
      </w:pPr>
      <w:r>
        <w:rPr>
          <w:sz w:val="28"/>
          <w:szCs w:val="28"/>
        </w:rPr>
        <w:tab/>
        <w:t>Administrative Office of the Courts</w:t>
      </w:r>
    </w:p>
    <w:p w:rsidR="00002B79" w:rsidRDefault="00002B79" w:rsidP="00766541">
      <w:pPr>
        <w:tabs>
          <w:tab w:val="left" w:pos="3600"/>
        </w:tabs>
        <w:jc w:val="both"/>
        <w:rPr>
          <w:sz w:val="28"/>
          <w:szCs w:val="28"/>
        </w:rPr>
      </w:pPr>
      <w:r>
        <w:rPr>
          <w:sz w:val="28"/>
          <w:szCs w:val="28"/>
        </w:rPr>
        <w:tab/>
        <w:t>1501 W. Washington Street, Suite 411</w:t>
      </w:r>
    </w:p>
    <w:p w:rsidR="00002B79" w:rsidRDefault="00002B79" w:rsidP="00766541">
      <w:pPr>
        <w:tabs>
          <w:tab w:val="left" w:pos="3600"/>
        </w:tabs>
        <w:rPr>
          <w:sz w:val="28"/>
          <w:szCs w:val="28"/>
        </w:rPr>
      </w:pPr>
      <w:r>
        <w:rPr>
          <w:sz w:val="28"/>
          <w:szCs w:val="28"/>
        </w:rPr>
        <w:tab/>
        <w:t>Phoenix, AZ 85007</w:t>
      </w:r>
    </w:p>
    <w:p w:rsidR="00002B79" w:rsidRDefault="00002B79" w:rsidP="00766541">
      <w:pPr>
        <w:tabs>
          <w:tab w:val="left" w:pos="3600"/>
        </w:tabs>
        <w:rPr>
          <w:sz w:val="28"/>
          <w:szCs w:val="28"/>
        </w:rPr>
      </w:pPr>
      <w:r>
        <w:rPr>
          <w:sz w:val="28"/>
          <w:szCs w:val="28"/>
        </w:rPr>
        <w:tab/>
        <w:t>(602) 452- 3301</w:t>
      </w:r>
    </w:p>
    <w:p w:rsidR="002F6CDD" w:rsidRDefault="00002B79" w:rsidP="001E5725">
      <w:pPr>
        <w:tabs>
          <w:tab w:val="left" w:pos="3600"/>
        </w:tabs>
        <w:rPr>
          <w:sz w:val="28"/>
          <w:szCs w:val="28"/>
        </w:rPr>
      </w:pPr>
      <w:r>
        <w:rPr>
          <w:sz w:val="28"/>
          <w:szCs w:val="28"/>
        </w:rPr>
        <w:tab/>
      </w:r>
      <w:r w:rsidR="00AB2B65">
        <w:rPr>
          <w:sz w:val="28"/>
          <w:szCs w:val="28"/>
        </w:rPr>
        <w:t>Projects2@courts.az</w:t>
      </w:r>
    </w:p>
    <w:p w:rsidR="00AB2B65" w:rsidRDefault="00AB2B65" w:rsidP="001E5725">
      <w:pPr>
        <w:tabs>
          <w:tab w:val="left" w:pos="3600"/>
        </w:tabs>
        <w:rPr>
          <w:sz w:val="28"/>
          <w:szCs w:val="28"/>
        </w:rPr>
      </w:pPr>
    </w:p>
    <w:p w:rsidR="008E64F5" w:rsidRDefault="008E64F5" w:rsidP="001E5725">
      <w:pPr>
        <w:tabs>
          <w:tab w:val="left" w:pos="3600"/>
        </w:tabs>
        <w:rPr>
          <w:sz w:val="28"/>
          <w:szCs w:val="28"/>
        </w:rPr>
        <w:sectPr w:rsidR="008E64F5" w:rsidSect="009C6A75">
          <w:footerReference w:type="default" r:id="rId8"/>
          <w:footerReference w:type="first" r:id="rId9"/>
          <w:pgSz w:w="12240" w:h="15840"/>
          <w:pgMar w:top="1440" w:right="1440" w:bottom="1440" w:left="1440" w:header="720" w:footer="720" w:gutter="0"/>
          <w:pgNumType w:start="1"/>
          <w:cols w:space="720"/>
          <w:docGrid w:linePitch="326"/>
        </w:sectPr>
      </w:pPr>
    </w:p>
    <w:p w:rsidR="00C96C36" w:rsidRDefault="00C96C36">
      <w:pPr>
        <w:widowControl/>
        <w:autoSpaceDE/>
        <w:autoSpaceDN/>
        <w:adjustRightInd/>
        <w:spacing w:after="160" w:line="259" w:lineRule="auto"/>
        <w:rPr>
          <w:b/>
          <w:sz w:val="28"/>
          <w:szCs w:val="28"/>
          <w:u w:val="single"/>
        </w:rPr>
      </w:pPr>
    </w:p>
    <w:p w:rsidR="008E64F5" w:rsidRDefault="008E64F5">
      <w:pPr>
        <w:widowControl/>
        <w:autoSpaceDE/>
        <w:autoSpaceDN/>
        <w:adjustRightInd/>
        <w:spacing w:after="160" w:line="259" w:lineRule="auto"/>
        <w:rPr>
          <w:b/>
          <w:sz w:val="28"/>
          <w:szCs w:val="28"/>
          <w:u w:val="single"/>
        </w:rPr>
      </w:pPr>
    </w:p>
    <w:p w:rsidR="008E64F5" w:rsidRDefault="008E64F5">
      <w:pPr>
        <w:widowControl/>
        <w:autoSpaceDE/>
        <w:autoSpaceDN/>
        <w:adjustRightInd/>
        <w:spacing w:after="160" w:line="259" w:lineRule="auto"/>
        <w:rPr>
          <w:b/>
          <w:sz w:val="28"/>
          <w:szCs w:val="28"/>
          <w:u w:val="single"/>
        </w:rPr>
      </w:pPr>
    </w:p>
    <w:p w:rsidR="008E64F5" w:rsidRDefault="008E64F5">
      <w:pPr>
        <w:widowControl/>
        <w:autoSpaceDE/>
        <w:autoSpaceDN/>
        <w:adjustRightInd/>
        <w:spacing w:after="160" w:line="259" w:lineRule="auto"/>
        <w:rPr>
          <w:b/>
          <w:sz w:val="28"/>
          <w:szCs w:val="28"/>
          <w:u w:val="single"/>
        </w:rPr>
      </w:pPr>
      <w:bookmarkStart w:id="1" w:name="_GoBack"/>
      <w:bookmarkEnd w:id="1"/>
    </w:p>
    <w:p w:rsidR="00234836" w:rsidRPr="00083CE6" w:rsidRDefault="00234836" w:rsidP="009C7E0D">
      <w:pPr>
        <w:jc w:val="center"/>
        <w:rPr>
          <w:b/>
          <w:sz w:val="28"/>
          <w:szCs w:val="28"/>
          <w:u w:val="single"/>
        </w:rPr>
      </w:pPr>
      <w:r w:rsidRPr="00083CE6">
        <w:rPr>
          <w:b/>
          <w:sz w:val="28"/>
          <w:szCs w:val="28"/>
          <w:u w:val="single"/>
        </w:rPr>
        <w:lastRenderedPageBreak/>
        <w:t>APPENDIX A</w:t>
      </w:r>
    </w:p>
    <w:p w:rsidR="00234836" w:rsidRDefault="00234836" w:rsidP="00C96C36">
      <w:pPr>
        <w:rPr>
          <w:sz w:val="28"/>
          <w:szCs w:val="28"/>
        </w:rPr>
      </w:pPr>
      <w:r>
        <w:rPr>
          <w:sz w:val="28"/>
          <w:szCs w:val="28"/>
        </w:rPr>
        <w:t xml:space="preserve">(language to be removed is shown in </w:t>
      </w:r>
      <w:r w:rsidRPr="004308A2">
        <w:rPr>
          <w:strike/>
          <w:sz w:val="28"/>
          <w:szCs w:val="28"/>
        </w:rPr>
        <w:t>strikethrough</w:t>
      </w:r>
      <w:r>
        <w:rPr>
          <w:sz w:val="28"/>
          <w:szCs w:val="28"/>
        </w:rPr>
        <w:t xml:space="preserve">, new language is </w:t>
      </w:r>
      <w:r w:rsidRPr="004308A2">
        <w:rPr>
          <w:sz w:val="28"/>
          <w:szCs w:val="28"/>
          <w:u w:val="single"/>
        </w:rPr>
        <w:t>underlined</w:t>
      </w:r>
      <w:r>
        <w:rPr>
          <w:sz w:val="28"/>
          <w:szCs w:val="28"/>
        </w:rPr>
        <w:t>)</w:t>
      </w:r>
    </w:p>
    <w:p w:rsidR="00234836" w:rsidRDefault="00234836" w:rsidP="004308A2">
      <w:pPr>
        <w:jc w:val="center"/>
        <w:rPr>
          <w:sz w:val="28"/>
          <w:szCs w:val="28"/>
        </w:rPr>
      </w:pPr>
      <w:r>
        <w:rPr>
          <w:sz w:val="28"/>
          <w:szCs w:val="28"/>
        </w:rPr>
        <w:t>(amendments are to the Rules in effect on April 2, 2018)</w:t>
      </w:r>
    </w:p>
    <w:p w:rsidR="00234836" w:rsidRPr="00083CE6" w:rsidRDefault="00234836" w:rsidP="00C96C36">
      <w:pPr>
        <w:rPr>
          <w:sz w:val="28"/>
          <w:szCs w:val="28"/>
        </w:rPr>
      </w:pPr>
    </w:p>
    <w:p w:rsidR="00234836" w:rsidRDefault="00234836" w:rsidP="00C96C36">
      <w:pPr>
        <w:rPr>
          <w:b/>
          <w:sz w:val="28"/>
          <w:szCs w:val="28"/>
        </w:rPr>
      </w:pPr>
    </w:p>
    <w:p w:rsidR="00C96C36" w:rsidRDefault="00C96C36" w:rsidP="00C96C36">
      <w:pPr>
        <w:rPr>
          <w:b/>
          <w:sz w:val="28"/>
          <w:szCs w:val="28"/>
        </w:rPr>
      </w:pPr>
      <w:bookmarkStart w:id="2" w:name="_Hlk491348045"/>
    </w:p>
    <w:p w:rsidR="00C96C36" w:rsidRPr="00AC2049" w:rsidRDefault="00C96C36" w:rsidP="00C96C36">
      <w:pPr>
        <w:rPr>
          <w:b/>
        </w:rPr>
      </w:pPr>
      <w:r w:rsidRPr="00AC2049">
        <w:rPr>
          <w:b/>
        </w:rPr>
        <w:t>Rule 11.5 Hearing and Orders</w:t>
      </w:r>
    </w:p>
    <w:p w:rsidR="00C96C36" w:rsidRPr="00AC2049" w:rsidRDefault="00C96C36" w:rsidP="00C96C36"/>
    <w:p w:rsidR="00C96C36" w:rsidRPr="00AC2049" w:rsidRDefault="00C96C36" w:rsidP="00C96C36">
      <w:pPr>
        <w:pStyle w:val="ListParagraph"/>
        <w:widowControl/>
        <w:numPr>
          <w:ilvl w:val="0"/>
          <w:numId w:val="14"/>
        </w:numPr>
        <w:autoSpaceDE/>
        <w:autoSpaceDN/>
        <w:adjustRightInd/>
        <w:ind w:left="360"/>
      </w:pPr>
      <w:r>
        <w:rPr>
          <w:b/>
        </w:rPr>
        <w:t>[No change]</w:t>
      </w:r>
    </w:p>
    <w:p w:rsidR="00C96C36" w:rsidRPr="00AC2049" w:rsidRDefault="00C96C36" w:rsidP="00C96C36">
      <w:pPr>
        <w:pStyle w:val="ListParagraph"/>
      </w:pPr>
    </w:p>
    <w:p w:rsidR="00C96C36" w:rsidRPr="00AC2049" w:rsidRDefault="00C96C36" w:rsidP="00C96C36">
      <w:pPr>
        <w:pStyle w:val="ListParagraph"/>
        <w:widowControl/>
        <w:numPr>
          <w:ilvl w:val="0"/>
          <w:numId w:val="14"/>
        </w:numPr>
        <w:autoSpaceDE/>
        <w:autoSpaceDN/>
        <w:adjustRightInd/>
        <w:ind w:left="360"/>
        <w:rPr>
          <w:b/>
        </w:rPr>
      </w:pPr>
      <w:r w:rsidRPr="00AC2049">
        <w:rPr>
          <w:b/>
        </w:rPr>
        <w:t>Orders.</w:t>
      </w:r>
    </w:p>
    <w:p w:rsidR="00C96C36" w:rsidRPr="00AC2049" w:rsidRDefault="00C96C36" w:rsidP="00C96C36">
      <w:pPr>
        <w:ind w:left="720"/>
        <w:rPr>
          <w:b/>
        </w:rPr>
      </w:pPr>
    </w:p>
    <w:p w:rsidR="00C96C36" w:rsidRPr="00AC2049" w:rsidRDefault="00C96C36" w:rsidP="00C96C36">
      <w:pPr>
        <w:ind w:left="720" w:hanging="360"/>
      </w:pPr>
      <w:r w:rsidRPr="00AC2049">
        <w:rPr>
          <w:b/>
        </w:rPr>
        <w:t>(1)</w:t>
      </w:r>
      <w:r w:rsidRPr="00AC2049">
        <w:t xml:space="preserve"> </w:t>
      </w:r>
      <w:r w:rsidRPr="00083CE6">
        <w:rPr>
          <w:b/>
        </w:rPr>
        <w:t>[No change]</w:t>
      </w:r>
      <w:r w:rsidRPr="00083CE6">
        <w:t>.</w:t>
      </w:r>
    </w:p>
    <w:p w:rsidR="00C96C36" w:rsidRPr="00AC2049" w:rsidRDefault="00C96C36" w:rsidP="00C96C36">
      <w:pPr>
        <w:ind w:left="720" w:hanging="360"/>
        <w:rPr>
          <w:b/>
        </w:rPr>
      </w:pPr>
    </w:p>
    <w:p w:rsidR="00C96C36" w:rsidRPr="00EA71F1" w:rsidRDefault="00C96C36" w:rsidP="00C96C36">
      <w:pPr>
        <w:ind w:left="360"/>
      </w:pPr>
      <w:r w:rsidRPr="00EA71F1">
        <w:rPr>
          <w:b/>
        </w:rPr>
        <w:t>(2)</w:t>
      </w:r>
      <w:r w:rsidRPr="00EA71F1">
        <w:t xml:space="preserve"> </w:t>
      </w:r>
      <w:r w:rsidRPr="00EA71F1">
        <w:rPr>
          <w:b/>
          <w:i/>
        </w:rPr>
        <w:t>If Incompetent but Restorable</w:t>
      </w:r>
      <w:r>
        <w:rPr>
          <w:b/>
          <w:i/>
        </w:rPr>
        <w:t>.</w:t>
      </w:r>
    </w:p>
    <w:p w:rsidR="00C96C36" w:rsidRPr="00EA71F1" w:rsidRDefault="00C96C36" w:rsidP="00C96C36">
      <w:pPr>
        <w:ind w:left="720" w:hanging="360"/>
      </w:pPr>
    </w:p>
    <w:p w:rsidR="00C96C36" w:rsidRPr="00083CE6" w:rsidRDefault="00C96C36" w:rsidP="00C96C36">
      <w:pPr>
        <w:pStyle w:val="ListParagraph"/>
        <w:widowControl/>
        <w:numPr>
          <w:ilvl w:val="0"/>
          <w:numId w:val="15"/>
        </w:numPr>
        <w:autoSpaceDE/>
        <w:autoSpaceDN/>
        <w:adjustRightInd/>
        <w:ind w:left="1080" w:hanging="360"/>
        <w:rPr>
          <w:u w:val="single"/>
        </w:rPr>
      </w:pPr>
      <w:r w:rsidRPr="00083CE6">
        <w:rPr>
          <w:i/>
          <w:strike/>
        </w:rPr>
        <w:t>Generally.</w:t>
      </w:r>
      <w:r w:rsidRPr="00083CE6">
        <w:rPr>
          <w:strike/>
        </w:rPr>
        <w:t xml:space="preserve"> If a limited jurisdiction court determines that a defendant is incompetent, it must either dismiss the charges on the State’s motion, or transfer the case to the superior court for further proceedings. Upon transfer from a limited jurisdiction court, or if a superior court determines that the defendant is incompetent, it must order competency restoration treatment, unless there is clear and convincing evidence that the defendant will not regain competence within 15 months.</w:t>
      </w:r>
      <w:r w:rsidRPr="00083CE6">
        <w:t xml:space="preserve"> </w:t>
      </w:r>
    </w:p>
    <w:p w:rsidR="00C96C36" w:rsidRPr="00083CE6" w:rsidRDefault="00C96C36" w:rsidP="00C96C36">
      <w:pPr>
        <w:pStyle w:val="ListParagraph"/>
        <w:ind w:left="1080"/>
        <w:rPr>
          <w:u w:val="single"/>
        </w:rPr>
      </w:pPr>
    </w:p>
    <w:p w:rsidR="00C96C36" w:rsidRPr="00083CE6" w:rsidRDefault="00C96C36" w:rsidP="00C96C36">
      <w:pPr>
        <w:ind w:left="1080" w:hanging="360"/>
        <w:rPr>
          <w:u w:val="single"/>
        </w:rPr>
      </w:pPr>
      <w:r w:rsidRPr="00083CE6">
        <w:rPr>
          <w:u w:val="single"/>
        </w:rPr>
        <w:t xml:space="preserve">(A) </w:t>
      </w:r>
      <w:r w:rsidRPr="00083CE6">
        <w:rPr>
          <w:i/>
          <w:u w:val="single"/>
        </w:rPr>
        <w:t>Superior Court</w:t>
      </w:r>
      <w:r w:rsidRPr="00083CE6">
        <w:rPr>
          <w:u w:val="single"/>
        </w:rPr>
        <w:t>.  If a superior court determines that the defendant is incompetent, it must either dismiss the charges on the State’s motion or order competency restoration treatment, unless there is clear and convincing evidence that the defendant will not regain competence within the timeframes allowed by law.</w:t>
      </w:r>
    </w:p>
    <w:p w:rsidR="00C96C36" w:rsidRPr="00083CE6" w:rsidRDefault="00C96C36" w:rsidP="00C96C36">
      <w:pPr>
        <w:ind w:left="1440" w:hanging="360"/>
        <w:rPr>
          <w:u w:val="single"/>
        </w:rPr>
      </w:pPr>
    </w:p>
    <w:p w:rsidR="00C96C36" w:rsidRPr="00083CE6" w:rsidRDefault="00C96C36" w:rsidP="00C96C36">
      <w:pPr>
        <w:ind w:left="1080" w:hanging="360"/>
        <w:rPr>
          <w:u w:val="single"/>
        </w:rPr>
      </w:pPr>
      <w:r w:rsidRPr="00083CE6">
        <w:rPr>
          <w:u w:val="single"/>
        </w:rPr>
        <w:t xml:space="preserve">(B) </w:t>
      </w:r>
      <w:r w:rsidRPr="00083CE6">
        <w:rPr>
          <w:i/>
          <w:u w:val="single"/>
        </w:rPr>
        <w:t>Limited Jurisdiction Court.</w:t>
      </w:r>
      <w:r w:rsidRPr="00083CE6">
        <w:rPr>
          <w:u w:val="single"/>
        </w:rPr>
        <w:t xml:space="preserve">  If a limited jurisdiction court determines that the defendant is incompetent, it must dismiss the charges on the State’s motion, transfer the case to the superior court for further proceedings pursuant to A.R.S. §13-4517, or, if authorized by the presiding judge of the superior court, order competency restoration treatment, unless there is clear and convincing evidence that the defendant will not regain competence within the timeframes allowed by law. </w:t>
      </w:r>
    </w:p>
    <w:p w:rsidR="00C96C36" w:rsidRPr="00083CE6" w:rsidRDefault="00C96C36" w:rsidP="00C96C36">
      <w:pPr>
        <w:ind w:left="1440" w:hanging="360"/>
      </w:pPr>
    </w:p>
    <w:p w:rsidR="00C96C36" w:rsidRPr="00083CE6" w:rsidRDefault="00C96C36" w:rsidP="00C96C36">
      <w:pPr>
        <w:ind w:left="720"/>
      </w:pPr>
      <w:r w:rsidRPr="00083CE6">
        <w:t>(C)</w:t>
      </w:r>
      <w:r w:rsidRPr="00083CE6">
        <w:rPr>
          <w:i/>
        </w:rPr>
        <w:t xml:space="preserve"> Extended Treatment.</w:t>
      </w:r>
      <w:r w:rsidRPr="00083CE6">
        <w:t xml:space="preserve"> The court may extend treatment </w:t>
      </w:r>
      <w:r w:rsidRPr="00083CE6">
        <w:rPr>
          <w:strike/>
        </w:rPr>
        <w:t>for 6 months beyond the</w:t>
      </w:r>
      <w:r w:rsidRPr="00083CE6">
        <w:t xml:space="preserve"> </w:t>
      </w:r>
      <w:r w:rsidRPr="00083CE6">
        <w:rPr>
          <w:strike/>
        </w:rPr>
        <w:t>15-month limit</w:t>
      </w:r>
      <w:r w:rsidRPr="00083CE6">
        <w:t xml:space="preserve"> </w:t>
      </w:r>
      <w:r w:rsidRPr="00083CE6">
        <w:rPr>
          <w:u w:val="single"/>
        </w:rPr>
        <w:t>as permitted by law</w:t>
      </w:r>
      <w:r w:rsidRPr="00083CE6">
        <w:t xml:space="preserve"> if it finds that the defendant is progressing toward competence.</w:t>
      </w:r>
    </w:p>
    <w:p w:rsidR="00C96C36" w:rsidRPr="00AC2049" w:rsidRDefault="00C96C36" w:rsidP="00C96C36">
      <w:pPr>
        <w:ind w:left="1440" w:hanging="360"/>
      </w:pPr>
    </w:p>
    <w:p w:rsidR="00C96C36" w:rsidRPr="00083CE6" w:rsidRDefault="00C96C36" w:rsidP="00C96C36">
      <w:pPr>
        <w:ind w:left="720"/>
        <w:rPr>
          <w:b/>
        </w:rPr>
      </w:pPr>
      <w:r w:rsidRPr="00083CE6">
        <w:rPr>
          <w:b/>
        </w:rPr>
        <w:t xml:space="preserve">(D) </w:t>
      </w:r>
      <w:r w:rsidR="004308A2">
        <w:rPr>
          <w:b/>
        </w:rPr>
        <w:t xml:space="preserve">through (F) </w:t>
      </w:r>
      <w:r w:rsidRPr="00083CE6">
        <w:rPr>
          <w:b/>
        </w:rPr>
        <w:t>[No change</w:t>
      </w:r>
      <w:r w:rsidR="004308A2">
        <w:rPr>
          <w:b/>
        </w:rPr>
        <w:t>s</w:t>
      </w:r>
      <w:r w:rsidRPr="00083CE6">
        <w:rPr>
          <w:b/>
        </w:rPr>
        <w:t>]</w:t>
      </w:r>
    </w:p>
    <w:p w:rsidR="00C96C36" w:rsidRPr="00083CE6" w:rsidRDefault="00C96C36" w:rsidP="00C96C36">
      <w:pPr>
        <w:ind w:left="1080"/>
        <w:rPr>
          <w:b/>
        </w:rPr>
      </w:pPr>
    </w:p>
    <w:p w:rsidR="00C96C36" w:rsidRDefault="004308A2" w:rsidP="00C96C36">
      <w:pPr>
        <w:ind w:left="720" w:hanging="360"/>
      </w:pPr>
      <w:r w:rsidRPr="00AC2049">
        <w:rPr>
          <w:b/>
        </w:rPr>
        <w:t xml:space="preserve"> </w:t>
      </w:r>
      <w:r w:rsidR="00C96C36" w:rsidRPr="00AC2049">
        <w:rPr>
          <w:b/>
        </w:rPr>
        <w:t>(3)</w:t>
      </w:r>
      <w:r w:rsidR="00C96C36" w:rsidRPr="00AC2049">
        <w:t xml:space="preserve"> </w:t>
      </w:r>
      <w:r w:rsidR="00C96C36" w:rsidRPr="00AC2049">
        <w:rPr>
          <w:b/>
          <w:i/>
        </w:rPr>
        <w:t>If Incompetent and Not Restorable.</w:t>
      </w:r>
      <w:r w:rsidR="00C96C36">
        <w:t xml:space="preserve"> </w:t>
      </w:r>
    </w:p>
    <w:p w:rsidR="00C96C36" w:rsidRDefault="00C96C36" w:rsidP="00C96C36">
      <w:pPr>
        <w:ind w:left="720" w:hanging="360"/>
      </w:pPr>
    </w:p>
    <w:p w:rsidR="00C96C36" w:rsidRPr="00083CE6" w:rsidRDefault="00C96C36" w:rsidP="00C96C36">
      <w:pPr>
        <w:ind w:left="720"/>
      </w:pPr>
      <w:r w:rsidRPr="00083CE6">
        <w:rPr>
          <w:u w:val="single"/>
        </w:rPr>
        <w:t xml:space="preserve">(A)  </w:t>
      </w:r>
      <w:r w:rsidRPr="00083CE6">
        <w:rPr>
          <w:i/>
          <w:u w:val="single"/>
        </w:rPr>
        <w:t>Superior Court</w:t>
      </w:r>
      <w:r w:rsidRPr="00083CE6">
        <w:t>.</w:t>
      </w:r>
      <w:r w:rsidRPr="00083CE6">
        <w:rPr>
          <w:b/>
        </w:rPr>
        <w:t xml:space="preserve">  </w:t>
      </w:r>
      <w:r w:rsidRPr="00083CE6">
        <w:t xml:space="preserve">If the </w:t>
      </w:r>
      <w:r w:rsidRPr="00083CE6">
        <w:rPr>
          <w:u w:val="single"/>
        </w:rPr>
        <w:t>superior</w:t>
      </w:r>
      <w:r w:rsidRPr="00083CE6">
        <w:t xml:space="preserve"> court determines that the defendant is incompetent and that there is no substantial probability that the defendant will become competent </w:t>
      </w:r>
      <w:r w:rsidRPr="00083CE6">
        <w:lastRenderedPageBreak/>
        <w:t xml:space="preserve">within </w:t>
      </w:r>
      <w:r w:rsidRPr="00083CE6">
        <w:rPr>
          <w:strike/>
        </w:rPr>
        <w:t>21 months</w:t>
      </w:r>
      <w:r w:rsidRPr="00083CE6">
        <w:t xml:space="preserve"> </w:t>
      </w:r>
      <w:r w:rsidRPr="00083CE6">
        <w:rPr>
          <w:u w:val="single"/>
        </w:rPr>
        <w:t>the timeframes allowed by law</w:t>
      </w:r>
      <w:r w:rsidRPr="00083CE6">
        <w:t>, the court may on request of the examined defendant or the State do one or more of the following:</w:t>
      </w:r>
    </w:p>
    <w:p w:rsidR="00C96C36" w:rsidRPr="00AC2049" w:rsidRDefault="00C96C36" w:rsidP="00C96C36">
      <w:pPr>
        <w:ind w:left="720" w:hanging="360"/>
      </w:pPr>
    </w:p>
    <w:p w:rsidR="00C96C36" w:rsidRPr="00044594" w:rsidRDefault="00C96C36" w:rsidP="00C96C36">
      <w:pPr>
        <w:ind w:left="1440" w:hanging="360"/>
      </w:pPr>
      <w:r>
        <w:t>(</w:t>
      </w:r>
      <w:proofErr w:type="spellStart"/>
      <w:r>
        <w:t>i</w:t>
      </w:r>
      <w:proofErr w:type="spellEnd"/>
      <w:r>
        <w:t xml:space="preserve">)  </w:t>
      </w:r>
      <w:r w:rsidRPr="00044594">
        <w:t>Remand the defendant to an evaluating agency ap</w:t>
      </w:r>
      <w:r>
        <w:t xml:space="preserve">proved and licensed under Title </w:t>
      </w:r>
      <w:r w:rsidRPr="00044594">
        <w:t>36 to begin civil commitment proceedings under A.R.S. §§ 36-501 et seq.;</w:t>
      </w:r>
    </w:p>
    <w:p w:rsidR="00C96C36" w:rsidRPr="00AC2049" w:rsidRDefault="00C96C36" w:rsidP="00C96C36">
      <w:pPr>
        <w:pStyle w:val="ListParagraph"/>
        <w:ind w:left="1440" w:hanging="360"/>
      </w:pPr>
    </w:p>
    <w:p w:rsidR="00C96C36" w:rsidRPr="00044594" w:rsidRDefault="00C96C36" w:rsidP="00C96C36">
      <w:pPr>
        <w:ind w:left="1440" w:hanging="360"/>
      </w:pPr>
      <w:r w:rsidRPr="00044594">
        <w:t>(</w:t>
      </w:r>
      <w:r>
        <w:t>ii</w:t>
      </w:r>
      <w:r w:rsidRPr="00044594">
        <w:t xml:space="preserve">) </w:t>
      </w:r>
      <w:r>
        <w:t xml:space="preserve"> </w:t>
      </w:r>
      <w:r w:rsidRPr="00044594">
        <w:t>Order appointment of a guardian under A.R.S. §§ 14-5301 et seq.; or</w:t>
      </w:r>
    </w:p>
    <w:p w:rsidR="00C96C36" w:rsidRDefault="00C96C36" w:rsidP="00C96C36">
      <w:pPr>
        <w:pStyle w:val="ListParagraph"/>
        <w:ind w:left="1440" w:hanging="360"/>
      </w:pPr>
    </w:p>
    <w:p w:rsidR="00C96C36" w:rsidRDefault="00C96C36" w:rsidP="00C96C36">
      <w:pPr>
        <w:pStyle w:val="ListParagraph"/>
        <w:ind w:left="1440" w:hanging="360"/>
      </w:pPr>
      <w:r>
        <w:t xml:space="preserve">(iii)  </w:t>
      </w:r>
      <w:r w:rsidRPr="00C11ED6">
        <w:t>Release the defendant from custody and dismiss the charges without prejudice.</w:t>
      </w:r>
    </w:p>
    <w:p w:rsidR="00C96C36" w:rsidRDefault="00C96C36" w:rsidP="00C96C36">
      <w:pPr>
        <w:pStyle w:val="ListParagraph"/>
        <w:ind w:left="1440" w:hanging="360"/>
      </w:pPr>
    </w:p>
    <w:p w:rsidR="00C96C36" w:rsidRPr="00DC084F" w:rsidRDefault="00C96C36" w:rsidP="00C96C36">
      <w:pPr>
        <w:pStyle w:val="ListParagraph"/>
        <w:ind w:left="1530" w:hanging="450"/>
      </w:pPr>
      <w:r w:rsidRPr="00DC084F">
        <w:t>(iv)  Retain jurisdiction and enter further orders as specified in A.R.S. §§ 13-4517 and 13-4518.</w:t>
      </w:r>
    </w:p>
    <w:p w:rsidR="00C96C36" w:rsidRDefault="00C96C36" w:rsidP="00C96C36">
      <w:pPr>
        <w:pStyle w:val="ListParagraph"/>
        <w:ind w:left="1440" w:hanging="360"/>
      </w:pPr>
    </w:p>
    <w:p w:rsidR="00C96C36" w:rsidRPr="00083CE6" w:rsidRDefault="00C96C36" w:rsidP="00C96C36">
      <w:pPr>
        <w:pStyle w:val="ListParagraph"/>
        <w:ind w:left="810"/>
        <w:rPr>
          <w:u w:val="single"/>
        </w:rPr>
      </w:pPr>
      <w:r w:rsidRPr="00083CE6">
        <w:rPr>
          <w:u w:val="single"/>
        </w:rPr>
        <w:t xml:space="preserve">(B)  </w:t>
      </w:r>
      <w:r w:rsidRPr="00083CE6">
        <w:rPr>
          <w:i/>
          <w:u w:val="single"/>
        </w:rPr>
        <w:t>Limited Jurisdiction Court</w:t>
      </w:r>
      <w:r w:rsidRPr="00083CE6">
        <w:rPr>
          <w:u w:val="single"/>
        </w:rPr>
        <w:t>.  If a limited jurisdiction court determines that the defendant is incompetent and that there is no substantial probability that the defendant will become competent within the timeframes allowed by law, the court must do one of the following:</w:t>
      </w:r>
    </w:p>
    <w:p w:rsidR="00C96C36" w:rsidRPr="00083CE6" w:rsidRDefault="00C96C36" w:rsidP="00C96C36">
      <w:pPr>
        <w:pStyle w:val="ListParagraph"/>
        <w:rPr>
          <w:u w:val="single"/>
        </w:rPr>
      </w:pPr>
    </w:p>
    <w:p w:rsidR="00C96C36" w:rsidRPr="00083CE6" w:rsidRDefault="00C96C36" w:rsidP="00C96C36">
      <w:pPr>
        <w:pStyle w:val="ListParagraph"/>
        <w:widowControl/>
        <w:numPr>
          <w:ilvl w:val="0"/>
          <w:numId w:val="16"/>
        </w:numPr>
        <w:autoSpaceDE/>
        <w:autoSpaceDN/>
        <w:adjustRightInd/>
        <w:rPr>
          <w:u w:val="single"/>
        </w:rPr>
      </w:pPr>
      <w:r w:rsidRPr="00083CE6">
        <w:rPr>
          <w:u w:val="single"/>
        </w:rPr>
        <w:t xml:space="preserve"> Dismiss the action on the State’s motion; or</w:t>
      </w:r>
    </w:p>
    <w:p w:rsidR="00C96C36" w:rsidRPr="00083CE6" w:rsidRDefault="00C96C36" w:rsidP="00C96C36">
      <w:pPr>
        <w:pStyle w:val="ListParagraph"/>
        <w:ind w:left="1800"/>
        <w:rPr>
          <w:u w:val="single"/>
        </w:rPr>
      </w:pPr>
    </w:p>
    <w:p w:rsidR="00C96C36" w:rsidRPr="00083CE6" w:rsidRDefault="00C96C36" w:rsidP="00C96C36">
      <w:pPr>
        <w:pStyle w:val="ListParagraph"/>
        <w:widowControl/>
        <w:numPr>
          <w:ilvl w:val="0"/>
          <w:numId w:val="17"/>
        </w:numPr>
        <w:autoSpaceDE/>
        <w:autoSpaceDN/>
        <w:adjustRightInd/>
        <w:ind w:left="1800" w:hanging="360"/>
        <w:rPr>
          <w:u w:val="single"/>
        </w:rPr>
      </w:pPr>
      <w:r w:rsidRPr="00083CE6">
        <w:rPr>
          <w:u w:val="single"/>
        </w:rPr>
        <w:t xml:space="preserve"> Transfer the case to the superior court for further proceedings pursuant to A.R.S. §13-4517.</w:t>
      </w:r>
    </w:p>
    <w:p w:rsidR="00C96C36" w:rsidRPr="00412A5A" w:rsidRDefault="00C96C36" w:rsidP="00C96C36">
      <w:pPr>
        <w:pStyle w:val="ListParagraph"/>
        <w:ind w:left="1440" w:hanging="360"/>
        <w:rPr>
          <w:u w:val="single"/>
        </w:rPr>
      </w:pPr>
    </w:p>
    <w:p w:rsidR="00C96C36" w:rsidRPr="00AC2049" w:rsidRDefault="00C96C36" w:rsidP="00C96C36">
      <w:pPr>
        <w:ind w:left="720" w:hanging="360"/>
      </w:pPr>
      <w:r w:rsidRPr="00AC2049">
        <w:rPr>
          <w:b/>
        </w:rPr>
        <w:t>(4)</w:t>
      </w:r>
      <w:r w:rsidRPr="00AC2049">
        <w:t xml:space="preserve"> </w:t>
      </w:r>
      <w:r w:rsidRPr="00083CE6">
        <w:rPr>
          <w:b/>
        </w:rPr>
        <w:t>[No change]</w:t>
      </w:r>
    </w:p>
    <w:p w:rsidR="00C96C36" w:rsidRPr="00AC2049" w:rsidRDefault="00C96C36" w:rsidP="00C96C36">
      <w:pPr>
        <w:ind w:left="720"/>
      </w:pPr>
    </w:p>
    <w:p w:rsidR="00C96C36" w:rsidRPr="00AC2049" w:rsidRDefault="00C96C36" w:rsidP="00C96C36">
      <w:pPr>
        <w:pStyle w:val="ListParagraph"/>
        <w:ind w:left="360"/>
        <w:rPr>
          <w:b/>
        </w:rPr>
      </w:pPr>
      <w:r>
        <w:rPr>
          <w:b/>
        </w:rPr>
        <w:t>(c) and (d) [</w:t>
      </w:r>
      <w:r w:rsidR="004308A2">
        <w:rPr>
          <w:b/>
        </w:rPr>
        <w:t>N</w:t>
      </w:r>
      <w:r w:rsidRPr="00AC2049">
        <w:rPr>
          <w:b/>
        </w:rPr>
        <w:t>o changes]</w:t>
      </w:r>
    </w:p>
    <w:p w:rsidR="00C96C36" w:rsidRPr="00AC2049" w:rsidRDefault="00C96C36" w:rsidP="00C96C36">
      <w:pPr>
        <w:ind w:left="720"/>
        <w:rPr>
          <w:b/>
        </w:rPr>
      </w:pPr>
    </w:p>
    <w:p w:rsidR="00C96C36" w:rsidRPr="00AC2049" w:rsidRDefault="00C96C36" w:rsidP="00C96C36"/>
    <w:p w:rsidR="00C96C36" w:rsidRDefault="00C96C36" w:rsidP="00C96C36">
      <w:pPr>
        <w:rPr>
          <w:rFonts w:ascii="TimesNewRomanPS-BoldMT" w:hAnsi="TimesNewRomanPS-BoldMT" w:cs="TimesNewRomanPS-BoldMT"/>
          <w:b/>
          <w:bCs/>
          <w:color w:val="231F20"/>
          <w:sz w:val="26"/>
          <w:szCs w:val="26"/>
        </w:rPr>
      </w:pPr>
      <w:r>
        <w:rPr>
          <w:rFonts w:ascii="TimesNewRomanPS-BoldMT" w:hAnsi="TimesNewRomanPS-BoldMT" w:cs="TimesNewRomanPS-BoldMT"/>
          <w:b/>
          <w:bCs/>
          <w:color w:val="231F20"/>
          <w:sz w:val="26"/>
          <w:szCs w:val="26"/>
        </w:rPr>
        <w:t>Rule 11.6. Later Hearings</w:t>
      </w:r>
    </w:p>
    <w:p w:rsidR="00C96C36" w:rsidRDefault="00C96C36" w:rsidP="00C96C36">
      <w:pPr>
        <w:rPr>
          <w:rFonts w:ascii="TimesNewRomanPS-BoldMT" w:hAnsi="TimesNewRomanPS-BoldMT" w:cs="TimesNewRomanPS-BoldMT"/>
          <w:b/>
          <w:bCs/>
          <w:color w:val="231F20"/>
          <w:sz w:val="26"/>
          <w:szCs w:val="26"/>
        </w:rPr>
      </w:pPr>
    </w:p>
    <w:p w:rsidR="00C96C36" w:rsidRDefault="00C96C36" w:rsidP="00C96C36">
      <w:pPr>
        <w:rPr>
          <w:rFonts w:ascii="TimesNewRomanPSMT" w:hAnsi="TimesNewRomanPSMT" w:cs="TimesNewRomanPSMT"/>
          <w:color w:val="231F20"/>
          <w:sz w:val="26"/>
          <w:szCs w:val="26"/>
        </w:rPr>
      </w:pPr>
      <w:r>
        <w:rPr>
          <w:rFonts w:ascii="TimesNewRomanPS-BoldMT" w:hAnsi="TimesNewRomanPS-BoldMT" w:cs="TimesNewRomanPS-BoldMT"/>
          <w:b/>
          <w:bCs/>
          <w:color w:val="231F20"/>
          <w:sz w:val="26"/>
          <w:szCs w:val="26"/>
        </w:rPr>
        <w:t>(a) [No change]</w:t>
      </w:r>
    </w:p>
    <w:p w:rsidR="00C96C36" w:rsidRDefault="00C96C36" w:rsidP="00C96C36">
      <w:pPr>
        <w:rPr>
          <w:rFonts w:ascii="TimesNewRomanPS-BoldMT" w:hAnsi="TimesNewRomanPS-BoldMT" w:cs="TimesNewRomanPS-BoldMT"/>
          <w:b/>
          <w:bCs/>
          <w:color w:val="231F20"/>
          <w:sz w:val="26"/>
          <w:szCs w:val="26"/>
        </w:rPr>
      </w:pPr>
    </w:p>
    <w:p w:rsidR="00C96C36" w:rsidRDefault="00C96C36" w:rsidP="00C96C36">
      <w:pPr>
        <w:rPr>
          <w:rFonts w:ascii="TimesNewRomanPSMT" w:hAnsi="TimesNewRomanPSMT" w:cs="TimesNewRomanPSMT"/>
          <w:color w:val="231F20"/>
          <w:sz w:val="26"/>
          <w:szCs w:val="26"/>
        </w:rPr>
      </w:pPr>
      <w:r>
        <w:rPr>
          <w:rFonts w:ascii="TimesNewRomanPS-BoldMT" w:hAnsi="TimesNewRomanPS-BoldMT" w:cs="TimesNewRomanPS-BoldMT"/>
          <w:b/>
          <w:bCs/>
          <w:color w:val="231F20"/>
          <w:sz w:val="26"/>
          <w:szCs w:val="26"/>
        </w:rPr>
        <w:t>(b) [No change]</w:t>
      </w:r>
    </w:p>
    <w:p w:rsidR="00C96C36" w:rsidRDefault="00C96C36" w:rsidP="00C96C36">
      <w:pPr>
        <w:rPr>
          <w:rFonts w:ascii="TimesNewRomanPS-BoldMT" w:hAnsi="TimesNewRomanPS-BoldMT" w:cs="TimesNewRomanPS-BoldMT"/>
          <w:b/>
          <w:bCs/>
          <w:color w:val="231F20"/>
          <w:sz w:val="26"/>
          <w:szCs w:val="26"/>
        </w:rPr>
      </w:pPr>
    </w:p>
    <w:p w:rsidR="00C96C36" w:rsidRDefault="00C96C36" w:rsidP="00C96C36">
      <w:pPr>
        <w:rPr>
          <w:rFonts w:ascii="TimesNewRomanPSMT" w:hAnsi="TimesNewRomanPSMT" w:cs="TimesNewRomanPSMT"/>
          <w:color w:val="231F20"/>
          <w:sz w:val="26"/>
          <w:szCs w:val="26"/>
        </w:rPr>
      </w:pPr>
      <w:r>
        <w:rPr>
          <w:rFonts w:ascii="TimesNewRomanPS-BoldMT" w:hAnsi="TimesNewRomanPS-BoldMT" w:cs="TimesNewRomanPS-BoldMT"/>
          <w:b/>
          <w:bCs/>
          <w:color w:val="231F20"/>
          <w:sz w:val="26"/>
          <w:szCs w:val="26"/>
        </w:rPr>
        <w:t>(c) [No change]</w:t>
      </w:r>
    </w:p>
    <w:p w:rsidR="00C96C36" w:rsidRDefault="00C96C36" w:rsidP="00C96C36">
      <w:pPr>
        <w:rPr>
          <w:rFonts w:ascii="TimesNewRomanPSMT" w:hAnsi="TimesNewRomanPSMT" w:cs="TimesNewRomanPSMT"/>
          <w:color w:val="231F20"/>
          <w:sz w:val="26"/>
          <w:szCs w:val="26"/>
        </w:rPr>
      </w:pPr>
    </w:p>
    <w:p w:rsidR="00C96C36" w:rsidRDefault="00C96C36" w:rsidP="00C96C36">
      <w:pPr>
        <w:rPr>
          <w:rFonts w:ascii="TimesNewRomanPSMT" w:hAnsi="TimesNewRomanPSMT" w:cs="TimesNewRomanPSMT"/>
          <w:color w:val="231F20"/>
          <w:sz w:val="26"/>
          <w:szCs w:val="26"/>
        </w:rPr>
      </w:pPr>
      <w:r>
        <w:rPr>
          <w:rFonts w:ascii="TimesNewRomanPS-BoldMT" w:hAnsi="TimesNewRomanPS-BoldMT" w:cs="TimesNewRomanPS-BoldMT"/>
          <w:b/>
          <w:bCs/>
          <w:color w:val="231F20"/>
          <w:sz w:val="26"/>
          <w:szCs w:val="26"/>
        </w:rPr>
        <w:t xml:space="preserve">(d) Finding of Continuing Incompetence. </w:t>
      </w:r>
      <w:r>
        <w:rPr>
          <w:rFonts w:ascii="TimesNewRomanPSMT" w:hAnsi="TimesNewRomanPSMT" w:cs="TimesNewRomanPSMT"/>
          <w:color w:val="231F20"/>
          <w:sz w:val="26"/>
          <w:szCs w:val="26"/>
        </w:rPr>
        <w:t>If the court finds that the defendant is still</w:t>
      </w:r>
    </w:p>
    <w:p w:rsidR="00C96C36" w:rsidRDefault="00C96C36" w:rsidP="00C96C36">
      <w:pPr>
        <w:rPr>
          <w:rFonts w:ascii="TimesNewRomanPSMT" w:hAnsi="TimesNewRomanPSMT" w:cs="TimesNewRomanPSMT"/>
          <w:color w:val="231F20"/>
          <w:sz w:val="26"/>
          <w:szCs w:val="26"/>
        </w:rPr>
      </w:pPr>
      <w:r>
        <w:rPr>
          <w:rFonts w:ascii="TimesNewRomanPSMT" w:hAnsi="TimesNewRomanPSMT" w:cs="TimesNewRomanPSMT"/>
          <w:color w:val="231F20"/>
          <w:sz w:val="26"/>
          <w:szCs w:val="26"/>
        </w:rPr>
        <w:t>incompetent, it must proceed in accordance with Rules 11.5(b)(2) or (3). If the court</w:t>
      </w:r>
    </w:p>
    <w:p w:rsidR="00C96C36" w:rsidRDefault="00C96C36" w:rsidP="00C96C36">
      <w:pPr>
        <w:rPr>
          <w:rFonts w:ascii="TimesNewRomanPSMT" w:hAnsi="TimesNewRomanPSMT" w:cs="TimesNewRomanPSMT"/>
          <w:color w:val="231F20"/>
          <w:sz w:val="26"/>
          <w:szCs w:val="26"/>
        </w:rPr>
      </w:pPr>
      <w:r>
        <w:rPr>
          <w:rFonts w:ascii="TimesNewRomanPSMT" w:hAnsi="TimesNewRomanPSMT" w:cs="TimesNewRomanPSMT"/>
          <w:color w:val="231F20"/>
          <w:sz w:val="26"/>
          <w:szCs w:val="26"/>
        </w:rPr>
        <w:t>determines that there is a substantial probability that the defendant will regain competence in the foreseeable future, then the court may renew and may modify the</w:t>
      </w:r>
    </w:p>
    <w:p w:rsidR="00C96C36" w:rsidRDefault="00C96C36" w:rsidP="00C96C36">
      <w:pPr>
        <w:rPr>
          <w:rFonts w:ascii="TimesNewRomanPSMT" w:hAnsi="TimesNewRomanPSMT" w:cs="TimesNewRomanPSMT"/>
          <w:color w:val="231F20"/>
          <w:sz w:val="26"/>
          <w:szCs w:val="26"/>
        </w:rPr>
      </w:pPr>
      <w:r>
        <w:rPr>
          <w:rFonts w:ascii="TimesNewRomanPSMT" w:hAnsi="TimesNewRomanPSMT" w:cs="TimesNewRomanPSMT"/>
          <w:color w:val="231F20"/>
          <w:sz w:val="26"/>
          <w:szCs w:val="26"/>
        </w:rPr>
        <w:t xml:space="preserve">treatment </w:t>
      </w:r>
      <w:r w:rsidRPr="00083CE6">
        <w:rPr>
          <w:rFonts w:ascii="TimesNewRomanPSMT" w:hAnsi="TimesNewRomanPSMT" w:cs="TimesNewRomanPSMT"/>
          <w:sz w:val="26"/>
          <w:szCs w:val="26"/>
        </w:rPr>
        <w:t xml:space="preserve">order </w:t>
      </w:r>
      <w:r w:rsidRPr="00083CE6">
        <w:rPr>
          <w:rFonts w:ascii="TimesNewRomanPSMT" w:hAnsi="TimesNewRomanPSMT" w:cs="TimesNewRomanPSMT"/>
          <w:strike/>
          <w:sz w:val="26"/>
          <w:szCs w:val="26"/>
        </w:rPr>
        <w:t>for no more than an additional 180 days</w:t>
      </w:r>
      <w:r w:rsidRPr="00083CE6">
        <w:rPr>
          <w:rFonts w:ascii="TimesNewRomanPSMT" w:hAnsi="TimesNewRomanPSMT" w:cs="TimesNewRomanPSMT"/>
          <w:sz w:val="26"/>
          <w:szCs w:val="26"/>
        </w:rPr>
        <w:t xml:space="preserve"> </w:t>
      </w:r>
      <w:r w:rsidRPr="00083CE6">
        <w:rPr>
          <w:rFonts w:ascii="TimesNewRomanPSMT" w:hAnsi="TimesNewRomanPSMT" w:cs="TimesNewRomanPSMT"/>
          <w:sz w:val="26"/>
          <w:szCs w:val="26"/>
          <w:u w:val="single"/>
        </w:rPr>
        <w:t>as permitted by law</w:t>
      </w:r>
      <w:r w:rsidRPr="00083CE6">
        <w:rPr>
          <w:rFonts w:ascii="TimesNewRomanPSMT" w:hAnsi="TimesNewRomanPSMT" w:cs="TimesNewRomanPSMT"/>
          <w:sz w:val="26"/>
          <w:szCs w:val="26"/>
        </w:rPr>
        <w:t>.</w:t>
      </w:r>
    </w:p>
    <w:p w:rsidR="00C96C36" w:rsidRDefault="00C96C36" w:rsidP="00C96C36">
      <w:pPr>
        <w:rPr>
          <w:rFonts w:ascii="TimesNewRomanPS-BoldMT" w:hAnsi="TimesNewRomanPS-BoldMT" w:cs="TimesNewRomanPS-BoldMT"/>
          <w:b/>
          <w:bCs/>
          <w:color w:val="231F20"/>
          <w:sz w:val="26"/>
          <w:szCs w:val="26"/>
        </w:rPr>
      </w:pPr>
    </w:p>
    <w:p w:rsidR="00C96C36" w:rsidRDefault="00C96C36" w:rsidP="00C96C36">
      <w:pPr>
        <w:rPr>
          <w:rFonts w:ascii="TimesNewRomanPSMT" w:hAnsi="TimesNewRomanPSMT" w:cs="TimesNewRomanPSMT"/>
          <w:color w:val="231F20"/>
          <w:sz w:val="26"/>
          <w:szCs w:val="26"/>
        </w:rPr>
      </w:pPr>
      <w:r>
        <w:rPr>
          <w:rFonts w:ascii="TimesNewRomanPS-BoldMT" w:hAnsi="TimesNewRomanPS-BoldMT" w:cs="TimesNewRomanPS-BoldMT"/>
          <w:b/>
          <w:bCs/>
          <w:color w:val="231F20"/>
          <w:sz w:val="26"/>
          <w:szCs w:val="26"/>
        </w:rPr>
        <w:t>(e) [No change]</w:t>
      </w:r>
    </w:p>
    <w:p w:rsidR="00C96C36" w:rsidRPr="00AC2049" w:rsidRDefault="00C96C36" w:rsidP="00C96C36"/>
    <w:p w:rsidR="00CE6C56" w:rsidRPr="0054245D" w:rsidRDefault="00CE6C56" w:rsidP="0054245D">
      <w:pPr>
        <w:widowControl/>
        <w:autoSpaceDE/>
        <w:autoSpaceDN/>
        <w:adjustRightInd/>
        <w:spacing w:after="160" w:line="259" w:lineRule="auto"/>
        <w:rPr>
          <w:sz w:val="28"/>
          <w:szCs w:val="28"/>
        </w:rPr>
        <w:sectPr w:rsidR="00CE6C56" w:rsidRPr="0054245D" w:rsidSect="00625791">
          <w:footerReference w:type="default" r:id="rId10"/>
          <w:type w:val="continuous"/>
          <w:pgSz w:w="12240" w:h="15840"/>
          <w:pgMar w:top="1440" w:right="1440" w:bottom="1440" w:left="1440" w:header="720" w:footer="720" w:gutter="0"/>
          <w:cols w:space="720"/>
          <w:docGrid w:linePitch="360"/>
        </w:sectPr>
      </w:pPr>
    </w:p>
    <w:p w:rsidR="0054245D" w:rsidRPr="0054245D" w:rsidRDefault="0054245D" w:rsidP="004308A2">
      <w:pPr>
        <w:jc w:val="center"/>
        <w:rPr>
          <w:b/>
          <w:sz w:val="28"/>
          <w:szCs w:val="28"/>
          <w:u w:val="single"/>
        </w:rPr>
      </w:pPr>
      <w:r w:rsidRPr="0054245D">
        <w:rPr>
          <w:b/>
          <w:sz w:val="28"/>
          <w:szCs w:val="28"/>
          <w:u w:val="single"/>
        </w:rPr>
        <w:lastRenderedPageBreak/>
        <w:t>Appendix B</w:t>
      </w:r>
    </w:p>
    <w:p w:rsidR="0054245D" w:rsidRDefault="0054245D" w:rsidP="00CE6C56">
      <w:pPr>
        <w:ind w:left="720"/>
        <w:jc w:val="center"/>
        <w:rPr>
          <w:sz w:val="40"/>
          <w:szCs w:val="40"/>
        </w:rPr>
      </w:pPr>
    </w:p>
    <w:p w:rsidR="00CE6C56" w:rsidRPr="006F6B3F" w:rsidRDefault="00CE6C56" w:rsidP="004308A2">
      <w:pPr>
        <w:jc w:val="center"/>
        <w:rPr>
          <w:sz w:val="40"/>
          <w:szCs w:val="40"/>
        </w:rPr>
      </w:pPr>
      <w:r w:rsidRPr="006F6B3F">
        <w:rPr>
          <w:sz w:val="40"/>
          <w:szCs w:val="40"/>
        </w:rPr>
        <w:t>Fair Justice Task Force</w:t>
      </w:r>
    </w:p>
    <w:p w:rsidR="00CE6C56" w:rsidRDefault="00CE6C56" w:rsidP="004308A2">
      <w:pPr>
        <w:jc w:val="center"/>
        <w:rPr>
          <w:sz w:val="36"/>
          <w:szCs w:val="36"/>
        </w:rPr>
      </w:pPr>
      <w:r w:rsidRPr="006F6B3F">
        <w:rPr>
          <w:sz w:val="36"/>
          <w:szCs w:val="36"/>
        </w:rPr>
        <w:t>Subcommittee on Mental Health and</w:t>
      </w:r>
    </w:p>
    <w:p w:rsidR="00CE6C56" w:rsidRPr="006F6B3F" w:rsidRDefault="00CE6C56" w:rsidP="004308A2">
      <w:pPr>
        <w:jc w:val="center"/>
        <w:rPr>
          <w:sz w:val="36"/>
          <w:szCs w:val="36"/>
        </w:rPr>
      </w:pPr>
      <w:r w:rsidRPr="006F6B3F">
        <w:rPr>
          <w:sz w:val="36"/>
          <w:szCs w:val="36"/>
        </w:rPr>
        <w:t>the Criminal Justice System</w:t>
      </w:r>
    </w:p>
    <w:p w:rsidR="00CE6C56" w:rsidRDefault="00CE6C56" w:rsidP="00CE6C56">
      <w:pPr>
        <w:ind w:left="720"/>
        <w:jc w:val="center"/>
        <w:rPr>
          <w:b/>
          <w:sz w:val="28"/>
          <w:szCs w:val="28"/>
          <w:highlight w:val="lightGray"/>
        </w:rPr>
      </w:pPr>
      <w:r>
        <w:rPr>
          <w:sz w:val="32"/>
          <w:szCs w:val="32"/>
        </w:rPr>
        <w:t>__________________________________________________________</w:t>
      </w:r>
    </w:p>
    <w:p w:rsidR="00CE6C56" w:rsidRPr="00297B15" w:rsidRDefault="00CE6C56" w:rsidP="004308A2">
      <w:pPr>
        <w:jc w:val="center"/>
        <w:rPr>
          <w:b/>
          <w:sz w:val="28"/>
          <w:szCs w:val="28"/>
        </w:rPr>
      </w:pPr>
      <w:r w:rsidRPr="00297B15">
        <w:rPr>
          <w:b/>
          <w:sz w:val="28"/>
          <w:szCs w:val="28"/>
          <w:highlight w:val="lightGray"/>
        </w:rPr>
        <w:t>CHAIR</w:t>
      </w:r>
    </w:p>
    <w:p w:rsidR="00CE6C56" w:rsidRPr="00CF09BB" w:rsidRDefault="00CE6C56" w:rsidP="004308A2">
      <w:pPr>
        <w:jc w:val="center"/>
        <w:rPr>
          <w:b/>
        </w:rPr>
      </w:pPr>
    </w:p>
    <w:p w:rsidR="00CE6C56" w:rsidRDefault="00CE6C56" w:rsidP="004308A2">
      <w:pPr>
        <w:jc w:val="center"/>
        <w:rPr>
          <w:b/>
        </w:rPr>
      </w:pPr>
      <w:r w:rsidRPr="00CF09BB">
        <w:rPr>
          <w:b/>
        </w:rPr>
        <w:t>Mr. Kent Batty</w:t>
      </w:r>
    </w:p>
    <w:p w:rsidR="00CE6C56" w:rsidRPr="00297B15" w:rsidRDefault="00CE6C56" w:rsidP="004308A2">
      <w:pPr>
        <w:jc w:val="center"/>
        <w:rPr>
          <w:u w:val="single"/>
        </w:rPr>
      </w:pPr>
      <w:r w:rsidRPr="00C6440F">
        <w:t>Court Administrator</w:t>
      </w:r>
    </w:p>
    <w:p w:rsidR="00CE6C56" w:rsidRPr="00CF09BB" w:rsidRDefault="00CE6C56" w:rsidP="004308A2">
      <w:pPr>
        <w:jc w:val="center"/>
      </w:pPr>
      <w:r w:rsidRPr="00CF09BB">
        <w:t>Superior Court in Pima County</w:t>
      </w:r>
    </w:p>
    <w:p w:rsidR="00CE6C56" w:rsidRDefault="00CE6C56" w:rsidP="004308A2">
      <w:pPr>
        <w:rPr>
          <w:b/>
          <w:sz w:val="28"/>
          <w:szCs w:val="28"/>
          <w:highlight w:val="lightGray"/>
        </w:rPr>
      </w:pPr>
    </w:p>
    <w:p w:rsidR="00CE6C56" w:rsidRPr="00CF09BB" w:rsidRDefault="00CE6C56" w:rsidP="004308A2">
      <w:pPr>
        <w:jc w:val="center"/>
        <w:rPr>
          <w:b/>
          <w:sz w:val="28"/>
          <w:szCs w:val="28"/>
        </w:rPr>
      </w:pPr>
      <w:r w:rsidRPr="00CF09BB">
        <w:rPr>
          <w:b/>
          <w:sz w:val="28"/>
          <w:szCs w:val="28"/>
          <w:highlight w:val="lightGray"/>
        </w:rPr>
        <w:t>MEMBERS</w:t>
      </w:r>
    </w:p>
    <w:bookmarkEnd w:id="2"/>
    <w:p w:rsidR="00CE6C56" w:rsidRPr="00CF09BB" w:rsidRDefault="00CE6C56" w:rsidP="00CE6C56">
      <w:pPr>
        <w:ind w:left="720"/>
      </w:pPr>
    </w:p>
    <w:p w:rsidR="00CE6C56" w:rsidRDefault="00CE6C56" w:rsidP="00CE6C56">
      <w:pPr>
        <w:ind w:left="720"/>
        <w:rPr>
          <w:b/>
        </w:rPr>
        <w:sectPr w:rsidR="00CE6C56" w:rsidSect="00944B70">
          <w:headerReference w:type="default" r:id="rId11"/>
          <w:footerReference w:type="default" r:id="rId12"/>
          <w:pgSz w:w="12240" w:h="15840"/>
          <w:pgMar w:top="720" w:right="720" w:bottom="720" w:left="720" w:header="720" w:footer="720" w:gutter="0"/>
          <w:pgNumType w:start="15"/>
          <w:cols w:space="720"/>
          <w:docGrid w:linePitch="326"/>
        </w:sectPr>
      </w:pPr>
    </w:p>
    <w:p w:rsidR="00CE6C56" w:rsidRPr="00CF09BB" w:rsidRDefault="00CE6C56" w:rsidP="00CE6C56">
      <w:pPr>
        <w:ind w:left="720"/>
      </w:pPr>
      <w:r w:rsidRPr="00CF09BB">
        <w:rPr>
          <w:b/>
        </w:rPr>
        <w:t>Ms. Susan Alameda</w:t>
      </w:r>
    </w:p>
    <w:p w:rsidR="00CE6C56" w:rsidRDefault="00CE6C56" w:rsidP="00CE6C56">
      <w:pPr>
        <w:ind w:left="720"/>
      </w:pPr>
      <w:r>
        <w:t>Treatment Specialist, Probation</w:t>
      </w:r>
    </w:p>
    <w:p w:rsidR="00CE6C56" w:rsidRPr="00CF09BB" w:rsidRDefault="00CE6C56" w:rsidP="00CE6C56">
      <w:pPr>
        <w:ind w:left="720"/>
      </w:pPr>
      <w:r w:rsidRPr="00CF09BB">
        <w:t>Administrative Office of the Courts</w:t>
      </w:r>
    </w:p>
    <w:p w:rsidR="00CE6C56" w:rsidRPr="00CF09BB" w:rsidRDefault="00CE6C56" w:rsidP="00CE6C56">
      <w:pPr>
        <w:ind w:left="720"/>
        <w:rPr>
          <w:b/>
        </w:rPr>
      </w:pPr>
    </w:p>
    <w:p w:rsidR="00CE6C56" w:rsidRDefault="00CE6C56" w:rsidP="00CE6C56">
      <w:pPr>
        <w:ind w:left="720"/>
        <w:rPr>
          <w:b/>
        </w:rPr>
      </w:pPr>
      <w:r w:rsidRPr="00CF09BB">
        <w:rPr>
          <w:b/>
        </w:rPr>
        <w:t>Dr. Tommy K. Begay</w:t>
      </w:r>
    </w:p>
    <w:p w:rsidR="00CE6C56" w:rsidRPr="00C6440F" w:rsidRDefault="00CE6C56" w:rsidP="00CE6C56">
      <w:pPr>
        <w:ind w:left="720"/>
      </w:pPr>
      <w:r w:rsidRPr="00C6440F">
        <w:t>Clinical Assistant Professor</w:t>
      </w:r>
    </w:p>
    <w:p w:rsidR="00CE6C56" w:rsidRPr="00CF09BB" w:rsidRDefault="00CE6C56" w:rsidP="00CE6C56">
      <w:pPr>
        <w:ind w:left="720"/>
      </w:pPr>
      <w:r w:rsidRPr="00CF09BB">
        <w:t>U of A, College of Medicine</w:t>
      </w:r>
    </w:p>
    <w:p w:rsidR="00CE6C56" w:rsidRPr="00CF09BB" w:rsidRDefault="00CE6C56" w:rsidP="00CE6C56">
      <w:pPr>
        <w:ind w:left="720"/>
      </w:pPr>
    </w:p>
    <w:p w:rsidR="00CE6C56" w:rsidRPr="00CF09BB" w:rsidRDefault="00CE6C56" w:rsidP="00CE6C56">
      <w:pPr>
        <w:ind w:left="720"/>
        <w:rPr>
          <w:b/>
        </w:rPr>
      </w:pPr>
      <w:r w:rsidRPr="00CF09BB">
        <w:rPr>
          <w:b/>
        </w:rPr>
        <w:t xml:space="preserve">Ms. Mary Lou </w:t>
      </w:r>
      <w:proofErr w:type="spellStart"/>
      <w:r w:rsidRPr="00CF09BB">
        <w:rPr>
          <w:b/>
        </w:rPr>
        <w:t>Brncik</w:t>
      </w:r>
      <w:proofErr w:type="spellEnd"/>
    </w:p>
    <w:p w:rsidR="00CE6C56" w:rsidRDefault="00CE6C56" w:rsidP="00CE6C56">
      <w:pPr>
        <w:ind w:left="720"/>
      </w:pPr>
      <w:r>
        <w:t>Director and Founder</w:t>
      </w:r>
    </w:p>
    <w:p w:rsidR="00CE6C56" w:rsidRPr="00CF09BB" w:rsidRDefault="00CE6C56" w:rsidP="00CE6C56">
      <w:pPr>
        <w:ind w:left="720"/>
      </w:pPr>
      <w:r w:rsidRPr="00CF09BB">
        <w:t>David’s Hope Services</w:t>
      </w:r>
    </w:p>
    <w:p w:rsidR="00CE6C56" w:rsidRPr="00CF09BB" w:rsidRDefault="00CE6C56" w:rsidP="00CE6C56">
      <w:pPr>
        <w:ind w:left="720"/>
      </w:pPr>
    </w:p>
    <w:p w:rsidR="00CE6C56" w:rsidRPr="00CF09BB" w:rsidRDefault="00CE6C56" w:rsidP="00CE6C56">
      <w:pPr>
        <w:ind w:left="720"/>
        <w:rPr>
          <w:b/>
        </w:rPr>
      </w:pPr>
      <w:r>
        <w:rPr>
          <w:b/>
        </w:rPr>
        <w:t xml:space="preserve">Ms. </w:t>
      </w:r>
      <w:r w:rsidRPr="00CF09BB">
        <w:rPr>
          <w:b/>
        </w:rPr>
        <w:t xml:space="preserve">Kelsey </w:t>
      </w:r>
      <w:proofErr w:type="spellStart"/>
      <w:r w:rsidRPr="00CF09BB">
        <w:rPr>
          <w:b/>
        </w:rPr>
        <w:t>Commisso</w:t>
      </w:r>
      <w:proofErr w:type="spellEnd"/>
    </w:p>
    <w:p w:rsidR="00CE6C56" w:rsidRDefault="00CE6C56" w:rsidP="00CE6C56">
      <w:pPr>
        <w:ind w:left="720"/>
      </w:pPr>
      <w:r>
        <w:t>Detective</w:t>
      </w:r>
    </w:p>
    <w:p w:rsidR="00CE6C56" w:rsidRPr="00CF09BB" w:rsidRDefault="00CE6C56" w:rsidP="00CE6C56">
      <w:pPr>
        <w:ind w:left="720"/>
      </w:pPr>
      <w:r w:rsidRPr="00CF09BB">
        <w:t>Phoenix Police Department</w:t>
      </w:r>
    </w:p>
    <w:p w:rsidR="00CE6C56" w:rsidRPr="00CF09BB" w:rsidRDefault="00CE6C56" w:rsidP="00CE6C56">
      <w:pPr>
        <w:ind w:left="720"/>
      </w:pPr>
    </w:p>
    <w:p w:rsidR="00CE6C56" w:rsidRPr="00CF09BB" w:rsidRDefault="00CE6C56" w:rsidP="00CE6C56">
      <w:pPr>
        <w:ind w:left="720"/>
        <w:rPr>
          <w:b/>
        </w:rPr>
      </w:pPr>
      <w:r w:rsidRPr="00CF09BB">
        <w:rPr>
          <w:b/>
        </w:rPr>
        <w:t>Ms. India Davis</w:t>
      </w:r>
    </w:p>
    <w:p w:rsidR="00CE6C56" w:rsidRDefault="00CE6C56" w:rsidP="00CE6C56">
      <w:pPr>
        <w:ind w:left="720"/>
      </w:pPr>
      <w:r>
        <w:t>Program Manager</w:t>
      </w:r>
    </w:p>
    <w:p w:rsidR="00CE6C56" w:rsidRPr="00CF09BB" w:rsidRDefault="00CE6C56" w:rsidP="00CE6C56">
      <w:pPr>
        <w:ind w:left="720"/>
      </w:pPr>
      <w:r>
        <w:t>Pima County Behavioral Health</w:t>
      </w:r>
    </w:p>
    <w:p w:rsidR="00CE6C56" w:rsidRPr="00CF09BB" w:rsidRDefault="00CE6C56" w:rsidP="00CE6C56">
      <w:pPr>
        <w:ind w:left="720"/>
      </w:pPr>
    </w:p>
    <w:p w:rsidR="00CE6C56" w:rsidRPr="00CF09BB" w:rsidRDefault="00CE6C56" w:rsidP="00CE6C56">
      <w:pPr>
        <w:ind w:left="720"/>
        <w:rPr>
          <w:b/>
        </w:rPr>
      </w:pPr>
      <w:r w:rsidRPr="00CF09BB">
        <w:rPr>
          <w:b/>
        </w:rPr>
        <w:t>Mr. Jim Dunn</w:t>
      </w:r>
    </w:p>
    <w:p w:rsidR="00CE6C56" w:rsidRDefault="00CE6C56" w:rsidP="00CE6C56">
      <w:pPr>
        <w:ind w:left="720"/>
      </w:pPr>
      <w:r>
        <w:t>Executive Director/CEO</w:t>
      </w:r>
    </w:p>
    <w:p w:rsidR="00CE6C56" w:rsidRPr="00CF09BB" w:rsidRDefault="00CE6C56" w:rsidP="00CE6C56">
      <w:pPr>
        <w:ind w:left="720"/>
      </w:pPr>
      <w:r w:rsidRPr="00CF09BB">
        <w:t>Natl. Alliance on Mental Illness</w:t>
      </w:r>
    </w:p>
    <w:p w:rsidR="00CE6C56" w:rsidRPr="00CF09BB" w:rsidRDefault="00CE6C56" w:rsidP="00CE6C56">
      <w:pPr>
        <w:ind w:left="720"/>
      </w:pPr>
    </w:p>
    <w:p w:rsidR="00CE6C56" w:rsidRPr="00CF09BB" w:rsidRDefault="00CE6C56" w:rsidP="00CE6C56">
      <w:pPr>
        <w:ind w:left="720"/>
        <w:rPr>
          <w:b/>
        </w:rPr>
      </w:pPr>
      <w:r w:rsidRPr="00CF09BB">
        <w:rPr>
          <w:b/>
        </w:rPr>
        <w:t>Ms. Vicki Hill</w:t>
      </w:r>
    </w:p>
    <w:p w:rsidR="00CE6C56" w:rsidRDefault="00CE6C56" w:rsidP="00CE6C56">
      <w:pPr>
        <w:ind w:left="720"/>
      </w:pPr>
      <w:r>
        <w:t>City Prosecutor</w:t>
      </w:r>
    </w:p>
    <w:p w:rsidR="00CE6C56" w:rsidRPr="00CF09BB" w:rsidRDefault="00CE6C56" w:rsidP="00CE6C56">
      <w:pPr>
        <w:ind w:left="720"/>
      </w:pPr>
      <w:r w:rsidRPr="00CF09BB">
        <w:t>City of Phoenix</w:t>
      </w:r>
    </w:p>
    <w:p w:rsidR="00CE6C56" w:rsidRPr="00CF09BB" w:rsidRDefault="00CE6C56" w:rsidP="00CE6C56">
      <w:pPr>
        <w:ind w:left="720"/>
      </w:pPr>
    </w:p>
    <w:p w:rsidR="00CE6C56" w:rsidRPr="004E58CC" w:rsidRDefault="00CE6C56" w:rsidP="00CE6C56">
      <w:pPr>
        <w:ind w:firstLine="720"/>
      </w:pPr>
      <w:r>
        <w:rPr>
          <w:b/>
        </w:rPr>
        <w:t>Ms. Josephine Jones</w:t>
      </w:r>
    </w:p>
    <w:p w:rsidR="0054245D" w:rsidRDefault="00CE6C56" w:rsidP="0054245D">
      <w:pPr>
        <w:ind w:left="720"/>
      </w:pPr>
      <w:r w:rsidRPr="004E58CC">
        <w:t>Deputy Director</w:t>
      </w:r>
    </w:p>
    <w:p w:rsidR="00CE6C56" w:rsidRPr="004E58CC" w:rsidRDefault="00CE6C56" w:rsidP="0054245D">
      <w:pPr>
        <w:ind w:left="720"/>
      </w:pPr>
      <w:r w:rsidRPr="004E58CC">
        <w:t>Maricopa Office of the Public Advocate</w:t>
      </w:r>
    </w:p>
    <w:p w:rsidR="00CE6C56" w:rsidRPr="00CF09BB" w:rsidRDefault="00CE6C56" w:rsidP="00CE6C56">
      <w:pPr>
        <w:ind w:left="720"/>
        <w:rPr>
          <w:b/>
        </w:rPr>
      </w:pPr>
      <w:r w:rsidRPr="00CF09BB">
        <w:rPr>
          <w:b/>
        </w:rPr>
        <w:t>Ms. Kathleen Mayer</w:t>
      </w:r>
    </w:p>
    <w:p w:rsidR="00CE6C56" w:rsidRDefault="00CE6C56" w:rsidP="00CE6C56">
      <w:pPr>
        <w:ind w:left="720"/>
      </w:pPr>
      <w:r>
        <w:t>Deputy County Attorney</w:t>
      </w:r>
    </w:p>
    <w:p w:rsidR="00CE6C56" w:rsidRPr="00CF09BB" w:rsidRDefault="00CE6C56" w:rsidP="00CE6C56">
      <w:pPr>
        <w:ind w:left="720"/>
      </w:pPr>
      <w:r w:rsidRPr="00CF09BB">
        <w:t>Pima County Attorney’s Office</w:t>
      </w:r>
    </w:p>
    <w:p w:rsidR="00CE6C56" w:rsidRPr="00CF09BB" w:rsidRDefault="00CE6C56" w:rsidP="00CE6C56">
      <w:pPr>
        <w:ind w:left="720"/>
      </w:pPr>
    </w:p>
    <w:p w:rsidR="00CE6C56" w:rsidRPr="00CF09BB" w:rsidRDefault="00CE6C56" w:rsidP="00CE6C56">
      <w:pPr>
        <w:ind w:left="720"/>
        <w:rPr>
          <w:b/>
        </w:rPr>
      </w:pPr>
      <w:r w:rsidRPr="00CF09BB">
        <w:rPr>
          <w:b/>
        </w:rPr>
        <w:t xml:space="preserve">The Hon. Joseph </w:t>
      </w:r>
      <w:proofErr w:type="spellStart"/>
      <w:r w:rsidRPr="00CF09BB">
        <w:rPr>
          <w:b/>
        </w:rPr>
        <w:t>Mikitish</w:t>
      </w:r>
      <w:proofErr w:type="spellEnd"/>
    </w:p>
    <w:p w:rsidR="00CE6C56" w:rsidRDefault="00CE6C56" w:rsidP="00CE6C56">
      <w:pPr>
        <w:ind w:left="720"/>
      </w:pPr>
      <w:r>
        <w:t>Judge</w:t>
      </w:r>
    </w:p>
    <w:p w:rsidR="00CE6C56" w:rsidRPr="00CF09BB" w:rsidRDefault="00CE6C56" w:rsidP="00CE6C56">
      <w:pPr>
        <w:ind w:left="720"/>
      </w:pPr>
      <w:r w:rsidRPr="00CF09BB">
        <w:t>Superior Court in Maricopa County</w:t>
      </w:r>
    </w:p>
    <w:p w:rsidR="00CE6C56" w:rsidRPr="00CF09BB" w:rsidRDefault="00CE6C56" w:rsidP="00CE6C56">
      <w:pPr>
        <w:ind w:left="720"/>
      </w:pPr>
    </w:p>
    <w:p w:rsidR="00CE6C56" w:rsidRPr="00CF09BB" w:rsidRDefault="00CE6C56" w:rsidP="00CE6C56">
      <w:pPr>
        <w:ind w:left="720"/>
        <w:rPr>
          <w:b/>
        </w:rPr>
      </w:pPr>
      <w:r w:rsidRPr="00CF09BB">
        <w:rPr>
          <w:b/>
        </w:rPr>
        <w:t xml:space="preserve">Dr. Dawn </w:t>
      </w:r>
      <w:proofErr w:type="spellStart"/>
      <w:r w:rsidRPr="00CF09BB">
        <w:rPr>
          <w:b/>
        </w:rPr>
        <w:t>Noggle</w:t>
      </w:r>
      <w:proofErr w:type="spellEnd"/>
    </w:p>
    <w:p w:rsidR="00CE6C56" w:rsidRDefault="00CE6C56" w:rsidP="00CE6C56">
      <w:pPr>
        <w:ind w:left="720"/>
      </w:pPr>
      <w:r>
        <w:t>Mental Health Director</w:t>
      </w:r>
    </w:p>
    <w:p w:rsidR="00CE6C56" w:rsidRPr="00CF09BB" w:rsidRDefault="00CE6C56" w:rsidP="00CE6C56">
      <w:pPr>
        <w:ind w:left="720"/>
      </w:pPr>
      <w:r w:rsidRPr="00CF09BB">
        <w:t>Maricopa County</w:t>
      </w:r>
      <w:r>
        <w:t xml:space="preserve"> Correctional Health Serv.</w:t>
      </w:r>
    </w:p>
    <w:p w:rsidR="00CE6C56" w:rsidRPr="00CF09BB" w:rsidRDefault="00CE6C56" w:rsidP="00CE6C56">
      <w:pPr>
        <w:ind w:left="720"/>
      </w:pPr>
    </w:p>
    <w:p w:rsidR="00CE6C56" w:rsidRPr="00CF09BB" w:rsidRDefault="00CE6C56" w:rsidP="00CE6C56">
      <w:pPr>
        <w:ind w:left="720"/>
        <w:rPr>
          <w:b/>
        </w:rPr>
      </w:pPr>
      <w:r w:rsidRPr="00CF09BB">
        <w:rPr>
          <w:b/>
        </w:rPr>
        <w:t>Ms. Carol Olson</w:t>
      </w:r>
    </w:p>
    <w:p w:rsidR="00CE6C56" w:rsidRDefault="00CE6C56" w:rsidP="00CE6C56">
      <w:pPr>
        <w:ind w:left="720"/>
      </w:pPr>
      <w:r>
        <w:t>Director</w:t>
      </w:r>
    </w:p>
    <w:p w:rsidR="00CE6C56" w:rsidRPr="00CF09BB" w:rsidRDefault="00CE6C56" w:rsidP="00CE6C56">
      <w:pPr>
        <w:ind w:left="720"/>
      </w:pPr>
      <w:r w:rsidRPr="00CF09BB">
        <w:t>Desert Vista Hospital</w:t>
      </w:r>
    </w:p>
    <w:p w:rsidR="00CE6C56" w:rsidRPr="00CF09BB" w:rsidRDefault="00CE6C56" w:rsidP="00CE6C56">
      <w:pPr>
        <w:ind w:left="720"/>
      </w:pPr>
    </w:p>
    <w:p w:rsidR="00CE6C56" w:rsidRPr="00CF09BB" w:rsidRDefault="00CE6C56" w:rsidP="00CE6C56">
      <w:pPr>
        <w:ind w:left="720"/>
        <w:rPr>
          <w:b/>
        </w:rPr>
      </w:pPr>
      <w:r w:rsidRPr="00CF09BB">
        <w:rPr>
          <w:b/>
        </w:rPr>
        <w:t>Ms. Nancy Rodriguez</w:t>
      </w:r>
    </w:p>
    <w:p w:rsidR="00CE6C56" w:rsidRDefault="00CE6C56" w:rsidP="00CE6C56">
      <w:pPr>
        <w:ind w:left="720"/>
      </w:pPr>
      <w:r>
        <w:t>Deputy Director</w:t>
      </w:r>
    </w:p>
    <w:p w:rsidR="00CE6C56" w:rsidRDefault="00CE6C56" w:rsidP="00CE6C56">
      <w:pPr>
        <w:ind w:left="720"/>
      </w:pPr>
      <w:r w:rsidRPr="00CF09BB">
        <w:t>Maricopa County</w:t>
      </w:r>
      <w:r>
        <w:t xml:space="preserve"> Clerk of Superior Court</w:t>
      </w:r>
    </w:p>
    <w:p w:rsidR="00CE6C56" w:rsidRDefault="00CE6C56" w:rsidP="00CE6C56">
      <w:pPr>
        <w:ind w:left="720"/>
      </w:pPr>
    </w:p>
    <w:p w:rsidR="00CE6C56" w:rsidRPr="00CF09BB" w:rsidRDefault="00CE6C56" w:rsidP="00CE6C56">
      <w:pPr>
        <w:ind w:left="720"/>
        <w:rPr>
          <w:b/>
        </w:rPr>
      </w:pPr>
      <w:r>
        <w:rPr>
          <w:b/>
        </w:rPr>
        <w:t>Dr. Michael Sc</w:t>
      </w:r>
      <w:r w:rsidRPr="00CF09BB">
        <w:rPr>
          <w:b/>
        </w:rPr>
        <w:t>hafer</w:t>
      </w:r>
    </w:p>
    <w:p w:rsidR="00CE6C56" w:rsidRDefault="00CE6C56" w:rsidP="00CE6C56">
      <w:pPr>
        <w:ind w:left="720"/>
      </w:pPr>
      <w:r>
        <w:t>Professor and Director</w:t>
      </w:r>
    </w:p>
    <w:p w:rsidR="00CE6C56" w:rsidRDefault="00CE6C56" w:rsidP="00CE6C56">
      <w:pPr>
        <w:ind w:left="720"/>
      </w:pPr>
      <w:r>
        <w:t>ASU Center for Applied Behavioral Health</w:t>
      </w:r>
    </w:p>
    <w:p w:rsidR="00CE6C56" w:rsidRDefault="00CE6C56" w:rsidP="00CE6C56">
      <w:pPr>
        <w:ind w:left="720"/>
        <w:rPr>
          <w:b/>
        </w:rPr>
      </w:pPr>
    </w:p>
    <w:p w:rsidR="00CE6C56" w:rsidRPr="00CB1677" w:rsidRDefault="00CE6C56" w:rsidP="00CE6C56">
      <w:pPr>
        <w:ind w:firstLine="720"/>
        <w:rPr>
          <w:b/>
        </w:rPr>
      </w:pPr>
      <w:r w:rsidRPr="00CB1677">
        <w:rPr>
          <w:b/>
        </w:rPr>
        <w:t>Ms. Mary</w:t>
      </w:r>
      <w:r>
        <w:rPr>
          <w:b/>
        </w:rPr>
        <w:t xml:space="preserve"> </w:t>
      </w:r>
      <w:r w:rsidRPr="00CB1677">
        <w:rPr>
          <w:b/>
        </w:rPr>
        <w:t>Ellen Sheppard</w:t>
      </w:r>
    </w:p>
    <w:p w:rsidR="00CE6C56" w:rsidRDefault="00CE6C56" w:rsidP="00CE6C56">
      <w:pPr>
        <w:ind w:left="720"/>
      </w:pPr>
      <w:r>
        <w:t>Assistant County Manager</w:t>
      </w:r>
    </w:p>
    <w:p w:rsidR="00CE6C56" w:rsidRDefault="00CE6C56" w:rsidP="00CE6C56">
      <w:pPr>
        <w:ind w:left="720"/>
      </w:pPr>
      <w:r>
        <w:t>Maricopa County</w:t>
      </w:r>
    </w:p>
    <w:p w:rsidR="00CE6C56" w:rsidRDefault="00CE6C56" w:rsidP="00CE6C56">
      <w:pPr>
        <w:ind w:left="720"/>
      </w:pPr>
    </w:p>
    <w:p w:rsidR="00CE6C56" w:rsidRPr="00CF09BB" w:rsidRDefault="00CE6C56" w:rsidP="00CE6C56">
      <w:pPr>
        <w:ind w:left="720"/>
        <w:rPr>
          <w:b/>
        </w:rPr>
      </w:pPr>
      <w:r w:rsidRPr="00CF09BB">
        <w:rPr>
          <w:b/>
        </w:rPr>
        <w:t xml:space="preserve">The Hon. Susan </w:t>
      </w:r>
      <w:proofErr w:type="spellStart"/>
      <w:r w:rsidRPr="00CF09BB">
        <w:rPr>
          <w:b/>
        </w:rPr>
        <w:t>Shetter</w:t>
      </w:r>
      <w:proofErr w:type="spellEnd"/>
    </w:p>
    <w:p w:rsidR="00CE6C56" w:rsidRDefault="00CE6C56" w:rsidP="00CE6C56">
      <w:pPr>
        <w:ind w:left="720"/>
      </w:pPr>
      <w:r>
        <w:t>Judge</w:t>
      </w:r>
    </w:p>
    <w:p w:rsidR="00CE6C56" w:rsidRPr="00CF09BB" w:rsidRDefault="00CE6C56" w:rsidP="00CE6C56">
      <w:pPr>
        <w:ind w:left="720"/>
      </w:pPr>
      <w:r w:rsidRPr="00CF09BB">
        <w:t xml:space="preserve">Tucson City </w:t>
      </w:r>
      <w:r>
        <w:t xml:space="preserve">Mental Health </w:t>
      </w:r>
      <w:r w:rsidRPr="00CF09BB">
        <w:t>Court</w:t>
      </w:r>
    </w:p>
    <w:p w:rsidR="00CE6C56" w:rsidRPr="00CF09BB" w:rsidRDefault="00CE6C56" w:rsidP="00CE6C56">
      <w:pPr>
        <w:ind w:left="720"/>
      </w:pPr>
    </w:p>
    <w:p w:rsidR="00CE6C56" w:rsidRPr="00CF09BB" w:rsidRDefault="00CE6C56" w:rsidP="00CE6C56">
      <w:pPr>
        <w:ind w:left="720"/>
        <w:rPr>
          <w:b/>
        </w:rPr>
      </w:pPr>
      <w:r w:rsidRPr="00CF09BB">
        <w:rPr>
          <w:b/>
        </w:rPr>
        <w:t>The Hon. Barbara Spencer</w:t>
      </w:r>
    </w:p>
    <w:p w:rsidR="00CE6C56" w:rsidRDefault="00CE6C56" w:rsidP="00CE6C56">
      <w:pPr>
        <w:ind w:left="720"/>
      </w:pPr>
      <w:r>
        <w:t>Commissioner</w:t>
      </w:r>
    </w:p>
    <w:p w:rsidR="00CE6C56" w:rsidRPr="00CF09BB" w:rsidRDefault="00CE6C56" w:rsidP="00CE6C56">
      <w:pPr>
        <w:ind w:left="720"/>
      </w:pPr>
      <w:r w:rsidRPr="00CF09BB">
        <w:t>Superior Court in Maricopa County</w:t>
      </w:r>
    </w:p>
    <w:p w:rsidR="00CE6C56" w:rsidRDefault="00CE6C56" w:rsidP="00CE6C56">
      <w:pPr>
        <w:ind w:left="720"/>
      </w:pPr>
    </w:p>
    <w:p w:rsidR="00CE6C56" w:rsidRPr="006B1CB8" w:rsidRDefault="00CE6C56" w:rsidP="00CE6C56">
      <w:pPr>
        <w:ind w:left="720"/>
        <w:rPr>
          <w:b/>
        </w:rPr>
      </w:pPr>
      <w:r w:rsidRPr="006B1CB8">
        <w:rPr>
          <w:b/>
        </w:rPr>
        <w:t>The Hon. Christopher Staring</w:t>
      </w:r>
    </w:p>
    <w:p w:rsidR="00CE6C56" w:rsidRDefault="00CE6C56" w:rsidP="00CE6C56">
      <w:pPr>
        <w:ind w:left="720"/>
      </w:pPr>
      <w:r>
        <w:t>Judge</w:t>
      </w:r>
    </w:p>
    <w:p w:rsidR="00CE6C56" w:rsidRDefault="00CE6C56" w:rsidP="00CE6C56">
      <w:pPr>
        <w:ind w:left="720"/>
      </w:pPr>
      <w:r>
        <w:t>Court of Appeals, Division II</w:t>
      </w:r>
    </w:p>
    <w:p w:rsidR="00CE6C56" w:rsidRPr="00CF09BB" w:rsidRDefault="00CE6C56" w:rsidP="00CE6C56">
      <w:pPr>
        <w:ind w:left="720"/>
      </w:pPr>
    </w:p>
    <w:p w:rsidR="00CE6C56" w:rsidRPr="00CF09BB" w:rsidRDefault="00CE6C56" w:rsidP="00CE6C56">
      <w:pPr>
        <w:ind w:left="720"/>
        <w:rPr>
          <w:b/>
        </w:rPr>
      </w:pPr>
      <w:r w:rsidRPr="00CF09BB">
        <w:rPr>
          <w:b/>
        </w:rPr>
        <w:t xml:space="preserve">Ms. Lisa </w:t>
      </w:r>
      <w:proofErr w:type="spellStart"/>
      <w:r w:rsidRPr="00CF09BB">
        <w:rPr>
          <w:b/>
        </w:rPr>
        <w:t>Surhio</w:t>
      </w:r>
      <w:proofErr w:type="spellEnd"/>
    </w:p>
    <w:p w:rsidR="00CE6C56" w:rsidRDefault="00CE6C56" w:rsidP="00CE6C56">
      <w:pPr>
        <w:ind w:left="720"/>
      </w:pPr>
      <w:r>
        <w:t>Assistant Public Defender</w:t>
      </w:r>
    </w:p>
    <w:p w:rsidR="00CE6C56" w:rsidRPr="00CF09BB" w:rsidRDefault="00CE6C56" w:rsidP="00CE6C56">
      <w:pPr>
        <w:ind w:left="720"/>
      </w:pPr>
      <w:r w:rsidRPr="00CF09BB">
        <w:t>Pima County Public Defender’s Office</w:t>
      </w:r>
    </w:p>
    <w:p w:rsidR="00CE6C56" w:rsidRPr="00CF09BB" w:rsidRDefault="00CE6C56" w:rsidP="00CE6C56">
      <w:pPr>
        <w:ind w:left="720"/>
      </w:pPr>
    </w:p>
    <w:p w:rsidR="00CE6C56" w:rsidRPr="00CF09BB" w:rsidRDefault="00CE6C56" w:rsidP="00CE6C56">
      <w:pPr>
        <w:ind w:left="720"/>
        <w:rPr>
          <w:b/>
        </w:rPr>
      </w:pPr>
      <w:r>
        <w:rPr>
          <w:b/>
        </w:rPr>
        <w:t xml:space="preserve">Ms. </w:t>
      </w:r>
      <w:r w:rsidRPr="00CF09BB">
        <w:rPr>
          <w:b/>
        </w:rPr>
        <w:t>Sabrina Taylor</w:t>
      </w:r>
    </w:p>
    <w:p w:rsidR="00CE6C56" w:rsidRDefault="00CE6C56" w:rsidP="00CE6C56">
      <w:pPr>
        <w:ind w:left="720"/>
      </w:pPr>
      <w:r>
        <w:t>Detective – Regional CIT Coordinator</w:t>
      </w:r>
    </w:p>
    <w:p w:rsidR="00CE6C56" w:rsidRPr="00CF09BB" w:rsidRDefault="00CE6C56" w:rsidP="00CE6C56">
      <w:pPr>
        <w:ind w:left="720"/>
      </w:pPr>
      <w:r w:rsidRPr="00CF09BB">
        <w:t>Phoenix Police Department</w:t>
      </w:r>
    </w:p>
    <w:p w:rsidR="00CE6C56" w:rsidRPr="00CF09BB" w:rsidRDefault="00CE6C56" w:rsidP="00CE6C56">
      <w:pPr>
        <w:ind w:left="720"/>
      </w:pPr>
    </w:p>
    <w:p w:rsidR="00CE6C56" w:rsidRPr="00CF09BB" w:rsidRDefault="00CE6C56" w:rsidP="00CE6C56">
      <w:pPr>
        <w:ind w:left="720"/>
        <w:rPr>
          <w:b/>
        </w:rPr>
      </w:pPr>
      <w:r w:rsidRPr="00CF09BB">
        <w:rPr>
          <w:b/>
        </w:rPr>
        <w:t>Mr. Paul Thomas</w:t>
      </w:r>
    </w:p>
    <w:p w:rsidR="00CE6C56" w:rsidRDefault="00CE6C56" w:rsidP="00CE6C56">
      <w:pPr>
        <w:ind w:left="720"/>
      </w:pPr>
      <w:r>
        <w:t>Court Administrator</w:t>
      </w:r>
    </w:p>
    <w:p w:rsidR="00CE6C56" w:rsidRPr="00CF09BB" w:rsidRDefault="00CE6C56" w:rsidP="00CE6C56">
      <w:pPr>
        <w:ind w:left="720"/>
      </w:pPr>
      <w:r w:rsidRPr="00CF09BB">
        <w:t>Mesa Municipal Court</w:t>
      </w:r>
    </w:p>
    <w:p w:rsidR="00CE6C56" w:rsidRPr="00CF09BB" w:rsidRDefault="00CE6C56" w:rsidP="00CE6C56">
      <w:pPr>
        <w:ind w:left="720"/>
      </w:pPr>
    </w:p>
    <w:p w:rsidR="00CE6C56" w:rsidRPr="00CF09BB" w:rsidRDefault="00CE6C56" w:rsidP="00CE6C56">
      <w:pPr>
        <w:ind w:left="720"/>
        <w:rPr>
          <w:b/>
        </w:rPr>
      </w:pPr>
      <w:r>
        <w:rPr>
          <w:b/>
        </w:rPr>
        <w:t xml:space="preserve">Ms. </w:t>
      </w:r>
      <w:proofErr w:type="spellStart"/>
      <w:r>
        <w:rPr>
          <w:b/>
        </w:rPr>
        <w:t>J</w:t>
      </w:r>
      <w:r w:rsidRPr="00CF09BB">
        <w:rPr>
          <w:b/>
        </w:rPr>
        <w:t>uli</w:t>
      </w:r>
      <w:proofErr w:type="spellEnd"/>
      <w:r w:rsidRPr="00CF09BB">
        <w:rPr>
          <w:b/>
        </w:rPr>
        <w:t xml:space="preserve"> </w:t>
      </w:r>
      <w:proofErr w:type="spellStart"/>
      <w:r w:rsidRPr="00CF09BB">
        <w:rPr>
          <w:b/>
        </w:rPr>
        <w:t>Warzynski</w:t>
      </w:r>
      <w:proofErr w:type="spellEnd"/>
    </w:p>
    <w:p w:rsidR="00CE6C56" w:rsidRDefault="00CE6C56" w:rsidP="00CE6C56">
      <w:pPr>
        <w:ind w:left="720"/>
      </w:pPr>
      <w:r>
        <w:t>Deputy County Attorney</w:t>
      </w:r>
    </w:p>
    <w:p w:rsidR="00CE6C56" w:rsidRPr="00CF09BB" w:rsidRDefault="00CE6C56" w:rsidP="00CE6C56">
      <w:pPr>
        <w:ind w:left="720"/>
      </w:pPr>
      <w:r w:rsidRPr="00CF09BB">
        <w:t>Maricopa County Attorney’s Office</w:t>
      </w:r>
    </w:p>
    <w:p w:rsidR="00CE6C56" w:rsidRPr="00CF09BB" w:rsidRDefault="00CE6C56" w:rsidP="00CE6C56">
      <w:pPr>
        <w:ind w:left="720"/>
      </w:pPr>
    </w:p>
    <w:p w:rsidR="00CE6C56" w:rsidRDefault="00CE6C56" w:rsidP="00CE6C56">
      <w:pPr>
        <w:ind w:left="720"/>
        <w:rPr>
          <w:b/>
        </w:rPr>
      </w:pPr>
      <w:r w:rsidRPr="00CF09BB">
        <w:rPr>
          <w:b/>
        </w:rPr>
        <w:t>Ms. Danna Whiting</w:t>
      </w:r>
    </w:p>
    <w:p w:rsidR="00CE6C56" w:rsidRPr="00CE6C56" w:rsidRDefault="00CE6C56" w:rsidP="00CE6C56">
      <w:pPr>
        <w:ind w:left="720"/>
        <w:rPr>
          <w:b/>
        </w:rPr>
      </w:pPr>
      <w:r>
        <w:t>Administrator</w:t>
      </w:r>
    </w:p>
    <w:p w:rsidR="00CE6C56" w:rsidRDefault="00CE6C56" w:rsidP="00CE6C56">
      <w:pPr>
        <w:ind w:left="720"/>
      </w:pPr>
      <w:r w:rsidRPr="00CF09BB">
        <w:t xml:space="preserve">Pima County </w:t>
      </w:r>
      <w:r>
        <w:t xml:space="preserve">Office of </w:t>
      </w:r>
      <w:r w:rsidRPr="00CF09BB">
        <w:t>Behavioral Health</w:t>
      </w:r>
    </w:p>
    <w:p w:rsidR="00CE6C56" w:rsidRDefault="00CE6C56" w:rsidP="00CE6C56">
      <w:pPr>
        <w:ind w:left="720"/>
      </w:pPr>
    </w:p>
    <w:p w:rsidR="00CE6C56" w:rsidRDefault="00CE6C56" w:rsidP="00CE6C56">
      <w:pPr>
        <w:ind w:left="720"/>
      </w:pPr>
    </w:p>
    <w:p w:rsidR="00CE6C56" w:rsidRDefault="00CE6C56" w:rsidP="00CE6C56">
      <w:pPr>
        <w:ind w:left="720"/>
      </w:pPr>
    </w:p>
    <w:p w:rsidR="00CE6C56" w:rsidRDefault="00CE6C56" w:rsidP="00CE6C56">
      <w:pPr>
        <w:ind w:firstLine="720"/>
        <w:rPr>
          <w:b/>
        </w:rPr>
      </w:pPr>
      <w:r w:rsidRPr="00CB1677">
        <w:rPr>
          <w:b/>
          <w:highlight w:val="lightGray"/>
        </w:rPr>
        <w:t>STAFF</w:t>
      </w:r>
    </w:p>
    <w:p w:rsidR="00CE6C56" w:rsidRDefault="00CE6C56" w:rsidP="00CE6C56">
      <w:pPr>
        <w:ind w:left="720"/>
        <w:rPr>
          <w:b/>
        </w:rPr>
      </w:pPr>
    </w:p>
    <w:p w:rsidR="00CE6C56" w:rsidRPr="00CB1677" w:rsidRDefault="00CE6C56" w:rsidP="00CE6C56">
      <w:pPr>
        <w:ind w:left="720"/>
        <w:rPr>
          <w:b/>
        </w:rPr>
      </w:pPr>
      <w:r w:rsidRPr="00CB1677">
        <w:rPr>
          <w:b/>
        </w:rPr>
        <w:t>Ms. Theresa Barrett</w:t>
      </w:r>
    </w:p>
    <w:p w:rsidR="00CE6C56" w:rsidRDefault="00CE6C56" w:rsidP="00CE6C56">
      <w:pPr>
        <w:ind w:left="720"/>
      </w:pPr>
      <w:r>
        <w:t>Court Programs Unit Manager</w:t>
      </w:r>
    </w:p>
    <w:p w:rsidR="00CE6C56" w:rsidRDefault="00CE6C56" w:rsidP="00CE6C56">
      <w:pPr>
        <w:ind w:left="720"/>
      </w:pPr>
      <w:r>
        <w:t>AOC</w:t>
      </w:r>
    </w:p>
    <w:p w:rsidR="00CE6C56" w:rsidRDefault="00CE6C56" w:rsidP="00CE6C56">
      <w:pPr>
        <w:ind w:left="720"/>
      </w:pPr>
    </w:p>
    <w:p w:rsidR="00CE6C56" w:rsidRPr="00CB1677" w:rsidRDefault="00CE6C56" w:rsidP="00CE6C56">
      <w:pPr>
        <w:ind w:left="720"/>
        <w:rPr>
          <w:b/>
        </w:rPr>
      </w:pPr>
      <w:r w:rsidRPr="00CB1677">
        <w:rPr>
          <w:b/>
        </w:rPr>
        <w:t>Ms. Jennifer Albright</w:t>
      </w:r>
    </w:p>
    <w:p w:rsidR="00CE6C56" w:rsidRDefault="00CE6C56" w:rsidP="00CE6C56">
      <w:pPr>
        <w:ind w:left="720"/>
      </w:pPr>
      <w:r>
        <w:t>Senior Court Policy Analyst</w:t>
      </w:r>
    </w:p>
    <w:p w:rsidR="00CE6C56" w:rsidRDefault="00CE6C56" w:rsidP="00CE6C56">
      <w:pPr>
        <w:ind w:left="720"/>
      </w:pPr>
      <w:r>
        <w:t>AOC</w:t>
      </w:r>
    </w:p>
    <w:p w:rsidR="00CE6C56" w:rsidRDefault="00CE6C56" w:rsidP="00CE6C56">
      <w:pPr>
        <w:ind w:left="720"/>
      </w:pPr>
    </w:p>
    <w:p w:rsidR="00CE6C56" w:rsidRPr="00CB1677" w:rsidRDefault="00CE6C56" w:rsidP="00CE6C56">
      <w:pPr>
        <w:ind w:left="720"/>
        <w:rPr>
          <w:b/>
        </w:rPr>
      </w:pPr>
      <w:r w:rsidRPr="00CB1677">
        <w:rPr>
          <w:b/>
        </w:rPr>
        <w:t>Mr. Don Jacobson</w:t>
      </w:r>
    </w:p>
    <w:p w:rsidR="00CE6C56" w:rsidRDefault="00CE6C56" w:rsidP="00CE6C56">
      <w:pPr>
        <w:ind w:left="720"/>
      </w:pPr>
      <w:r>
        <w:t>Sr. Special Projects Consultant</w:t>
      </w:r>
    </w:p>
    <w:p w:rsidR="00CE6C56" w:rsidRDefault="00CE6C56" w:rsidP="00CE6C56">
      <w:pPr>
        <w:ind w:left="720"/>
      </w:pPr>
      <w:r>
        <w:t>AOC</w:t>
      </w:r>
    </w:p>
    <w:p w:rsidR="00CE6C56" w:rsidRDefault="00CE6C56" w:rsidP="00CE6C56">
      <w:pPr>
        <w:ind w:left="720"/>
      </w:pPr>
    </w:p>
    <w:p w:rsidR="00CE6C56" w:rsidRPr="00CB1677" w:rsidRDefault="00CE6C56" w:rsidP="00CE6C56">
      <w:pPr>
        <w:ind w:left="720"/>
        <w:rPr>
          <w:b/>
        </w:rPr>
      </w:pPr>
      <w:r w:rsidRPr="00CB1677">
        <w:rPr>
          <w:b/>
        </w:rPr>
        <w:t>Ms. Jodi Jerich</w:t>
      </w:r>
    </w:p>
    <w:p w:rsidR="00CE6C56" w:rsidRDefault="00CE6C56" w:rsidP="00CE6C56">
      <w:pPr>
        <w:ind w:left="720"/>
      </w:pPr>
      <w:r>
        <w:t>Sr. Court Policy Analyst</w:t>
      </w:r>
    </w:p>
    <w:p w:rsidR="00CE6C56" w:rsidRDefault="00CE6C56" w:rsidP="00CE6C56">
      <w:pPr>
        <w:ind w:left="720"/>
        <w:sectPr w:rsidR="00CE6C56" w:rsidSect="00CE6C56">
          <w:type w:val="continuous"/>
          <w:pgSz w:w="12240" w:h="15840"/>
          <w:pgMar w:top="720" w:right="720" w:bottom="720" w:left="720" w:header="720" w:footer="720" w:gutter="0"/>
          <w:pgNumType w:start="15"/>
          <w:cols w:num="2" w:space="720"/>
          <w:docGrid w:linePitch="326"/>
        </w:sectPr>
      </w:pPr>
      <w:r>
        <w:t>AOC</w:t>
      </w:r>
    </w:p>
    <w:p w:rsidR="00E50518" w:rsidRDefault="00E50518" w:rsidP="00CE6C56">
      <w:pPr>
        <w:rPr>
          <w:sz w:val="28"/>
          <w:szCs w:val="28"/>
        </w:rPr>
      </w:pPr>
    </w:p>
    <w:p w:rsidR="00E50518" w:rsidRDefault="00E50518">
      <w:pPr>
        <w:widowControl/>
        <w:autoSpaceDE/>
        <w:autoSpaceDN/>
        <w:adjustRightInd/>
        <w:spacing w:after="160" w:line="259" w:lineRule="auto"/>
        <w:rPr>
          <w:sz w:val="28"/>
          <w:szCs w:val="28"/>
        </w:rPr>
      </w:pPr>
      <w:r>
        <w:rPr>
          <w:sz w:val="28"/>
          <w:szCs w:val="28"/>
        </w:rPr>
        <w:br w:type="page"/>
      </w:r>
    </w:p>
    <w:p w:rsidR="00CE6C56" w:rsidRPr="00E50518" w:rsidRDefault="00E50518" w:rsidP="00E50518">
      <w:pPr>
        <w:jc w:val="center"/>
        <w:rPr>
          <w:b/>
          <w:sz w:val="28"/>
          <w:szCs w:val="28"/>
          <w:u w:val="single"/>
        </w:rPr>
      </w:pPr>
      <w:r w:rsidRPr="00E50518">
        <w:rPr>
          <w:b/>
          <w:sz w:val="28"/>
          <w:szCs w:val="28"/>
          <w:u w:val="single"/>
        </w:rPr>
        <w:lastRenderedPageBreak/>
        <w:t>APPENDIX C</w:t>
      </w:r>
    </w:p>
    <w:p w:rsidR="00E50518" w:rsidRDefault="00E50518" w:rsidP="00CE6C56">
      <w:pPr>
        <w:rPr>
          <w:sz w:val="28"/>
          <w:szCs w:val="28"/>
        </w:rPr>
      </w:pPr>
    </w:p>
    <w:p w:rsidR="004259AE" w:rsidRDefault="00E50518" w:rsidP="00CE6C56">
      <w:pPr>
        <w:rPr>
          <w:sz w:val="28"/>
          <w:szCs w:val="28"/>
        </w:rPr>
      </w:pPr>
      <w:r>
        <w:rPr>
          <w:noProof/>
        </w:rPr>
        <w:drawing>
          <wp:inline distT="0" distB="0" distL="0" distR="0" wp14:anchorId="5C8DD8FF" wp14:editId="1CE561DE">
            <wp:extent cx="6667500" cy="506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67500" cy="5067300"/>
                    </a:xfrm>
                    <a:prstGeom prst="rect">
                      <a:avLst/>
                    </a:prstGeom>
                  </pic:spPr>
                </pic:pic>
              </a:graphicData>
            </a:graphic>
          </wp:inline>
        </w:drawing>
      </w:r>
    </w:p>
    <w:p w:rsidR="004259AE" w:rsidRDefault="004259AE">
      <w:pPr>
        <w:widowControl/>
        <w:autoSpaceDE/>
        <w:autoSpaceDN/>
        <w:adjustRightInd/>
        <w:spacing w:after="160" w:line="259" w:lineRule="auto"/>
        <w:rPr>
          <w:sz w:val="28"/>
          <w:szCs w:val="28"/>
        </w:rPr>
      </w:pPr>
      <w:r>
        <w:rPr>
          <w:sz w:val="28"/>
          <w:szCs w:val="28"/>
        </w:rPr>
        <w:br w:type="page"/>
      </w:r>
    </w:p>
    <w:p w:rsidR="00E50518" w:rsidRDefault="004259AE" w:rsidP="004259AE">
      <w:pPr>
        <w:ind w:left="720"/>
        <w:jc w:val="center"/>
        <w:rPr>
          <w:b/>
          <w:sz w:val="28"/>
          <w:szCs w:val="28"/>
          <w:u w:val="single"/>
        </w:rPr>
      </w:pPr>
      <w:r w:rsidRPr="004259AE">
        <w:rPr>
          <w:b/>
          <w:sz w:val="28"/>
          <w:szCs w:val="28"/>
          <w:u w:val="single"/>
        </w:rPr>
        <w:lastRenderedPageBreak/>
        <w:t>APPENDIX D</w:t>
      </w:r>
    </w:p>
    <w:p w:rsidR="004259AE" w:rsidRDefault="004259AE" w:rsidP="004259AE">
      <w:pPr>
        <w:ind w:left="720"/>
        <w:jc w:val="center"/>
        <w:rPr>
          <w:b/>
          <w:sz w:val="28"/>
          <w:szCs w:val="28"/>
          <w:u w:val="single"/>
        </w:rPr>
      </w:pPr>
    </w:p>
    <w:p w:rsidR="004259AE" w:rsidRDefault="004259AE" w:rsidP="004259AE">
      <w:pPr>
        <w:ind w:left="720"/>
        <w:jc w:val="center"/>
        <w:rPr>
          <w:b/>
          <w:sz w:val="28"/>
          <w:szCs w:val="28"/>
          <w:u w:val="single"/>
        </w:rPr>
      </w:pPr>
      <w:r>
        <w:rPr>
          <w:b/>
          <w:sz w:val="28"/>
          <w:szCs w:val="28"/>
          <w:u w:val="single"/>
        </w:rPr>
        <w:t>Mesa Municipal Court Rule 11 Proceedings Statistics</w:t>
      </w:r>
      <w:r w:rsidR="00ED2966">
        <w:rPr>
          <w:b/>
          <w:sz w:val="28"/>
          <w:szCs w:val="28"/>
          <w:u w:val="single"/>
        </w:rPr>
        <w:t xml:space="preserve"> through 9/2017</w:t>
      </w:r>
    </w:p>
    <w:p w:rsidR="004259AE" w:rsidRDefault="004259AE" w:rsidP="004259AE">
      <w:pPr>
        <w:ind w:left="720"/>
        <w:jc w:val="center"/>
        <w:rPr>
          <w:b/>
          <w:sz w:val="28"/>
          <w:szCs w:val="28"/>
          <w:u w:val="single"/>
        </w:rPr>
      </w:pPr>
    </w:p>
    <w:p w:rsidR="004259AE" w:rsidRDefault="004259AE" w:rsidP="004259AE">
      <w:pPr>
        <w:ind w:left="720"/>
        <w:jc w:val="center"/>
        <w:rPr>
          <w:b/>
          <w:sz w:val="28"/>
          <w:szCs w:val="28"/>
          <w:u w:val="single"/>
        </w:rPr>
      </w:pPr>
    </w:p>
    <w:p w:rsidR="004259AE" w:rsidRDefault="004259AE" w:rsidP="004259AE">
      <w:pPr>
        <w:ind w:left="720"/>
        <w:rPr>
          <w:sz w:val="28"/>
          <w:szCs w:val="28"/>
        </w:rPr>
      </w:pPr>
      <w:r w:rsidRPr="004259AE">
        <w:rPr>
          <w:noProof/>
          <w:sz w:val="28"/>
          <w:szCs w:val="28"/>
        </w:rPr>
        <w:drawing>
          <wp:inline distT="0" distB="0" distL="0" distR="0" wp14:anchorId="230F4965" wp14:editId="607128E8">
            <wp:extent cx="6267450" cy="5000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87828" cy="5016884"/>
                    </a:xfrm>
                    <a:prstGeom prst="rect">
                      <a:avLst/>
                    </a:prstGeom>
                  </pic:spPr>
                </pic:pic>
              </a:graphicData>
            </a:graphic>
          </wp:inline>
        </w:drawing>
      </w:r>
    </w:p>
    <w:p w:rsidR="004259AE" w:rsidRDefault="004259AE">
      <w:pPr>
        <w:widowControl/>
        <w:autoSpaceDE/>
        <w:autoSpaceDN/>
        <w:adjustRightInd/>
        <w:spacing w:after="160" w:line="259" w:lineRule="auto"/>
        <w:rPr>
          <w:sz w:val="28"/>
          <w:szCs w:val="28"/>
        </w:rPr>
      </w:pPr>
      <w:r>
        <w:rPr>
          <w:sz w:val="28"/>
          <w:szCs w:val="28"/>
        </w:rPr>
        <w:br w:type="page"/>
      </w:r>
    </w:p>
    <w:p w:rsidR="004259AE" w:rsidRDefault="004259AE" w:rsidP="004259AE">
      <w:pPr>
        <w:ind w:left="720"/>
        <w:jc w:val="center"/>
        <w:rPr>
          <w:b/>
          <w:sz w:val="28"/>
          <w:szCs w:val="28"/>
          <w:u w:val="single"/>
        </w:rPr>
      </w:pPr>
      <w:r w:rsidRPr="004259AE">
        <w:rPr>
          <w:b/>
          <w:sz w:val="28"/>
          <w:szCs w:val="28"/>
          <w:u w:val="single"/>
        </w:rPr>
        <w:lastRenderedPageBreak/>
        <w:t>Glendale City Court Rule 11 Proceedings Statistics</w:t>
      </w:r>
      <w:r w:rsidR="00ED2966">
        <w:rPr>
          <w:b/>
          <w:sz w:val="28"/>
          <w:szCs w:val="28"/>
          <w:u w:val="single"/>
        </w:rPr>
        <w:t xml:space="preserve"> through 9/2017</w:t>
      </w:r>
    </w:p>
    <w:p w:rsidR="004259AE" w:rsidRDefault="004259AE" w:rsidP="004259AE">
      <w:pPr>
        <w:ind w:left="720"/>
        <w:jc w:val="center"/>
        <w:rPr>
          <w:b/>
          <w:sz w:val="28"/>
          <w:szCs w:val="28"/>
          <w:u w:val="single"/>
        </w:rPr>
      </w:pPr>
    </w:p>
    <w:p w:rsidR="004259AE" w:rsidRPr="004259AE" w:rsidRDefault="004259AE" w:rsidP="004259AE">
      <w:pPr>
        <w:ind w:left="720"/>
        <w:jc w:val="center"/>
        <w:rPr>
          <w:b/>
          <w:sz w:val="28"/>
          <w:szCs w:val="28"/>
          <w:u w:val="single"/>
        </w:rPr>
      </w:pPr>
    </w:p>
    <w:p w:rsidR="004259AE" w:rsidRDefault="004259AE" w:rsidP="004259AE">
      <w:pPr>
        <w:ind w:left="720"/>
        <w:rPr>
          <w:sz w:val="28"/>
          <w:szCs w:val="28"/>
        </w:rPr>
      </w:pPr>
      <w:r w:rsidRPr="004259AE">
        <w:rPr>
          <w:noProof/>
          <w:sz w:val="28"/>
          <w:szCs w:val="28"/>
        </w:rPr>
        <w:drawing>
          <wp:inline distT="0" distB="0" distL="0" distR="0" wp14:anchorId="479CACFB" wp14:editId="3131B431">
            <wp:extent cx="6096000" cy="4400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531" cy="4400933"/>
                    </a:xfrm>
                    <a:prstGeom prst="rect">
                      <a:avLst/>
                    </a:prstGeom>
                  </pic:spPr>
                </pic:pic>
              </a:graphicData>
            </a:graphic>
          </wp:inline>
        </w:drawing>
      </w:r>
    </w:p>
    <w:p w:rsidR="004259AE" w:rsidRDefault="004259AE" w:rsidP="004259AE">
      <w:pPr>
        <w:ind w:left="720"/>
        <w:rPr>
          <w:sz w:val="28"/>
          <w:szCs w:val="28"/>
        </w:rPr>
      </w:pPr>
    </w:p>
    <w:p w:rsidR="004259AE" w:rsidRDefault="004259AE" w:rsidP="004259AE">
      <w:pPr>
        <w:ind w:left="720"/>
        <w:rPr>
          <w:sz w:val="28"/>
          <w:szCs w:val="28"/>
        </w:rPr>
      </w:pPr>
    </w:p>
    <w:p w:rsidR="004259AE" w:rsidRDefault="004259AE">
      <w:pPr>
        <w:widowControl/>
        <w:autoSpaceDE/>
        <w:autoSpaceDN/>
        <w:adjustRightInd/>
        <w:spacing w:after="160" w:line="259" w:lineRule="auto"/>
        <w:rPr>
          <w:sz w:val="28"/>
          <w:szCs w:val="28"/>
        </w:rPr>
      </w:pPr>
      <w:r>
        <w:rPr>
          <w:sz w:val="28"/>
          <w:szCs w:val="28"/>
        </w:rPr>
        <w:br w:type="page"/>
      </w:r>
    </w:p>
    <w:p w:rsidR="004259AE" w:rsidRDefault="004259AE" w:rsidP="00ED2966">
      <w:pPr>
        <w:jc w:val="center"/>
        <w:rPr>
          <w:b/>
          <w:sz w:val="28"/>
          <w:szCs w:val="28"/>
          <w:u w:val="single"/>
        </w:rPr>
      </w:pPr>
      <w:r w:rsidRPr="004259AE">
        <w:rPr>
          <w:b/>
          <w:sz w:val="28"/>
          <w:szCs w:val="28"/>
          <w:u w:val="single"/>
        </w:rPr>
        <w:lastRenderedPageBreak/>
        <w:t>APPENDIX E</w:t>
      </w:r>
    </w:p>
    <w:p w:rsidR="004259AE" w:rsidRDefault="004259AE" w:rsidP="004259AE">
      <w:pPr>
        <w:ind w:left="720"/>
        <w:jc w:val="center"/>
        <w:rPr>
          <w:b/>
          <w:sz w:val="28"/>
          <w:szCs w:val="28"/>
          <w:u w:val="single"/>
        </w:rPr>
      </w:pP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Gothic-Drafting" w:hAnsi="Letter-Gothic-Drafting"/>
          <w:b/>
          <w:bCs/>
          <w:sz w:val="20"/>
          <w:szCs w:val="20"/>
        </w:rPr>
        <w:t> </w:t>
      </w: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Gothic-Drafting" w:hAnsi="Letter-Gothic-Drafting"/>
          <w:b/>
          <w:bCs/>
          <w:sz w:val="20"/>
          <w:szCs w:val="20"/>
        </w:rPr>
        <w:t> </w:t>
      </w:r>
    </w:p>
    <w:tbl>
      <w:tblPr>
        <w:tblW w:w="0" w:type="auto"/>
        <w:tblInd w:w="108" w:type="dxa"/>
        <w:tblCellMar>
          <w:left w:w="0" w:type="dxa"/>
          <w:right w:w="0" w:type="dxa"/>
        </w:tblCellMar>
        <w:tblLook w:val="04A0" w:firstRow="1" w:lastRow="0" w:firstColumn="1" w:lastColumn="0" w:noHBand="0" w:noVBand="1"/>
      </w:tblPr>
      <w:tblGrid>
        <w:gridCol w:w="8928"/>
      </w:tblGrid>
      <w:tr w:rsidR="004259AE" w:rsidRPr="004259AE" w:rsidTr="004259AE">
        <w:tc>
          <w:tcPr>
            <w:tcW w:w="8928" w:type="dxa"/>
            <w:tcMar>
              <w:top w:w="0" w:type="dxa"/>
              <w:left w:w="108" w:type="dxa"/>
              <w:bottom w:w="0" w:type="dxa"/>
              <w:right w:w="108" w:type="dxa"/>
            </w:tcMar>
            <w:hideMark/>
          </w:tcPr>
          <w:p w:rsidR="004259AE" w:rsidRPr="004259AE" w:rsidRDefault="004259AE" w:rsidP="004259AE">
            <w:pPr>
              <w:widowControl/>
              <w:autoSpaceDE/>
              <w:autoSpaceDN/>
              <w:adjustRightInd/>
              <w:snapToGrid w:val="0"/>
              <w:jc w:val="right"/>
              <w:rPr>
                <w:rFonts w:ascii="Letter-Gothic-Drafting" w:hAnsi="Letter-Gothic-Drafting"/>
                <w:b/>
                <w:bCs/>
                <w:sz w:val="20"/>
                <w:szCs w:val="20"/>
              </w:rPr>
            </w:pPr>
            <w:r w:rsidRPr="004259AE">
              <w:rPr>
                <w:rFonts w:ascii="Letter-Gothic-Drafting" w:hAnsi="Letter-Gothic-Drafting"/>
                <w:b/>
                <w:bCs/>
                <w:sz w:val="20"/>
                <w:szCs w:val="20"/>
              </w:rPr>
              <w:t>Senate Engrossed</w:t>
            </w:r>
          </w:p>
        </w:tc>
      </w:tr>
      <w:tr w:rsidR="004259AE" w:rsidRPr="004259AE" w:rsidTr="004259AE">
        <w:tc>
          <w:tcPr>
            <w:tcW w:w="8928" w:type="dxa"/>
            <w:tcMar>
              <w:top w:w="0" w:type="dxa"/>
              <w:left w:w="108" w:type="dxa"/>
              <w:bottom w:w="0" w:type="dxa"/>
              <w:right w:w="108" w:type="dxa"/>
            </w:tcMar>
            <w:hideMark/>
          </w:tcPr>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Gothic-Drafting" w:hAnsi="Letter-Gothic-Drafting"/>
                <w:b/>
                <w:bCs/>
                <w:sz w:val="20"/>
                <w:szCs w:val="20"/>
              </w:rPr>
              <w:t> </w:t>
            </w: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Gothic-Drafting" w:hAnsi="Letter-Gothic-Drafting"/>
                <w:b/>
                <w:bCs/>
                <w:sz w:val="20"/>
                <w:szCs w:val="20"/>
              </w:rPr>
              <w:t> State of Arizona</w:t>
            </w: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Gothic-Drafting" w:hAnsi="Letter-Gothic-Drafting"/>
                <w:b/>
                <w:bCs/>
                <w:sz w:val="20"/>
                <w:szCs w:val="20"/>
              </w:rPr>
              <w:t>Senate</w:t>
            </w:r>
          </w:p>
          <w:p w:rsidR="004259AE" w:rsidRPr="004259AE" w:rsidRDefault="004259AE" w:rsidP="004259AE">
            <w:pPr>
              <w:widowControl/>
              <w:autoSpaceDE/>
              <w:autoSpaceDN/>
              <w:adjustRightInd/>
              <w:snapToGrid w:val="0"/>
              <w:jc w:val="both"/>
              <w:rPr>
                <w:rFonts w:ascii="Letter-Gothic-Drafting" w:hAnsi="Letter-Gothic-Drafting"/>
                <w:b/>
                <w:bCs/>
                <w:sz w:val="20"/>
                <w:szCs w:val="20"/>
              </w:rPr>
            </w:pPr>
            <w:proofErr w:type="gramStart"/>
            <w:r w:rsidRPr="004259AE">
              <w:rPr>
                <w:rFonts w:ascii="Letter-Gothic-Drafting" w:hAnsi="Letter-Gothic-Drafting"/>
                <w:b/>
                <w:bCs/>
                <w:sz w:val="20"/>
                <w:szCs w:val="20"/>
              </w:rPr>
              <w:t>Fifty-third</w:t>
            </w:r>
            <w:proofErr w:type="gramEnd"/>
            <w:r w:rsidRPr="004259AE">
              <w:rPr>
                <w:rFonts w:ascii="Letter-Gothic-Drafting" w:hAnsi="Letter-Gothic-Drafting"/>
                <w:b/>
                <w:bCs/>
                <w:sz w:val="20"/>
                <w:szCs w:val="20"/>
              </w:rPr>
              <w:t xml:space="preserve"> Legislature</w:t>
            </w: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Gothic-Drafting" w:hAnsi="Letter-Gothic-Drafting"/>
                <w:b/>
                <w:bCs/>
                <w:sz w:val="20"/>
                <w:szCs w:val="20"/>
              </w:rPr>
              <w:t>First Regular Session</w:t>
            </w: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Gothic-Drafting" w:hAnsi="Letter-Gothic-Drafting"/>
                <w:b/>
                <w:bCs/>
                <w:sz w:val="20"/>
                <w:szCs w:val="20"/>
              </w:rPr>
              <w:t>2017</w:t>
            </w: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Gothic-Drafting" w:hAnsi="Letter-Gothic-Drafting"/>
                <w:b/>
                <w:bCs/>
                <w:sz w:val="20"/>
                <w:szCs w:val="20"/>
              </w:rPr>
              <w:t> </w:t>
            </w:r>
          </w:p>
        </w:tc>
      </w:tr>
      <w:tr w:rsidR="004259AE" w:rsidRPr="004259AE" w:rsidTr="004259AE">
        <w:tc>
          <w:tcPr>
            <w:tcW w:w="8928" w:type="dxa"/>
            <w:tcMar>
              <w:top w:w="0" w:type="dxa"/>
              <w:left w:w="108" w:type="dxa"/>
              <w:bottom w:w="0" w:type="dxa"/>
              <w:right w:w="108" w:type="dxa"/>
            </w:tcMar>
            <w:hideMark/>
          </w:tcPr>
          <w:p w:rsidR="004259AE" w:rsidRPr="004259AE" w:rsidRDefault="004259AE" w:rsidP="004259AE">
            <w:pPr>
              <w:widowControl/>
              <w:autoSpaceDE/>
              <w:autoSpaceDN/>
              <w:adjustRightInd/>
              <w:snapToGrid w:val="0"/>
              <w:jc w:val="center"/>
              <w:rPr>
                <w:rFonts w:ascii="Letter-Gothic-Drafting" w:hAnsi="Letter-Gothic-Drafting"/>
                <w:b/>
                <w:bCs/>
                <w:sz w:val="20"/>
                <w:szCs w:val="20"/>
              </w:rPr>
            </w:pPr>
            <w:r w:rsidRPr="004259AE">
              <w:rPr>
                <w:rFonts w:ascii="Letter-Gothic-Drafting" w:hAnsi="Letter-Gothic-Drafting"/>
                <w:b/>
                <w:bCs/>
                <w:sz w:val="20"/>
                <w:szCs w:val="20"/>
              </w:rPr>
              <w:t> </w:t>
            </w:r>
          </w:p>
          <w:p w:rsidR="004259AE" w:rsidRPr="004259AE" w:rsidRDefault="004259AE" w:rsidP="00ED2966">
            <w:pPr>
              <w:widowControl/>
              <w:autoSpaceDE/>
              <w:autoSpaceDN/>
              <w:adjustRightInd/>
              <w:snapToGrid w:val="0"/>
              <w:jc w:val="center"/>
              <w:rPr>
                <w:rFonts w:ascii="Letter-Gothic-Drafting" w:hAnsi="Letter-Gothic-Drafting"/>
                <w:b/>
                <w:bCs/>
                <w:sz w:val="20"/>
                <w:szCs w:val="20"/>
              </w:rPr>
            </w:pPr>
            <w:r w:rsidRPr="004259AE">
              <w:rPr>
                <w:rFonts w:ascii="Times New Roman Upper" w:hAnsi="Times New Roman Upper"/>
                <w:b/>
                <w:bCs/>
                <w:sz w:val="32"/>
                <w:szCs w:val="32"/>
              </w:rPr>
              <w:t>CHAPTER 14</w:t>
            </w:r>
          </w:p>
          <w:p w:rsidR="004259AE" w:rsidRPr="004259AE" w:rsidRDefault="004259AE" w:rsidP="004259AE">
            <w:pPr>
              <w:widowControl/>
              <w:autoSpaceDE/>
              <w:autoSpaceDN/>
              <w:adjustRightInd/>
              <w:snapToGrid w:val="0"/>
              <w:jc w:val="center"/>
              <w:rPr>
                <w:rFonts w:ascii="Letter-Gothic-Drafting" w:hAnsi="Letter-Gothic-Drafting"/>
                <w:b/>
                <w:bCs/>
                <w:sz w:val="20"/>
                <w:szCs w:val="20"/>
              </w:rPr>
            </w:pPr>
            <w:r w:rsidRPr="004259AE">
              <w:rPr>
                <w:rFonts w:ascii="Letter-Gothic-Drafting" w:hAnsi="Letter-Gothic-Drafting"/>
                <w:b/>
                <w:bCs/>
                <w:sz w:val="20"/>
                <w:szCs w:val="20"/>
              </w:rPr>
              <w:t> </w:t>
            </w:r>
          </w:p>
        </w:tc>
      </w:tr>
      <w:tr w:rsidR="004259AE" w:rsidRPr="004259AE" w:rsidTr="004259AE">
        <w:tc>
          <w:tcPr>
            <w:tcW w:w="8928" w:type="dxa"/>
            <w:tcMar>
              <w:top w:w="0" w:type="dxa"/>
              <w:left w:w="108" w:type="dxa"/>
              <w:bottom w:w="0" w:type="dxa"/>
              <w:right w:w="108" w:type="dxa"/>
            </w:tcMar>
            <w:hideMark/>
          </w:tcPr>
          <w:p w:rsidR="004259AE" w:rsidRPr="004259AE" w:rsidRDefault="004259AE" w:rsidP="00ED2966">
            <w:pPr>
              <w:widowControl/>
              <w:autoSpaceDE/>
              <w:autoSpaceDN/>
              <w:adjustRightInd/>
              <w:snapToGrid w:val="0"/>
              <w:jc w:val="center"/>
              <w:rPr>
                <w:rFonts w:ascii="Letter-Gothic-Drafting" w:hAnsi="Letter-Gothic-Drafting"/>
                <w:b/>
                <w:bCs/>
                <w:sz w:val="20"/>
                <w:szCs w:val="20"/>
              </w:rPr>
            </w:pPr>
            <w:r w:rsidRPr="004259AE">
              <w:rPr>
                <w:rFonts w:ascii="Arial" w:hAnsi="Arial" w:cs="Arial"/>
                <w:b/>
                <w:bCs/>
                <w:sz w:val="48"/>
                <w:szCs w:val="48"/>
              </w:rPr>
              <w:t>SENATE BILL 1157</w:t>
            </w:r>
          </w:p>
        </w:tc>
      </w:tr>
      <w:tr w:rsidR="004259AE" w:rsidRPr="004259AE" w:rsidTr="004259AE">
        <w:tc>
          <w:tcPr>
            <w:tcW w:w="8928" w:type="dxa"/>
            <w:tcMar>
              <w:top w:w="0" w:type="dxa"/>
              <w:left w:w="108" w:type="dxa"/>
              <w:bottom w:w="0" w:type="dxa"/>
              <w:right w:w="108" w:type="dxa"/>
            </w:tcMar>
            <w:hideMark/>
          </w:tcPr>
          <w:p w:rsidR="004259AE" w:rsidRPr="004259AE" w:rsidRDefault="004259AE" w:rsidP="004259AE">
            <w:pPr>
              <w:widowControl/>
              <w:autoSpaceDE/>
              <w:autoSpaceDN/>
              <w:adjustRightInd/>
              <w:snapToGrid w:val="0"/>
              <w:jc w:val="center"/>
              <w:rPr>
                <w:rFonts w:ascii="Letter-Gothic-Drafting" w:hAnsi="Letter-Gothic-Drafting"/>
                <w:b/>
                <w:bCs/>
                <w:sz w:val="20"/>
                <w:szCs w:val="20"/>
              </w:rPr>
            </w:pPr>
            <w:r w:rsidRPr="004259AE">
              <w:rPr>
                <w:rFonts w:ascii="Letter-Gothic-Drafting" w:hAnsi="Letter-Gothic-Drafting"/>
                <w:b/>
                <w:bCs/>
                <w:sz w:val="20"/>
                <w:szCs w:val="20"/>
              </w:rPr>
              <w:t> </w:t>
            </w:r>
          </w:p>
        </w:tc>
      </w:tr>
    </w:tbl>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Gothic-Drafting" w:hAnsi="Letter-Gothic-Drafting"/>
          <w:b/>
          <w:bCs/>
          <w:sz w:val="20"/>
          <w:szCs w:val="20"/>
        </w:rPr>
        <w:t> </w:t>
      </w:r>
    </w:p>
    <w:p w:rsidR="004259AE" w:rsidRPr="004259AE" w:rsidRDefault="004259AE" w:rsidP="004259AE">
      <w:pPr>
        <w:widowControl/>
        <w:autoSpaceDE/>
        <w:autoSpaceDN/>
        <w:adjustRightInd/>
        <w:snapToGrid w:val="0"/>
        <w:jc w:val="center"/>
        <w:rPr>
          <w:rFonts w:ascii="Letter-Gothic-Drafting" w:hAnsi="Letter-Gothic-Drafting"/>
          <w:b/>
          <w:bCs/>
          <w:sz w:val="20"/>
          <w:szCs w:val="20"/>
        </w:rPr>
      </w:pPr>
      <w:r w:rsidRPr="004259AE">
        <w:rPr>
          <w:rFonts w:ascii="Letter-Gothic-Drafting" w:hAnsi="Letter-Gothic-Drafting"/>
          <w:b/>
          <w:bCs/>
          <w:caps/>
          <w:color w:val="0000FF"/>
          <w:sz w:val="20"/>
          <w:szCs w:val="20"/>
        </w:rPr>
        <w:t>AN ACT</w:t>
      </w: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Gothic-Drafting" w:hAnsi="Letter-Gothic-Drafting"/>
          <w:b/>
          <w:bCs/>
          <w:caps/>
          <w:color w:val="0000FF"/>
          <w:sz w:val="20"/>
          <w:szCs w:val="20"/>
        </w:rPr>
        <w:t> </w:t>
      </w: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Gothic-Drafting" w:hAnsi="Letter-Gothic-Drafting"/>
          <w:b/>
          <w:bCs/>
          <w:caps/>
          <w:color w:val="0000FF"/>
          <w:sz w:val="20"/>
          <w:szCs w:val="20"/>
        </w:rPr>
        <w:t>amending section 13</w:t>
      </w:r>
      <w:r w:rsidRPr="004259AE">
        <w:rPr>
          <w:rFonts w:ascii="Letter-Gothic-Drafting" w:hAnsi="Letter-Gothic-Drafting"/>
          <w:b/>
          <w:bCs/>
          <w:caps/>
          <w:color w:val="0000FF"/>
          <w:sz w:val="20"/>
          <w:szCs w:val="20"/>
        </w:rPr>
        <w:noBreakHyphen/>
        <w:t>4503, Arizona Revised Statutes; relating to competency hearings.</w:t>
      </w: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Gothic-Drafting" w:hAnsi="Letter-Gothic-Drafting"/>
          <w:b/>
          <w:bCs/>
          <w:caps/>
          <w:color w:val="0000FF"/>
          <w:sz w:val="20"/>
          <w:szCs w:val="20"/>
        </w:rPr>
        <w:t> </w:t>
      </w: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Gothic-Drafting" w:hAnsi="Letter-Gothic-Drafting"/>
          <w:b/>
          <w:bCs/>
          <w:caps/>
          <w:color w:val="0000FF"/>
          <w:sz w:val="20"/>
          <w:szCs w:val="20"/>
        </w:rPr>
        <w:t> </w:t>
      </w:r>
    </w:p>
    <w:p w:rsidR="004259AE" w:rsidRPr="004259AE" w:rsidRDefault="004259AE" w:rsidP="004259AE">
      <w:pPr>
        <w:widowControl/>
        <w:autoSpaceDE/>
        <w:autoSpaceDN/>
        <w:adjustRightInd/>
        <w:snapToGrid w:val="0"/>
        <w:jc w:val="center"/>
        <w:rPr>
          <w:rFonts w:ascii="Letter-Gothic-Drafting" w:hAnsi="Letter-Gothic-Drafting"/>
          <w:b/>
          <w:bCs/>
          <w:sz w:val="20"/>
          <w:szCs w:val="20"/>
        </w:rPr>
      </w:pPr>
      <w:r w:rsidRPr="004259AE">
        <w:rPr>
          <w:rFonts w:ascii="Letter-Gothic-Drafting" w:hAnsi="Letter-Gothic-Drafting"/>
          <w:b/>
          <w:bCs/>
          <w:sz w:val="20"/>
          <w:szCs w:val="20"/>
        </w:rPr>
        <w:t>(TEXT OF BILL BEGINS ON NEXT PAGE)</w:t>
      </w: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Gothic-Drafting" w:hAnsi="Letter-Gothic-Drafting"/>
          <w:b/>
          <w:bCs/>
          <w:sz w:val="20"/>
          <w:szCs w:val="20"/>
        </w:rPr>
        <w:t> </w:t>
      </w: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 Gothic-Drafting" w:hAnsi="Letter Gothic-Drafting"/>
          <w:b/>
          <w:bCs/>
          <w:sz w:val="20"/>
          <w:szCs w:val="20"/>
        </w:rPr>
        <w:t>Be it enacted by the Legislature of the State of Arizona:</w:t>
      </w:r>
    </w:p>
    <w:p w:rsidR="004259AE" w:rsidRPr="004259AE" w:rsidRDefault="004259AE" w:rsidP="004259AE">
      <w:pPr>
        <w:widowControl/>
        <w:autoSpaceDE/>
        <w:autoSpaceDN/>
        <w:adjustRightInd/>
        <w:snapToGrid w:val="0"/>
        <w:ind w:firstLine="720"/>
        <w:jc w:val="both"/>
        <w:rPr>
          <w:rFonts w:ascii="Letter-Gothic-Drafting" w:eastAsiaTheme="minorHAnsi" w:hAnsi="Letter-Gothic-Drafting" w:cstheme="minorBidi"/>
          <w:b/>
          <w:bCs/>
          <w:sz w:val="22"/>
          <w:szCs w:val="22"/>
        </w:rPr>
      </w:pPr>
      <w:r w:rsidRPr="004259AE">
        <w:rPr>
          <w:rFonts w:ascii="Letter Gothic-Drafting" w:eastAsiaTheme="minorHAnsi" w:hAnsi="Letter Gothic-Drafting" w:cstheme="minorBidi"/>
          <w:b/>
          <w:bCs/>
          <w:sz w:val="22"/>
          <w:szCs w:val="22"/>
        </w:rPr>
        <w:t>Section 1.  Section 13-4503, Arizona Revised Statutes, is amended to read:</w:t>
      </w:r>
    </w:p>
    <w:p w:rsidR="004259AE" w:rsidRPr="004259AE" w:rsidRDefault="004259AE" w:rsidP="004259AE">
      <w:pPr>
        <w:widowControl/>
        <w:autoSpaceDE/>
        <w:autoSpaceDN/>
        <w:adjustRightInd/>
        <w:snapToGrid w:val="0"/>
        <w:ind w:left="2160" w:right="720" w:hanging="1440"/>
        <w:jc w:val="both"/>
        <w:rPr>
          <w:rFonts w:ascii="Letter-Gothic-Drafting" w:hAnsi="Letter-Gothic-Drafting"/>
          <w:b/>
          <w:bCs/>
          <w:sz w:val="20"/>
          <w:szCs w:val="20"/>
        </w:rPr>
      </w:pPr>
      <w:r w:rsidRPr="004259AE">
        <w:rPr>
          <w:rFonts w:ascii="Letter-Gothic-Drafting" w:hAnsi="Letter-Gothic-Drafting"/>
          <w:b/>
          <w:bCs/>
          <w:vanish/>
          <w:sz w:val="20"/>
          <w:szCs w:val="20"/>
        </w:rPr>
        <w:t>START_STATUTE</w:t>
      </w:r>
      <w:r w:rsidRPr="004259AE">
        <w:rPr>
          <w:rFonts w:ascii="Letter Gothic-Drafting" w:hAnsi="Letter Gothic-Drafting"/>
          <w:b/>
          <w:bCs/>
          <w:color w:val="008000"/>
          <w:sz w:val="20"/>
          <w:szCs w:val="20"/>
        </w:rPr>
        <w:t>13-4503</w:t>
      </w:r>
      <w:r w:rsidRPr="004259AE">
        <w:rPr>
          <w:rFonts w:ascii="Letter Gothic-Drafting" w:hAnsi="Letter Gothic-Drafting"/>
          <w:b/>
          <w:bCs/>
          <w:sz w:val="20"/>
          <w:szCs w:val="20"/>
        </w:rPr>
        <w:t>.  </w:t>
      </w:r>
      <w:r w:rsidRPr="004259AE">
        <w:rPr>
          <w:rFonts w:ascii="Letter Gothic-Drafting" w:hAnsi="Letter Gothic-Drafting"/>
          <w:b/>
          <w:bCs/>
          <w:color w:val="800080"/>
          <w:sz w:val="20"/>
          <w:szCs w:val="20"/>
          <w:u w:val="single"/>
        </w:rPr>
        <w:t xml:space="preserve">Request for competency examination; jurisdiction over competency hearings; referral </w:t>
      </w:r>
    </w:p>
    <w:p w:rsidR="004259AE" w:rsidRPr="004259AE" w:rsidRDefault="004259AE" w:rsidP="004259AE">
      <w:pPr>
        <w:widowControl/>
        <w:autoSpaceDE/>
        <w:autoSpaceDN/>
        <w:adjustRightInd/>
        <w:snapToGrid w:val="0"/>
        <w:ind w:firstLine="720"/>
        <w:jc w:val="both"/>
        <w:rPr>
          <w:rFonts w:ascii="Letter-Gothic-Drafting" w:eastAsiaTheme="minorHAnsi" w:hAnsi="Letter-Gothic-Drafting" w:cstheme="minorBidi"/>
          <w:b/>
          <w:bCs/>
          <w:sz w:val="22"/>
          <w:szCs w:val="22"/>
        </w:rPr>
      </w:pPr>
      <w:r w:rsidRPr="004259AE">
        <w:rPr>
          <w:rFonts w:ascii="Letter Gothic-Drafting" w:eastAsiaTheme="minorHAnsi" w:hAnsi="Letter Gothic-Drafting" w:cstheme="minorBidi"/>
          <w:b/>
          <w:bCs/>
          <w:sz w:val="22"/>
          <w:szCs w:val="22"/>
        </w:rPr>
        <w:t>A.  At any time after the prosecutor charges a criminal offense by complaint, information or indictment, any party or the court on its own motion may request in writing that the defendant be examined to determine the defendant's competency to stand trial, to enter a plea or to assist the defendant's attorney.  The motion shall state the facts on which the mental examination is sought.</w:t>
      </w:r>
    </w:p>
    <w:p w:rsidR="004259AE" w:rsidRPr="004259AE" w:rsidRDefault="004259AE" w:rsidP="004259AE">
      <w:pPr>
        <w:widowControl/>
        <w:autoSpaceDE/>
        <w:autoSpaceDN/>
        <w:adjustRightInd/>
        <w:snapToGrid w:val="0"/>
        <w:ind w:firstLine="720"/>
        <w:jc w:val="both"/>
        <w:rPr>
          <w:rFonts w:ascii="Letter-Gothic-Drafting" w:eastAsiaTheme="minorHAnsi" w:hAnsi="Letter-Gothic-Drafting" w:cstheme="minorBidi"/>
          <w:b/>
          <w:bCs/>
          <w:sz w:val="22"/>
          <w:szCs w:val="22"/>
        </w:rPr>
      </w:pPr>
      <w:r w:rsidRPr="004259AE">
        <w:rPr>
          <w:rFonts w:ascii="Letter Gothic-Drafting" w:eastAsiaTheme="minorHAnsi" w:hAnsi="Letter Gothic-Drafting" w:cstheme="minorBidi"/>
          <w:b/>
          <w:bCs/>
          <w:sz w:val="22"/>
          <w:szCs w:val="22"/>
        </w:rPr>
        <w:t>B.  Within three working days after a motion is filed pursuant to this section, the parties shall provide all available medical and criminal history records to the court.</w:t>
      </w:r>
    </w:p>
    <w:p w:rsidR="004259AE" w:rsidRPr="004259AE" w:rsidRDefault="004259AE" w:rsidP="004259AE">
      <w:pPr>
        <w:widowControl/>
        <w:autoSpaceDE/>
        <w:autoSpaceDN/>
        <w:adjustRightInd/>
        <w:snapToGrid w:val="0"/>
        <w:ind w:firstLine="720"/>
        <w:jc w:val="both"/>
        <w:rPr>
          <w:rFonts w:ascii="Letter-Gothic-Drafting" w:eastAsiaTheme="minorHAnsi" w:hAnsi="Letter-Gothic-Drafting" w:cstheme="minorBidi"/>
          <w:b/>
          <w:bCs/>
          <w:sz w:val="22"/>
          <w:szCs w:val="22"/>
        </w:rPr>
      </w:pPr>
      <w:r w:rsidRPr="004259AE">
        <w:rPr>
          <w:rFonts w:ascii="Letter Gothic-Drafting" w:eastAsiaTheme="minorHAnsi" w:hAnsi="Letter Gothic-Drafting" w:cstheme="minorBidi"/>
          <w:b/>
          <w:bCs/>
          <w:sz w:val="22"/>
          <w:szCs w:val="22"/>
        </w:rPr>
        <w:t>C.  The court may request that a mental health expert assist the court in determining if reasonable grounds exist for examining a defendant.</w:t>
      </w:r>
    </w:p>
    <w:p w:rsidR="004259AE" w:rsidRPr="004259AE" w:rsidRDefault="004259AE" w:rsidP="004259AE">
      <w:pPr>
        <w:widowControl/>
        <w:autoSpaceDE/>
        <w:autoSpaceDN/>
        <w:adjustRightInd/>
        <w:snapToGrid w:val="0"/>
        <w:ind w:firstLine="720"/>
        <w:jc w:val="both"/>
        <w:rPr>
          <w:rFonts w:ascii="Letter-Gothic-Drafting" w:eastAsiaTheme="minorHAnsi" w:hAnsi="Letter-Gothic-Drafting" w:cstheme="minorBidi"/>
          <w:b/>
          <w:bCs/>
          <w:sz w:val="22"/>
          <w:szCs w:val="22"/>
        </w:rPr>
      </w:pPr>
      <w:r w:rsidRPr="004259AE">
        <w:rPr>
          <w:rFonts w:ascii="Letter Gothic-Drafting" w:eastAsiaTheme="minorHAnsi" w:hAnsi="Letter Gothic-Drafting" w:cstheme="minorBidi"/>
          <w:b/>
          <w:bCs/>
          <w:sz w:val="22"/>
          <w:szCs w:val="22"/>
        </w:rPr>
        <w:t>D.  </w:t>
      </w:r>
      <w:r w:rsidRPr="004259AE">
        <w:rPr>
          <w:rFonts w:ascii="Letter Gothic-Drafting" w:eastAsiaTheme="minorHAnsi" w:hAnsi="Letter Gothic-Drafting" w:cstheme="minorBidi"/>
          <w:b/>
          <w:bCs/>
          <w:strike/>
          <w:color w:val="FF0000"/>
          <w:sz w:val="22"/>
          <w:szCs w:val="22"/>
        </w:rPr>
        <w:t>Once</w:t>
      </w:r>
      <w:r w:rsidRPr="004259AE">
        <w:rPr>
          <w:rFonts w:ascii="Letter Gothic-Drafting" w:eastAsiaTheme="minorHAnsi" w:hAnsi="Letter Gothic-Drafting" w:cstheme="minorBidi"/>
          <w:b/>
          <w:bCs/>
          <w:sz w:val="22"/>
          <w:szCs w:val="22"/>
        </w:rPr>
        <w:t xml:space="preserve"> </w:t>
      </w:r>
      <w:r w:rsidRPr="004259AE">
        <w:rPr>
          <w:rFonts w:ascii="Letter Gothic-Drafting" w:eastAsiaTheme="minorHAnsi" w:hAnsi="Letter Gothic-Drafting" w:cstheme="minorBidi"/>
          <w:b/>
          <w:bCs/>
          <w:caps/>
          <w:color w:val="0000FF"/>
          <w:sz w:val="22"/>
          <w:szCs w:val="22"/>
        </w:rPr>
        <w:t xml:space="preserve">Except as provided in subsection E of this section, after </w:t>
      </w:r>
      <w:r w:rsidRPr="004259AE">
        <w:rPr>
          <w:rFonts w:ascii="Letter Gothic-Drafting" w:eastAsiaTheme="minorHAnsi" w:hAnsi="Letter Gothic-Drafting" w:cstheme="minorBidi"/>
          <w:b/>
          <w:bCs/>
          <w:sz w:val="22"/>
          <w:szCs w:val="22"/>
        </w:rPr>
        <w:t>any court determines that reasonable grounds exist for further competency proceedings, the superior court shall have exclusive jurisdiction over all competency hearings.</w:t>
      </w:r>
    </w:p>
    <w:p w:rsidR="004259AE" w:rsidRPr="004259AE" w:rsidRDefault="004259AE" w:rsidP="004259AE">
      <w:pPr>
        <w:widowControl/>
        <w:autoSpaceDE/>
        <w:autoSpaceDN/>
        <w:adjustRightInd/>
        <w:snapToGrid w:val="0"/>
        <w:ind w:firstLine="720"/>
        <w:jc w:val="both"/>
        <w:rPr>
          <w:rFonts w:ascii="Letter-Gothic-Drafting" w:eastAsiaTheme="minorHAnsi" w:hAnsi="Letter-Gothic-Drafting" w:cstheme="minorBidi"/>
          <w:b/>
          <w:bCs/>
          <w:sz w:val="22"/>
          <w:szCs w:val="22"/>
        </w:rPr>
      </w:pPr>
      <w:r w:rsidRPr="004259AE">
        <w:rPr>
          <w:rFonts w:ascii="Letter Gothic-Drafting" w:eastAsiaTheme="minorHAnsi" w:hAnsi="Letter Gothic-Drafting" w:cstheme="minorBidi"/>
          <w:b/>
          <w:bCs/>
          <w:caps/>
          <w:color w:val="0000FF"/>
          <w:sz w:val="22"/>
          <w:szCs w:val="22"/>
        </w:rPr>
        <w:t>E.  The presiding judge of the superior court in each county, with the agreement of the justice of the peace or municipal court judge, may authorize a justice court or municipal court to exercise jurisdiction over a competency hearing in a misdemeanor case that arises out of the justice court or municipal court.</w:t>
      </w:r>
    </w:p>
    <w:p w:rsidR="004259AE" w:rsidRPr="004259AE" w:rsidRDefault="004259AE" w:rsidP="004259AE">
      <w:pPr>
        <w:widowControl/>
        <w:autoSpaceDE/>
        <w:autoSpaceDN/>
        <w:adjustRightInd/>
        <w:snapToGrid w:val="0"/>
        <w:ind w:firstLine="720"/>
        <w:jc w:val="both"/>
        <w:rPr>
          <w:rFonts w:ascii="Letter-Gothic-Drafting" w:eastAsiaTheme="minorHAnsi" w:hAnsi="Letter-Gothic-Drafting" w:cstheme="minorBidi"/>
          <w:b/>
          <w:bCs/>
          <w:sz w:val="22"/>
          <w:szCs w:val="22"/>
        </w:rPr>
      </w:pPr>
      <w:r w:rsidRPr="004259AE">
        <w:rPr>
          <w:rFonts w:ascii="Letter Gothic-Drafting" w:eastAsiaTheme="minorHAnsi" w:hAnsi="Letter Gothic-Drafting" w:cstheme="minorBidi"/>
          <w:b/>
          <w:bCs/>
          <w:caps/>
          <w:color w:val="0000FF"/>
          <w:sz w:val="22"/>
          <w:szCs w:val="22"/>
        </w:rPr>
        <w:t xml:space="preserve">F.  A justice of the peace or municipal court judge, with the approval of the presiding judge of the superior court and the justice or judge of the receiving court, may refer a competency hearing to another justice court or municipal court that </w:t>
      </w:r>
      <w:proofErr w:type="gramStart"/>
      <w:r w:rsidRPr="004259AE">
        <w:rPr>
          <w:rFonts w:ascii="Letter Gothic-Drafting" w:eastAsiaTheme="minorHAnsi" w:hAnsi="Letter Gothic-Drafting" w:cstheme="minorBidi"/>
          <w:b/>
          <w:bCs/>
          <w:caps/>
          <w:color w:val="0000FF"/>
          <w:sz w:val="22"/>
          <w:szCs w:val="22"/>
        </w:rPr>
        <w:t>is located in</w:t>
      </w:r>
      <w:proofErr w:type="gramEnd"/>
      <w:r w:rsidRPr="004259AE">
        <w:rPr>
          <w:rFonts w:ascii="Letter Gothic-Drafting" w:eastAsiaTheme="minorHAnsi" w:hAnsi="Letter Gothic-Drafting" w:cstheme="minorBidi"/>
          <w:b/>
          <w:bCs/>
          <w:caps/>
          <w:color w:val="0000FF"/>
          <w:sz w:val="22"/>
          <w:szCs w:val="22"/>
        </w:rPr>
        <w:t xml:space="preserve"> the county. </w:t>
      </w:r>
      <w:r w:rsidRPr="004259AE">
        <w:rPr>
          <w:rFonts w:ascii="Letter-Gothic-Drafting" w:eastAsiaTheme="minorHAnsi" w:hAnsi="Letter-Gothic-Drafting" w:cstheme="minorBidi"/>
          <w:b/>
          <w:bCs/>
          <w:vanish/>
          <w:sz w:val="22"/>
          <w:szCs w:val="22"/>
        </w:rPr>
        <w:t>END_STATUTE</w:t>
      </w:r>
    </w:p>
    <w:p w:rsidR="004259AE" w:rsidRPr="004259AE" w:rsidRDefault="004259AE" w:rsidP="004259AE">
      <w:pPr>
        <w:widowControl/>
        <w:autoSpaceDE/>
        <w:autoSpaceDN/>
        <w:adjustRightInd/>
      </w:pPr>
    </w:p>
    <w:p w:rsidR="004259AE" w:rsidRPr="004259AE" w:rsidRDefault="004259AE" w:rsidP="004259AE">
      <w:pPr>
        <w:widowControl/>
        <w:autoSpaceDE/>
        <w:autoSpaceDN/>
        <w:adjustRightInd/>
        <w:snapToGrid w:val="0"/>
        <w:jc w:val="both"/>
        <w:rPr>
          <w:rFonts w:ascii="Letter-Gothic-Drafting" w:hAnsi="Letter-Gothic-Drafting"/>
          <w:b/>
          <w:bCs/>
          <w:sz w:val="20"/>
          <w:szCs w:val="20"/>
        </w:rPr>
      </w:pP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 Gothic-Drafting" w:hAnsi="Letter Gothic-Drafting"/>
          <w:b/>
          <w:bCs/>
          <w:sz w:val="20"/>
          <w:szCs w:val="20"/>
        </w:rPr>
        <w:t>APPROVED BY THE GOVERNOR MARCH 14, 2017.</w:t>
      </w:r>
    </w:p>
    <w:p w:rsidR="004259AE" w:rsidRPr="004259AE" w:rsidRDefault="004259AE" w:rsidP="004259AE">
      <w:pPr>
        <w:widowControl/>
        <w:autoSpaceDE/>
        <w:autoSpaceDN/>
        <w:adjustRightInd/>
        <w:snapToGrid w:val="0"/>
        <w:jc w:val="both"/>
        <w:rPr>
          <w:rFonts w:ascii="Letter-Gothic-Drafting" w:hAnsi="Letter-Gothic-Drafting"/>
          <w:b/>
          <w:bCs/>
          <w:sz w:val="20"/>
          <w:szCs w:val="20"/>
        </w:rPr>
      </w:pPr>
      <w:r w:rsidRPr="004259AE">
        <w:rPr>
          <w:rFonts w:ascii="Letter Gothic-Drafting" w:hAnsi="Letter Gothic-Drafting"/>
          <w:b/>
          <w:bCs/>
          <w:sz w:val="20"/>
          <w:szCs w:val="20"/>
        </w:rPr>
        <w:t> </w:t>
      </w:r>
    </w:p>
    <w:p w:rsidR="004259AE" w:rsidRPr="0033044F" w:rsidRDefault="004259AE" w:rsidP="0033044F">
      <w:pPr>
        <w:widowControl/>
        <w:autoSpaceDE/>
        <w:autoSpaceDN/>
        <w:adjustRightInd/>
        <w:snapToGrid w:val="0"/>
        <w:jc w:val="both"/>
        <w:rPr>
          <w:rFonts w:ascii="Letter-Gothic-Drafting" w:hAnsi="Letter-Gothic-Drafting"/>
          <w:b/>
          <w:bCs/>
          <w:sz w:val="20"/>
          <w:szCs w:val="20"/>
        </w:rPr>
      </w:pPr>
      <w:r w:rsidRPr="004259AE">
        <w:rPr>
          <w:rFonts w:ascii="Letter Gothic-Drafting" w:hAnsi="Letter Gothic-Drafting"/>
          <w:b/>
          <w:bCs/>
          <w:sz w:val="20"/>
          <w:szCs w:val="20"/>
        </w:rPr>
        <w:t>FILED IN THE OFFICE OF THE SECRETARY OF STATE MARCH 14, 2017.</w:t>
      </w:r>
    </w:p>
    <w:sectPr w:rsidR="004259AE" w:rsidRPr="0033044F" w:rsidSect="00CE6C56">
      <w:type w:val="continuous"/>
      <w:pgSz w:w="12240" w:h="15840"/>
      <w:pgMar w:top="720" w:right="720" w:bottom="720" w:left="720" w:header="720" w:footer="720" w:gutter="0"/>
      <w:pgNumType w:start="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5F1" w:rsidRDefault="00CB15F1">
      <w:r>
        <w:separator/>
      </w:r>
    </w:p>
  </w:endnote>
  <w:endnote w:type="continuationSeparator" w:id="0">
    <w:p w:rsidR="00CB15F1" w:rsidRDefault="00CB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Letter-Gothic-Drafting">
    <w:altName w:val="Calibri"/>
    <w:charset w:val="00"/>
    <w:family w:val="auto"/>
    <w:pitch w:val="default"/>
  </w:font>
  <w:font w:name="Times New Roman Upper">
    <w:altName w:val="Times New Roman"/>
    <w:charset w:val="00"/>
    <w:family w:val="auto"/>
    <w:pitch w:val="default"/>
  </w:font>
  <w:font w:name="Letter Gothic-Drafting">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308617"/>
      <w:docPartObj>
        <w:docPartGallery w:val="Page Numbers (Bottom of Page)"/>
        <w:docPartUnique/>
      </w:docPartObj>
    </w:sdtPr>
    <w:sdtEndPr>
      <w:rPr>
        <w:noProof/>
      </w:rPr>
    </w:sdtEndPr>
    <w:sdtContent>
      <w:p w:rsidR="00677FEB" w:rsidRDefault="00677FEB">
        <w:pPr>
          <w:pStyle w:val="Footer"/>
          <w:jc w:val="center"/>
        </w:pPr>
        <w:r w:rsidRPr="00A67B9D">
          <w:rPr>
            <w:rFonts w:ascii="Arial" w:hAnsi="Arial" w:cs="Arial"/>
            <w:sz w:val="20"/>
            <w:szCs w:val="20"/>
          </w:rPr>
          <w:fldChar w:fldCharType="begin"/>
        </w:r>
        <w:r w:rsidRPr="00A67B9D">
          <w:rPr>
            <w:rFonts w:ascii="Arial" w:hAnsi="Arial" w:cs="Arial"/>
            <w:sz w:val="20"/>
            <w:szCs w:val="20"/>
          </w:rPr>
          <w:instrText xml:space="preserve"> PAGE   \* MERGEFORMAT </w:instrText>
        </w:r>
        <w:r w:rsidRPr="00A67B9D">
          <w:rPr>
            <w:rFonts w:ascii="Arial" w:hAnsi="Arial" w:cs="Arial"/>
            <w:sz w:val="20"/>
            <w:szCs w:val="20"/>
          </w:rPr>
          <w:fldChar w:fldCharType="separate"/>
        </w:r>
        <w:r w:rsidR="008E64F5">
          <w:rPr>
            <w:rFonts w:ascii="Arial" w:hAnsi="Arial" w:cs="Arial"/>
            <w:noProof/>
            <w:sz w:val="20"/>
            <w:szCs w:val="20"/>
          </w:rPr>
          <w:t>8</w:t>
        </w:r>
        <w:r w:rsidRPr="00A67B9D">
          <w:rPr>
            <w:rFonts w:ascii="Arial" w:hAnsi="Arial" w:cs="Arial"/>
            <w:noProof/>
            <w:sz w:val="20"/>
            <w:szCs w:val="20"/>
          </w:rPr>
          <w:fldChar w:fldCharType="end"/>
        </w:r>
      </w:p>
    </w:sdtContent>
  </w:sdt>
  <w:p w:rsidR="00677FEB" w:rsidRDefault="00677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589373"/>
      <w:docPartObj>
        <w:docPartGallery w:val="Page Numbers (Bottom of Page)"/>
        <w:docPartUnique/>
      </w:docPartObj>
    </w:sdtPr>
    <w:sdtEndPr>
      <w:rPr>
        <w:noProof/>
      </w:rPr>
    </w:sdtEndPr>
    <w:sdtContent>
      <w:p w:rsidR="00677FEB" w:rsidRDefault="00677FEB">
        <w:pPr>
          <w:pStyle w:val="Footer"/>
          <w:jc w:val="center"/>
        </w:pPr>
        <w:r>
          <w:t>Appendix - 1</w:t>
        </w:r>
      </w:p>
    </w:sdtContent>
  </w:sdt>
  <w:p w:rsidR="00677FEB" w:rsidRDefault="00677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C56" w:rsidRDefault="00CE6C56">
    <w:pPr>
      <w:pStyle w:val="Footer"/>
    </w:pPr>
  </w:p>
  <w:p w:rsidR="00CE6C56" w:rsidRDefault="00CE6C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FEB" w:rsidRDefault="00677FEB" w:rsidP="001E5725">
    <w:pPr>
      <w:pStyle w:val="Footer"/>
    </w:pPr>
  </w:p>
  <w:p w:rsidR="00677FEB" w:rsidRDefault="00677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5F1" w:rsidRDefault="00CB15F1">
      <w:r>
        <w:separator/>
      </w:r>
    </w:p>
  </w:footnote>
  <w:footnote w:type="continuationSeparator" w:id="0">
    <w:p w:rsidR="00CB15F1" w:rsidRDefault="00CB15F1">
      <w:r>
        <w:continuationSeparator/>
      </w:r>
    </w:p>
  </w:footnote>
  <w:footnote w:id="1">
    <w:p w:rsidR="00677FEB" w:rsidRPr="0043417D" w:rsidRDefault="00677FEB">
      <w:pPr>
        <w:pStyle w:val="FootnoteText"/>
        <w:rPr>
          <w:sz w:val="28"/>
          <w:szCs w:val="28"/>
        </w:rPr>
      </w:pPr>
      <w:r w:rsidRPr="0043417D">
        <w:rPr>
          <w:rStyle w:val="FootnoteReference"/>
          <w:sz w:val="28"/>
          <w:szCs w:val="28"/>
        </w:rPr>
        <w:footnoteRef/>
      </w:r>
      <w:r w:rsidRPr="0043417D">
        <w:rPr>
          <w:sz w:val="28"/>
          <w:szCs w:val="28"/>
        </w:rPr>
        <w:t xml:space="preserve"> The proposed amendments are to Rules 11.5 and 11.6 effective April 2, 2018.</w:t>
      </w:r>
    </w:p>
  </w:footnote>
  <w:footnote w:id="2">
    <w:p w:rsidR="00677FEB" w:rsidRPr="00AC678C" w:rsidRDefault="00677FEB">
      <w:pPr>
        <w:pStyle w:val="FootnoteText"/>
        <w:rPr>
          <w:sz w:val="28"/>
          <w:szCs w:val="28"/>
        </w:rPr>
      </w:pPr>
      <w:r w:rsidRPr="00AC678C">
        <w:rPr>
          <w:rStyle w:val="FootnoteReference"/>
          <w:sz w:val="28"/>
          <w:szCs w:val="28"/>
        </w:rPr>
        <w:footnoteRef/>
      </w:r>
      <w:r w:rsidRPr="00AC678C">
        <w:rPr>
          <w:sz w:val="28"/>
          <w:szCs w:val="28"/>
        </w:rPr>
        <w:t xml:space="preserve"> Supreme Court Administrative Order No. 2015-092 authorized a limited jurisdiction mental competency proceedings pilot project in the superior court in Maricopa County to allow the Mesa Municipal Court and the Glendale City Court to conduct Rule 11 proceedings for misdemeanor cases originating in their courts. Judges</w:t>
      </w:r>
      <w:r w:rsidR="00AC678C">
        <w:rPr>
          <w:sz w:val="28"/>
          <w:szCs w:val="28"/>
        </w:rPr>
        <w:t xml:space="preserve"> from these municipalities</w:t>
      </w:r>
      <w:r w:rsidRPr="00AC678C">
        <w:rPr>
          <w:sz w:val="28"/>
          <w:szCs w:val="28"/>
        </w:rPr>
        <w:t xml:space="preserve"> preside over these proceedings as su</w:t>
      </w:r>
      <w:r w:rsidR="00773A7A">
        <w:rPr>
          <w:sz w:val="28"/>
          <w:szCs w:val="28"/>
        </w:rPr>
        <w:t>perior court judges pro tempore.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FEB" w:rsidRDefault="00677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B5FA5"/>
    <w:multiLevelType w:val="hybridMultilevel"/>
    <w:tmpl w:val="ED78A0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8C6D0C"/>
    <w:multiLevelType w:val="hybridMultilevel"/>
    <w:tmpl w:val="C9A2F9AC"/>
    <w:lvl w:ilvl="0" w:tplc="7486AC5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5A458C"/>
    <w:multiLevelType w:val="hybridMultilevel"/>
    <w:tmpl w:val="726622EA"/>
    <w:lvl w:ilvl="0" w:tplc="ED8CC576">
      <w:start w:val="1"/>
      <w:numFmt w:val="upperLetter"/>
      <w:lvlText w:val="(%1)"/>
      <w:lvlJc w:val="left"/>
      <w:pPr>
        <w:ind w:left="1665" w:hanging="405"/>
      </w:pPr>
      <w:rPr>
        <w:rFonts w:hint="default"/>
        <w:b w:val="0"/>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FE3685"/>
    <w:multiLevelType w:val="hybridMultilevel"/>
    <w:tmpl w:val="9740F0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4B6A64"/>
    <w:multiLevelType w:val="hybridMultilevel"/>
    <w:tmpl w:val="11C29820"/>
    <w:lvl w:ilvl="0" w:tplc="942E38B6">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2369378A"/>
    <w:multiLevelType w:val="hybridMultilevel"/>
    <w:tmpl w:val="7B40A83A"/>
    <w:lvl w:ilvl="0" w:tplc="6B38B46E">
      <w:start w:val="1"/>
      <w:numFmt w:val="upperLetter"/>
      <w:lvlText w:val="%1."/>
      <w:lvlJc w:val="left"/>
      <w:pPr>
        <w:ind w:left="2970" w:hanging="360"/>
      </w:pPr>
      <w:rPr>
        <w:rFonts w:hint="default"/>
        <w:i/>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 w15:restartNumberingAfterBreak="0">
    <w:nsid w:val="27897348"/>
    <w:multiLevelType w:val="hybridMultilevel"/>
    <w:tmpl w:val="22E64E44"/>
    <w:lvl w:ilvl="0" w:tplc="29ACF59E">
      <w:start w:val="1"/>
      <w:numFmt w:val="decimal"/>
      <w:lvlText w:val="%1."/>
      <w:lvlJc w:val="left"/>
      <w:pPr>
        <w:ind w:left="81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00CC5"/>
    <w:multiLevelType w:val="hybridMultilevel"/>
    <w:tmpl w:val="A8B48548"/>
    <w:lvl w:ilvl="0" w:tplc="2AAA2FE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CC930F4"/>
    <w:multiLevelType w:val="hybridMultilevel"/>
    <w:tmpl w:val="79DC5140"/>
    <w:lvl w:ilvl="0" w:tplc="939EAB94">
      <w:start w:val="1"/>
      <w:numFmt w:val="upperRoman"/>
      <w:lvlText w:val="%1."/>
      <w:lvlJc w:val="left"/>
      <w:pPr>
        <w:ind w:left="1440" w:hanging="720"/>
      </w:pPr>
      <w:rPr>
        <w:rFonts w:ascii="Times New Roman" w:eastAsia="Times New Roman" w:hAnsi="Times New Roman" w:cs="Times New Roman"/>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CC769E"/>
    <w:multiLevelType w:val="hybridMultilevel"/>
    <w:tmpl w:val="B0320002"/>
    <w:lvl w:ilvl="0" w:tplc="C1CE98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72166"/>
    <w:multiLevelType w:val="hybridMultilevel"/>
    <w:tmpl w:val="A206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6693B"/>
    <w:multiLevelType w:val="hybridMultilevel"/>
    <w:tmpl w:val="216CB81A"/>
    <w:lvl w:ilvl="0" w:tplc="CD2EDE0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426B84"/>
    <w:multiLevelType w:val="hybridMultilevel"/>
    <w:tmpl w:val="C10A3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4044BD"/>
    <w:multiLevelType w:val="hybridMultilevel"/>
    <w:tmpl w:val="30AA72A2"/>
    <w:lvl w:ilvl="0" w:tplc="727C9B60">
      <w:start w:val="1"/>
      <w:numFmt w:val="lowerLetter"/>
      <w:lvlText w:val="%1."/>
      <w:lvlJc w:val="left"/>
      <w:pPr>
        <w:ind w:left="660" w:hanging="36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74EF53A4"/>
    <w:multiLevelType w:val="hybridMultilevel"/>
    <w:tmpl w:val="87681C2A"/>
    <w:lvl w:ilvl="0" w:tplc="BB542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6B0B04"/>
    <w:multiLevelType w:val="hybridMultilevel"/>
    <w:tmpl w:val="9F0AD6C6"/>
    <w:lvl w:ilvl="0" w:tplc="7DCC8876">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8954640"/>
    <w:multiLevelType w:val="hybridMultilevel"/>
    <w:tmpl w:val="81D42AB6"/>
    <w:lvl w:ilvl="0" w:tplc="F64A3A7E">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3"/>
  </w:num>
  <w:num w:numId="2">
    <w:abstractNumId w:val="6"/>
  </w:num>
  <w:num w:numId="3">
    <w:abstractNumId w:val="4"/>
  </w:num>
  <w:num w:numId="4">
    <w:abstractNumId w:val="3"/>
  </w:num>
  <w:num w:numId="5">
    <w:abstractNumId w:val="10"/>
  </w:num>
  <w:num w:numId="6">
    <w:abstractNumId w:val="1"/>
  </w:num>
  <w:num w:numId="7">
    <w:abstractNumId w:val="16"/>
  </w:num>
  <w:num w:numId="8">
    <w:abstractNumId w:val="12"/>
  </w:num>
  <w:num w:numId="9">
    <w:abstractNumId w:val="8"/>
  </w:num>
  <w:num w:numId="10">
    <w:abstractNumId w:val="11"/>
  </w:num>
  <w:num w:numId="11">
    <w:abstractNumId w:val="0"/>
  </w:num>
  <w:num w:numId="12">
    <w:abstractNumId w:val="14"/>
  </w:num>
  <w:num w:numId="13">
    <w:abstractNumId w:val="5"/>
  </w:num>
  <w:num w:numId="14">
    <w:abstractNumId w:val="9"/>
  </w:num>
  <w:num w:numId="15">
    <w:abstractNumId w:val="2"/>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45"/>
    <w:rsid w:val="00002B79"/>
    <w:rsid w:val="000046AD"/>
    <w:rsid w:val="00021D9E"/>
    <w:rsid w:val="0002391C"/>
    <w:rsid w:val="00037C21"/>
    <w:rsid w:val="000435AC"/>
    <w:rsid w:val="000468C5"/>
    <w:rsid w:val="0007283F"/>
    <w:rsid w:val="00077575"/>
    <w:rsid w:val="00086525"/>
    <w:rsid w:val="0008690D"/>
    <w:rsid w:val="000A1504"/>
    <w:rsid w:val="000C2EAE"/>
    <w:rsid w:val="000D019E"/>
    <w:rsid w:val="000D4560"/>
    <w:rsid w:val="000E5798"/>
    <w:rsid w:val="00107C7B"/>
    <w:rsid w:val="00110DFE"/>
    <w:rsid w:val="0011790D"/>
    <w:rsid w:val="00126980"/>
    <w:rsid w:val="00152ABB"/>
    <w:rsid w:val="00156988"/>
    <w:rsid w:val="00187035"/>
    <w:rsid w:val="001D0FE3"/>
    <w:rsid w:val="001E5725"/>
    <w:rsid w:val="00230513"/>
    <w:rsid w:val="00234836"/>
    <w:rsid w:val="00234868"/>
    <w:rsid w:val="0024292C"/>
    <w:rsid w:val="002470AC"/>
    <w:rsid w:val="002676D7"/>
    <w:rsid w:val="0027286E"/>
    <w:rsid w:val="002A5BC4"/>
    <w:rsid w:val="002B5714"/>
    <w:rsid w:val="002E4333"/>
    <w:rsid w:val="002F6CDD"/>
    <w:rsid w:val="003071E1"/>
    <w:rsid w:val="00317BEF"/>
    <w:rsid w:val="0032216A"/>
    <w:rsid w:val="00322D80"/>
    <w:rsid w:val="0033044F"/>
    <w:rsid w:val="0036152E"/>
    <w:rsid w:val="003615D8"/>
    <w:rsid w:val="00367B35"/>
    <w:rsid w:val="00367ECD"/>
    <w:rsid w:val="0037149E"/>
    <w:rsid w:val="0038748C"/>
    <w:rsid w:val="003A5634"/>
    <w:rsid w:val="003C1C5B"/>
    <w:rsid w:val="003D0BC9"/>
    <w:rsid w:val="00406105"/>
    <w:rsid w:val="004226BE"/>
    <w:rsid w:val="004259AE"/>
    <w:rsid w:val="004308A2"/>
    <w:rsid w:val="00432BF7"/>
    <w:rsid w:val="0043417D"/>
    <w:rsid w:val="00451C67"/>
    <w:rsid w:val="00460670"/>
    <w:rsid w:val="004638E2"/>
    <w:rsid w:val="004656AB"/>
    <w:rsid w:val="00481BE3"/>
    <w:rsid w:val="00485E80"/>
    <w:rsid w:val="00486C65"/>
    <w:rsid w:val="004942C7"/>
    <w:rsid w:val="004A1C5F"/>
    <w:rsid w:val="004C0AE1"/>
    <w:rsid w:val="004D66CA"/>
    <w:rsid w:val="004E1F11"/>
    <w:rsid w:val="004E3C9F"/>
    <w:rsid w:val="0054245D"/>
    <w:rsid w:val="005466B4"/>
    <w:rsid w:val="00555CF7"/>
    <w:rsid w:val="00561A63"/>
    <w:rsid w:val="00562E2D"/>
    <w:rsid w:val="00564C83"/>
    <w:rsid w:val="00595478"/>
    <w:rsid w:val="00597806"/>
    <w:rsid w:val="005A4485"/>
    <w:rsid w:val="005C3195"/>
    <w:rsid w:val="005C353D"/>
    <w:rsid w:val="005E6F28"/>
    <w:rsid w:val="0060637B"/>
    <w:rsid w:val="00612A85"/>
    <w:rsid w:val="00627976"/>
    <w:rsid w:val="00636A7C"/>
    <w:rsid w:val="006400BE"/>
    <w:rsid w:val="00641A8E"/>
    <w:rsid w:val="0067305E"/>
    <w:rsid w:val="00677FEB"/>
    <w:rsid w:val="006847E3"/>
    <w:rsid w:val="006A6BA4"/>
    <w:rsid w:val="006C0C5A"/>
    <w:rsid w:val="00701991"/>
    <w:rsid w:val="007160F1"/>
    <w:rsid w:val="007233FC"/>
    <w:rsid w:val="00766541"/>
    <w:rsid w:val="00770FF8"/>
    <w:rsid w:val="00773A7A"/>
    <w:rsid w:val="00775019"/>
    <w:rsid w:val="00786FB6"/>
    <w:rsid w:val="007873D0"/>
    <w:rsid w:val="00791122"/>
    <w:rsid w:val="00791598"/>
    <w:rsid w:val="0079252F"/>
    <w:rsid w:val="007D2DD4"/>
    <w:rsid w:val="007D5685"/>
    <w:rsid w:val="007D577E"/>
    <w:rsid w:val="007D72B4"/>
    <w:rsid w:val="007F0D34"/>
    <w:rsid w:val="007F0F1A"/>
    <w:rsid w:val="008054EA"/>
    <w:rsid w:val="008422AD"/>
    <w:rsid w:val="00844458"/>
    <w:rsid w:val="0085208F"/>
    <w:rsid w:val="008765E9"/>
    <w:rsid w:val="00877CE0"/>
    <w:rsid w:val="0088108C"/>
    <w:rsid w:val="00893454"/>
    <w:rsid w:val="00897330"/>
    <w:rsid w:val="008B6C21"/>
    <w:rsid w:val="008D01CE"/>
    <w:rsid w:val="008E64F5"/>
    <w:rsid w:val="008F1958"/>
    <w:rsid w:val="00903197"/>
    <w:rsid w:val="0092381D"/>
    <w:rsid w:val="009305AD"/>
    <w:rsid w:val="009419A8"/>
    <w:rsid w:val="00944B70"/>
    <w:rsid w:val="009549F2"/>
    <w:rsid w:val="00974A48"/>
    <w:rsid w:val="009A54E1"/>
    <w:rsid w:val="009C02E4"/>
    <w:rsid w:val="009C6A75"/>
    <w:rsid w:val="009C7E0D"/>
    <w:rsid w:val="009D07CF"/>
    <w:rsid w:val="009E2DC0"/>
    <w:rsid w:val="00A00629"/>
    <w:rsid w:val="00A022B8"/>
    <w:rsid w:val="00A11613"/>
    <w:rsid w:val="00A2263E"/>
    <w:rsid w:val="00A23D17"/>
    <w:rsid w:val="00A34E69"/>
    <w:rsid w:val="00A37383"/>
    <w:rsid w:val="00A4421B"/>
    <w:rsid w:val="00A44A90"/>
    <w:rsid w:val="00A55461"/>
    <w:rsid w:val="00A55F57"/>
    <w:rsid w:val="00A6224C"/>
    <w:rsid w:val="00A66AB0"/>
    <w:rsid w:val="00A67B9D"/>
    <w:rsid w:val="00A72FF5"/>
    <w:rsid w:val="00A8181E"/>
    <w:rsid w:val="00A819D8"/>
    <w:rsid w:val="00AA3910"/>
    <w:rsid w:val="00AB2B65"/>
    <w:rsid w:val="00AB2DBE"/>
    <w:rsid w:val="00AB55F8"/>
    <w:rsid w:val="00AC10E2"/>
    <w:rsid w:val="00AC678C"/>
    <w:rsid w:val="00AE239C"/>
    <w:rsid w:val="00AE4855"/>
    <w:rsid w:val="00AE4D78"/>
    <w:rsid w:val="00AE5191"/>
    <w:rsid w:val="00AE6A70"/>
    <w:rsid w:val="00AF1745"/>
    <w:rsid w:val="00AF292E"/>
    <w:rsid w:val="00B0073E"/>
    <w:rsid w:val="00B028CB"/>
    <w:rsid w:val="00B21B9E"/>
    <w:rsid w:val="00B310FD"/>
    <w:rsid w:val="00B32964"/>
    <w:rsid w:val="00B512FF"/>
    <w:rsid w:val="00B661D3"/>
    <w:rsid w:val="00B841FC"/>
    <w:rsid w:val="00B872F9"/>
    <w:rsid w:val="00BB4D72"/>
    <w:rsid w:val="00BC6084"/>
    <w:rsid w:val="00BE0F66"/>
    <w:rsid w:val="00BF6396"/>
    <w:rsid w:val="00C15863"/>
    <w:rsid w:val="00C20882"/>
    <w:rsid w:val="00C21EC0"/>
    <w:rsid w:val="00C271A4"/>
    <w:rsid w:val="00C530B0"/>
    <w:rsid w:val="00C71BC2"/>
    <w:rsid w:val="00C8013C"/>
    <w:rsid w:val="00C87271"/>
    <w:rsid w:val="00C931EF"/>
    <w:rsid w:val="00C96C36"/>
    <w:rsid w:val="00CA17E9"/>
    <w:rsid w:val="00CB15F1"/>
    <w:rsid w:val="00CB38EC"/>
    <w:rsid w:val="00CB60A2"/>
    <w:rsid w:val="00CD6BD3"/>
    <w:rsid w:val="00CE2017"/>
    <w:rsid w:val="00CE581D"/>
    <w:rsid w:val="00CE6C56"/>
    <w:rsid w:val="00D245C4"/>
    <w:rsid w:val="00D33F38"/>
    <w:rsid w:val="00D70019"/>
    <w:rsid w:val="00D95054"/>
    <w:rsid w:val="00D965DB"/>
    <w:rsid w:val="00DB0BFD"/>
    <w:rsid w:val="00DC44DD"/>
    <w:rsid w:val="00DD4054"/>
    <w:rsid w:val="00DE6D48"/>
    <w:rsid w:val="00E11C75"/>
    <w:rsid w:val="00E164AF"/>
    <w:rsid w:val="00E21F6C"/>
    <w:rsid w:val="00E41792"/>
    <w:rsid w:val="00E5036E"/>
    <w:rsid w:val="00E50518"/>
    <w:rsid w:val="00E52346"/>
    <w:rsid w:val="00E5313D"/>
    <w:rsid w:val="00E63CCF"/>
    <w:rsid w:val="00E81510"/>
    <w:rsid w:val="00E84692"/>
    <w:rsid w:val="00E8591D"/>
    <w:rsid w:val="00EA579E"/>
    <w:rsid w:val="00EB43D7"/>
    <w:rsid w:val="00EC431B"/>
    <w:rsid w:val="00ED20C7"/>
    <w:rsid w:val="00ED2966"/>
    <w:rsid w:val="00EF59A2"/>
    <w:rsid w:val="00EF7413"/>
    <w:rsid w:val="00F00811"/>
    <w:rsid w:val="00F17675"/>
    <w:rsid w:val="00F3092A"/>
    <w:rsid w:val="00F3270E"/>
    <w:rsid w:val="00F4012E"/>
    <w:rsid w:val="00F44672"/>
    <w:rsid w:val="00F45B9E"/>
    <w:rsid w:val="00F551EC"/>
    <w:rsid w:val="00F66703"/>
    <w:rsid w:val="00F74766"/>
    <w:rsid w:val="00F80A61"/>
    <w:rsid w:val="00F86089"/>
    <w:rsid w:val="00F87490"/>
    <w:rsid w:val="00F972E2"/>
    <w:rsid w:val="00F973F8"/>
    <w:rsid w:val="00FA655C"/>
    <w:rsid w:val="00FE08B0"/>
    <w:rsid w:val="00FE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36DFE2"/>
  <w15:chartTrackingRefBased/>
  <w15:docId w15:val="{A1CB6CA4-46DA-4539-B9C4-B35BB8DD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7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31EF"/>
    <w:pPr>
      <w:keepNext/>
      <w:widowControl/>
      <w:autoSpaceDE/>
      <w:autoSpaceDN/>
      <w:adjustRightInd/>
      <w:spacing w:line="36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174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F1745"/>
    <w:pPr>
      <w:tabs>
        <w:tab w:val="center" w:pos="4680"/>
        <w:tab w:val="right" w:pos="9360"/>
      </w:tabs>
    </w:pPr>
  </w:style>
  <w:style w:type="character" w:customStyle="1" w:styleId="FooterChar">
    <w:name w:val="Footer Char"/>
    <w:basedOn w:val="DefaultParagraphFont"/>
    <w:link w:val="Footer"/>
    <w:uiPriority w:val="99"/>
    <w:rsid w:val="00AF174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931EF"/>
    <w:rPr>
      <w:rFonts w:ascii="Arial" w:eastAsia="Times New Roman" w:hAnsi="Arial" w:cs="Times New Roman"/>
      <w:b/>
      <w:sz w:val="24"/>
      <w:szCs w:val="20"/>
    </w:rPr>
  </w:style>
  <w:style w:type="table" w:styleId="TableGrid">
    <w:name w:val="Table Grid"/>
    <w:basedOn w:val="TableNormal"/>
    <w:uiPriority w:val="39"/>
    <w:rsid w:val="00C9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BA4"/>
    <w:pPr>
      <w:tabs>
        <w:tab w:val="center" w:pos="4680"/>
        <w:tab w:val="right" w:pos="9360"/>
      </w:tabs>
    </w:pPr>
  </w:style>
  <w:style w:type="character" w:customStyle="1" w:styleId="HeaderChar">
    <w:name w:val="Header Char"/>
    <w:basedOn w:val="DefaultParagraphFont"/>
    <w:link w:val="Header"/>
    <w:uiPriority w:val="99"/>
    <w:rsid w:val="006A6BA4"/>
    <w:rPr>
      <w:rFonts w:ascii="Times New Roman" w:eastAsia="Times New Roman" w:hAnsi="Times New Roman" w:cs="Times New Roman"/>
      <w:sz w:val="24"/>
      <w:szCs w:val="24"/>
    </w:rPr>
  </w:style>
  <w:style w:type="paragraph" w:styleId="ListParagraph">
    <w:name w:val="List Paragraph"/>
    <w:basedOn w:val="Normal"/>
    <w:uiPriority w:val="34"/>
    <w:qFormat/>
    <w:rsid w:val="00791598"/>
    <w:pPr>
      <w:ind w:left="720"/>
      <w:contextualSpacing/>
    </w:pPr>
  </w:style>
  <w:style w:type="character" w:styleId="Hyperlink">
    <w:name w:val="Hyperlink"/>
    <w:basedOn w:val="DefaultParagraphFont"/>
    <w:uiPriority w:val="99"/>
    <w:unhideWhenUsed/>
    <w:rsid w:val="000468C5"/>
    <w:rPr>
      <w:color w:val="0563C1" w:themeColor="hyperlink"/>
      <w:u w:val="single"/>
    </w:rPr>
  </w:style>
  <w:style w:type="paragraph" w:styleId="FootnoteText">
    <w:name w:val="footnote text"/>
    <w:basedOn w:val="Normal"/>
    <w:link w:val="FootnoteTextChar"/>
    <w:uiPriority w:val="99"/>
    <w:semiHidden/>
    <w:unhideWhenUsed/>
    <w:rsid w:val="00FE352C"/>
    <w:rPr>
      <w:sz w:val="20"/>
      <w:szCs w:val="20"/>
    </w:rPr>
  </w:style>
  <w:style w:type="character" w:customStyle="1" w:styleId="FootnoteTextChar">
    <w:name w:val="Footnote Text Char"/>
    <w:basedOn w:val="DefaultParagraphFont"/>
    <w:link w:val="FootnoteText"/>
    <w:uiPriority w:val="99"/>
    <w:semiHidden/>
    <w:rsid w:val="00FE35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352C"/>
    <w:rPr>
      <w:vertAlign w:val="superscript"/>
    </w:rPr>
  </w:style>
  <w:style w:type="character" w:styleId="FollowedHyperlink">
    <w:name w:val="FollowedHyperlink"/>
    <w:basedOn w:val="DefaultParagraphFont"/>
    <w:uiPriority w:val="99"/>
    <w:semiHidden/>
    <w:unhideWhenUsed/>
    <w:rsid w:val="00B841FC"/>
    <w:rPr>
      <w:color w:val="954F72" w:themeColor="followedHyperlink"/>
      <w:u w:val="single"/>
    </w:rPr>
  </w:style>
  <w:style w:type="character" w:styleId="CommentReference">
    <w:name w:val="annotation reference"/>
    <w:basedOn w:val="DefaultParagraphFont"/>
    <w:uiPriority w:val="99"/>
    <w:semiHidden/>
    <w:unhideWhenUsed/>
    <w:rsid w:val="00BF6396"/>
    <w:rPr>
      <w:sz w:val="16"/>
      <w:szCs w:val="16"/>
    </w:rPr>
  </w:style>
  <w:style w:type="paragraph" w:styleId="CommentText">
    <w:name w:val="annotation text"/>
    <w:basedOn w:val="Normal"/>
    <w:link w:val="CommentTextChar"/>
    <w:uiPriority w:val="99"/>
    <w:semiHidden/>
    <w:unhideWhenUsed/>
    <w:rsid w:val="00BF6396"/>
    <w:pPr>
      <w:widowControl/>
      <w:autoSpaceDE/>
      <w:autoSpaceDN/>
      <w:adjustRightInd/>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F6396"/>
    <w:rPr>
      <w:sz w:val="20"/>
      <w:szCs w:val="20"/>
    </w:rPr>
  </w:style>
  <w:style w:type="paragraph" w:styleId="CommentSubject">
    <w:name w:val="annotation subject"/>
    <w:basedOn w:val="CommentText"/>
    <w:next w:val="CommentText"/>
    <w:link w:val="CommentSubjectChar"/>
    <w:uiPriority w:val="99"/>
    <w:semiHidden/>
    <w:unhideWhenUsed/>
    <w:rsid w:val="00BF6396"/>
    <w:rPr>
      <w:b/>
      <w:bCs/>
    </w:rPr>
  </w:style>
  <w:style w:type="character" w:customStyle="1" w:styleId="CommentSubjectChar">
    <w:name w:val="Comment Subject Char"/>
    <w:basedOn w:val="CommentTextChar"/>
    <w:link w:val="CommentSubject"/>
    <w:uiPriority w:val="99"/>
    <w:semiHidden/>
    <w:rsid w:val="00BF6396"/>
    <w:rPr>
      <w:b/>
      <w:bCs/>
      <w:sz w:val="20"/>
      <w:szCs w:val="20"/>
    </w:rPr>
  </w:style>
  <w:style w:type="paragraph" w:styleId="BalloonText">
    <w:name w:val="Balloon Text"/>
    <w:basedOn w:val="Normal"/>
    <w:link w:val="BalloonTextChar"/>
    <w:uiPriority w:val="99"/>
    <w:semiHidden/>
    <w:unhideWhenUsed/>
    <w:rsid w:val="00BF6396"/>
    <w:pPr>
      <w:widowControl/>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F6396"/>
    <w:rPr>
      <w:rFonts w:ascii="Segoe UI" w:hAnsi="Segoe UI" w:cs="Segoe UI"/>
      <w:sz w:val="18"/>
      <w:szCs w:val="18"/>
    </w:rPr>
  </w:style>
  <w:style w:type="character" w:styleId="Strong">
    <w:name w:val="Strong"/>
    <w:basedOn w:val="DefaultParagraphFont"/>
    <w:uiPriority w:val="22"/>
    <w:qFormat/>
    <w:rsid w:val="00BF6396"/>
    <w:rPr>
      <w:b/>
      <w:bCs/>
    </w:rPr>
  </w:style>
  <w:style w:type="paragraph" w:styleId="PlainText">
    <w:name w:val="Plain Text"/>
    <w:basedOn w:val="Normal"/>
    <w:link w:val="PlainTextChar"/>
    <w:uiPriority w:val="99"/>
    <w:semiHidden/>
    <w:unhideWhenUsed/>
    <w:rsid w:val="00BF6396"/>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F639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8177">
      <w:bodyDiv w:val="1"/>
      <w:marLeft w:val="0"/>
      <w:marRight w:val="0"/>
      <w:marTop w:val="0"/>
      <w:marBottom w:val="0"/>
      <w:divBdr>
        <w:top w:val="none" w:sz="0" w:space="0" w:color="auto"/>
        <w:left w:val="none" w:sz="0" w:space="0" w:color="auto"/>
        <w:bottom w:val="none" w:sz="0" w:space="0" w:color="auto"/>
        <w:right w:val="none" w:sz="0" w:space="0" w:color="auto"/>
      </w:divBdr>
    </w:div>
    <w:div w:id="827407291">
      <w:bodyDiv w:val="1"/>
      <w:marLeft w:val="0"/>
      <w:marRight w:val="0"/>
      <w:marTop w:val="0"/>
      <w:marBottom w:val="0"/>
      <w:divBdr>
        <w:top w:val="none" w:sz="0" w:space="0" w:color="auto"/>
        <w:left w:val="none" w:sz="0" w:space="0" w:color="auto"/>
        <w:bottom w:val="none" w:sz="0" w:space="0" w:color="auto"/>
        <w:right w:val="none" w:sz="0" w:space="0" w:color="auto"/>
      </w:divBdr>
    </w:div>
    <w:div w:id="1115519245">
      <w:bodyDiv w:val="1"/>
      <w:marLeft w:val="0"/>
      <w:marRight w:val="0"/>
      <w:marTop w:val="0"/>
      <w:marBottom w:val="0"/>
      <w:divBdr>
        <w:top w:val="none" w:sz="0" w:space="0" w:color="auto"/>
        <w:left w:val="none" w:sz="0" w:space="0" w:color="auto"/>
        <w:bottom w:val="none" w:sz="0" w:space="0" w:color="auto"/>
        <w:right w:val="none" w:sz="0" w:space="0" w:color="auto"/>
      </w:divBdr>
    </w:div>
    <w:div w:id="14722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E84CD-BD8F-4612-92AE-2B16DCB5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2709</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dc:description/>
  <cp:lastModifiedBy>Greene, Jennifer</cp:lastModifiedBy>
  <cp:revision>4</cp:revision>
  <cp:lastPrinted>2018-01-08T17:59:00Z</cp:lastPrinted>
  <dcterms:created xsi:type="dcterms:W3CDTF">2018-01-09T16:41:00Z</dcterms:created>
  <dcterms:modified xsi:type="dcterms:W3CDTF">2018-01-10T20:58:00Z</dcterms:modified>
</cp:coreProperties>
</file>