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FDBCB" w14:textId="77777777" w:rsidR="00472C18" w:rsidRPr="008D138F" w:rsidRDefault="00472C18" w:rsidP="0060070E">
      <w:pPr>
        <w:jc w:val="both"/>
        <w:rPr>
          <w:sz w:val="28"/>
          <w:szCs w:val="28"/>
        </w:rPr>
      </w:pPr>
      <w:r w:rsidRPr="008D138F">
        <w:rPr>
          <w:sz w:val="28"/>
          <w:szCs w:val="28"/>
        </w:rPr>
        <w:t>P</w:t>
      </w:r>
      <w:r w:rsidR="00C076C0" w:rsidRPr="008D138F">
        <w:rPr>
          <w:sz w:val="28"/>
          <w:szCs w:val="28"/>
        </w:rPr>
        <w:t>atricia A. Sallen, Attorney at L</w:t>
      </w:r>
      <w:r w:rsidRPr="008D138F">
        <w:rPr>
          <w:sz w:val="28"/>
          <w:szCs w:val="28"/>
        </w:rPr>
        <w:t>aw</w:t>
      </w:r>
    </w:p>
    <w:p w14:paraId="59CFC72C" w14:textId="77777777" w:rsidR="00472C18" w:rsidRPr="008D138F" w:rsidRDefault="00472C18" w:rsidP="0060070E">
      <w:pPr>
        <w:jc w:val="both"/>
        <w:rPr>
          <w:sz w:val="28"/>
          <w:szCs w:val="28"/>
        </w:rPr>
      </w:pPr>
      <w:r w:rsidRPr="008D138F">
        <w:rPr>
          <w:sz w:val="28"/>
          <w:szCs w:val="28"/>
        </w:rPr>
        <w:t>Bar No. 012338</w:t>
      </w:r>
    </w:p>
    <w:p w14:paraId="1318C751" w14:textId="77777777" w:rsidR="00472C18" w:rsidRPr="008D138F" w:rsidRDefault="00472C18" w:rsidP="0060070E">
      <w:pPr>
        <w:jc w:val="both"/>
        <w:rPr>
          <w:sz w:val="28"/>
          <w:szCs w:val="28"/>
        </w:rPr>
      </w:pPr>
      <w:r w:rsidRPr="008D138F">
        <w:rPr>
          <w:sz w:val="28"/>
          <w:szCs w:val="28"/>
        </w:rPr>
        <w:t>3104 E. Camelback Road #541</w:t>
      </w:r>
    </w:p>
    <w:p w14:paraId="38A32A38" w14:textId="77777777" w:rsidR="00472C18" w:rsidRPr="008D138F" w:rsidRDefault="00472C18" w:rsidP="0060070E">
      <w:pPr>
        <w:jc w:val="both"/>
        <w:rPr>
          <w:sz w:val="28"/>
          <w:szCs w:val="28"/>
        </w:rPr>
      </w:pPr>
      <w:r w:rsidRPr="008D138F">
        <w:rPr>
          <w:sz w:val="28"/>
          <w:szCs w:val="28"/>
        </w:rPr>
        <w:t>Phoenix, Arizona 85016</w:t>
      </w:r>
    </w:p>
    <w:p w14:paraId="66977E3C" w14:textId="77777777" w:rsidR="00472C18" w:rsidRPr="008D138F" w:rsidRDefault="00472C18" w:rsidP="0060070E">
      <w:pPr>
        <w:jc w:val="both"/>
        <w:rPr>
          <w:sz w:val="28"/>
          <w:szCs w:val="28"/>
        </w:rPr>
      </w:pPr>
      <w:r w:rsidRPr="008D138F">
        <w:rPr>
          <w:sz w:val="28"/>
          <w:szCs w:val="28"/>
        </w:rPr>
        <w:t>480-290-4841</w:t>
      </w:r>
    </w:p>
    <w:p w14:paraId="5CD2A01B" w14:textId="475C7462" w:rsidR="00472C18" w:rsidRPr="008D138F" w:rsidRDefault="00472C18" w:rsidP="0060070E">
      <w:pPr>
        <w:jc w:val="both"/>
        <w:rPr>
          <w:sz w:val="28"/>
          <w:szCs w:val="28"/>
        </w:rPr>
      </w:pPr>
      <w:r w:rsidRPr="00894678">
        <w:rPr>
          <w:sz w:val="28"/>
          <w:szCs w:val="28"/>
        </w:rPr>
        <w:t>psallen@ethicsatlaw.com</w:t>
      </w:r>
    </w:p>
    <w:p w14:paraId="1755239F" w14:textId="77777777" w:rsidR="00472C18" w:rsidRPr="008D138F" w:rsidRDefault="00472C18" w:rsidP="0060070E">
      <w:pPr>
        <w:spacing w:line="480" w:lineRule="auto"/>
        <w:jc w:val="both"/>
        <w:rPr>
          <w:sz w:val="28"/>
          <w:szCs w:val="28"/>
        </w:rPr>
      </w:pPr>
    </w:p>
    <w:p w14:paraId="38444F3F" w14:textId="77777777" w:rsidR="00472C18" w:rsidRPr="008D138F" w:rsidRDefault="00472C18" w:rsidP="0060070E">
      <w:pPr>
        <w:spacing w:line="480" w:lineRule="auto"/>
        <w:jc w:val="center"/>
        <w:rPr>
          <w:b/>
          <w:sz w:val="28"/>
          <w:szCs w:val="28"/>
        </w:rPr>
      </w:pPr>
      <w:r w:rsidRPr="008D138F">
        <w:rPr>
          <w:b/>
          <w:sz w:val="28"/>
          <w:szCs w:val="28"/>
        </w:rPr>
        <w:t>IN THE ARIZONA SUPREME COURT</w:t>
      </w:r>
    </w:p>
    <w:p w14:paraId="2FA0FE7A" w14:textId="77777777" w:rsidR="00472C18" w:rsidRPr="008D138F" w:rsidRDefault="00472C18" w:rsidP="0060070E">
      <w:pPr>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8D138F" w14:paraId="378137F8" w14:textId="77777777" w:rsidTr="005509BD">
        <w:tc>
          <w:tcPr>
            <w:tcW w:w="4608" w:type="dxa"/>
            <w:tcBorders>
              <w:right w:val="single" w:sz="4" w:space="0" w:color="auto"/>
            </w:tcBorders>
          </w:tcPr>
          <w:p w14:paraId="4E4F58F3" w14:textId="77777777" w:rsidR="00472C18" w:rsidRPr="008D138F" w:rsidRDefault="00472C18" w:rsidP="0060070E">
            <w:pPr>
              <w:jc w:val="both"/>
              <w:rPr>
                <w:color w:val="000000"/>
                <w:sz w:val="28"/>
                <w:szCs w:val="28"/>
              </w:rPr>
            </w:pPr>
            <w:r w:rsidRPr="008D138F">
              <w:rPr>
                <w:color w:val="000000"/>
                <w:sz w:val="28"/>
                <w:szCs w:val="28"/>
              </w:rPr>
              <w:t>In the Matter of:</w:t>
            </w:r>
          </w:p>
          <w:p w14:paraId="551438D2" w14:textId="77777777" w:rsidR="00472C18" w:rsidRPr="008D138F" w:rsidRDefault="00472C18" w:rsidP="0060070E">
            <w:pPr>
              <w:jc w:val="both"/>
              <w:rPr>
                <w:color w:val="000000"/>
                <w:sz w:val="28"/>
                <w:szCs w:val="28"/>
              </w:rPr>
            </w:pPr>
          </w:p>
          <w:p w14:paraId="03D4A244" w14:textId="77777777" w:rsidR="0060070E" w:rsidRPr="008D138F" w:rsidRDefault="00472C18" w:rsidP="0060070E">
            <w:pPr>
              <w:jc w:val="both"/>
              <w:rPr>
                <w:b/>
                <w:color w:val="000000"/>
                <w:sz w:val="28"/>
                <w:szCs w:val="28"/>
              </w:rPr>
            </w:pPr>
            <w:r w:rsidRPr="008D138F">
              <w:rPr>
                <w:b/>
                <w:color w:val="000000"/>
                <w:sz w:val="28"/>
                <w:szCs w:val="28"/>
              </w:rPr>
              <w:t>PETITION TO AMEND</w:t>
            </w:r>
          </w:p>
          <w:p w14:paraId="0F61B33E" w14:textId="77777777" w:rsidR="00472C18" w:rsidRPr="008D138F" w:rsidRDefault="00472C18" w:rsidP="0060070E">
            <w:pPr>
              <w:jc w:val="both"/>
              <w:rPr>
                <w:b/>
                <w:color w:val="000000"/>
                <w:sz w:val="28"/>
                <w:szCs w:val="28"/>
              </w:rPr>
            </w:pPr>
            <w:r w:rsidRPr="008D138F">
              <w:rPr>
                <w:b/>
                <w:color w:val="000000"/>
                <w:sz w:val="28"/>
                <w:szCs w:val="28"/>
              </w:rPr>
              <w:t>E</w:t>
            </w:r>
            <w:r w:rsidR="0060070E" w:rsidRPr="008D138F">
              <w:rPr>
                <w:b/>
                <w:color w:val="000000"/>
                <w:sz w:val="28"/>
                <w:szCs w:val="28"/>
              </w:rPr>
              <w:t>THICAL RULE 1</w:t>
            </w:r>
            <w:r w:rsidRPr="008D138F">
              <w:rPr>
                <w:b/>
                <w:color w:val="000000"/>
                <w:sz w:val="28"/>
                <w:szCs w:val="28"/>
              </w:rPr>
              <w:t>.2, RULE 42, ARIZ. R. SUP. CT.</w:t>
            </w:r>
          </w:p>
          <w:p w14:paraId="32260F44" w14:textId="77777777" w:rsidR="00472C18" w:rsidRPr="008D138F" w:rsidRDefault="00472C18" w:rsidP="0060070E">
            <w:pPr>
              <w:jc w:val="both"/>
              <w:rPr>
                <w:b/>
                <w:color w:val="000000"/>
                <w:sz w:val="28"/>
                <w:szCs w:val="28"/>
              </w:rPr>
            </w:pPr>
          </w:p>
        </w:tc>
        <w:tc>
          <w:tcPr>
            <w:tcW w:w="270" w:type="dxa"/>
            <w:tcBorders>
              <w:left w:val="single" w:sz="4" w:space="0" w:color="auto"/>
            </w:tcBorders>
          </w:tcPr>
          <w:p w14:paraId="792470F3" w14:textId="77777777" w:rsidR="00472C18" w:rsidRPr="008D138F" w:rsidRDefault="00472C18" w:rsidP="0060070E">
            <w:pPr>
              <w:jc w:val="both"/>
              <w:rPr>
                <w:b/>
                <w:color w:val="000000"/>
                <w:sz w:val="28"/>
                <w:szCs w:val="28"/>
              </w:rPr>
            </w:pPr>
          </w:p>
        </w:tc>
        <w:tc>
          <w:tcPr>
            <w:tcW w:w="4500" w:type="dxa"/>
          </w:tcPr>
          <w:p w14:paraId="060E24E6" w14:textId="30347E31" w:rsidR="00472C18" w:rsidRPr="008D138F" w:rsidRDefault="00030160" w:rsidP="0060070E">
            <w:pPr>
              <w:jc w:val="both"/>
              <w:rPr>
                <w:color w:val="000000"/>
                <w:sz w:val="28"/>
                <w:szCs w:val="28"/>
              </w:rPr>
            </w:pPr>
            <w:r>
              <w:rPr>
                <w:color w:val="000000"/>
                <w:sz w:val="28"/>
                <w:szCs w:val="28"/>
              </w:rPr>
              <w:t>Supreme Court No. R-18</w:t>
            </w:r>
            <w:r w:rsidR="00472C18" w:rsidRPr="008D138F">
              <w:rPr>
                <w:color w:val="000000"/>
                <w:sz w:val="28"/>
                <w:szCs w:val="28"/>
              </w:rPr>
              <w:t>-_____</w:t>
            </w:r>
          </w:p>
          <w:p w14:paraId="67AA4087" w14:textId="77777777" w:rsidR="00472C18" w:rsidRPr="008D138F" w:rsidRDefault="00472C18" w:rsidP="0060070E">
            <w:pPr>
              <w:jc w:val="both"/>
              <w:rPr>
                <w:color w:val="000000"/>
                <w:sz w:val="28"/>
                <w:szCs w:val="28"/>
              </w:rPr>
            </w:pPr>
          </w:p>
          <w:p w14:paraId="097A64FF" w14:textId="77777777" w:rsidR="00472C18" w:rsidRPr="008D138F" w:rsidRDefault="0060070E" w:rsidP="0060070E">
            <w:pPr>
              <w:jc w:val="both"/>
              <w:rPr>
                <w:b/>
                <w:color w:val="000000"/>
                <w:sz w:val="28"/>
                <w:szCs w:val="28"/>
              </w:rPr>
            </w:pPr>
            <w:r w:rsidRPr="008D138F">
              <w:rPr>
                <w:b/>
                <w:color w:val="000000"/>
                <w:sz w:val="28"/>
                <w:szCs w:val="28"/>
              </w:rPr>
              <w:t>Petition to Amend ER 1.2, Rule 42, Ariz. R. Sup. Ct.</w:t>
            </w:r>
          </w:p>
        </w:tc>
      </w:tr>
      <w:tr w:rsidR="00472C18" w:rsidRPr="008D138F" w14:paraId="5B73930F" w14:textId="77777777" w:rsidTr="005509BD">
        <w:tc>
          <w:tcPr>
            <w:tcW w:w="4608" w:type="dxa"/>
            <w:tcBorders>
              <w:bottom w:val="single" w:sz="4" w:space="0" w:color="auto"/>
              <w:right w:val="single" w:sz="4" w:space="0" w:color="auto"/>
            </w:tcBorders>
          </w:tcPr>
          <w:p w14:paraId="734CFACF" w14:textId="77777777" w:rsidR="00472C18" w:rsidRPr="008D138F" w:rsidRDefault="00472C18" w:rsidP="0060070E">
            <w:pPr>
              <w:spacing w:line="480" w:lineRule="auto"/>
              <w:jc w:val="both"/>
              <w:rPr>
                <w:color w:val="000000"/>
                <w:sz w:val="28"/>
                <w:szCs w:val="28"/>
              </w:rPr>
            </w:pPr>
          </w:p>
        </w:tc>
        <w:tc>
          <w:tcPr>
            <w:tcW w:w="270" w:type="dxa"/>
            <w:tcBorders>
              <w:left w:val="single" w:sz="4" w:space="0" w:color="auto"/>
            </w:tcBorders>
          </w:tcPr>
          <w:p w14:paraId="6B3ECF9B" w14:textId="77777777" w:rsidR="00472C18" w:rsidRPr="008D138F" w:rsidRDefault="00472C18" w:rsidP="0060070E">
            <w:pPr>
              <w:spacing w:line="480" w:lineRule="auto"/>
              <w:jc w:val="both"/>
              <w:rPr>
                <w:b/>
                <w:color w:val="000000"/>
                <w:sz w:val="28"/>
                <w:szCs w:val="28"/>
              </w:rPr>
            </w:pPr>
          </w:p>
        </w:tc>
        <w:tc>
          <w:tcPr>
            <w:tcW w:w="4500" w:type="dxa"/>
          </w:tcPr>
          <w:p w14:paraId="63AF699D" w14:textId="77777777" w:rsidR="00472C18" w:rsidRPr="008D138F" w:rsidRDefault="00472C18" w:rsidP="0060070E">
            <w:pPr>
              <w:spacing w:line="480" w:lineRule="auto"/>
              <w:jc w:val="both"/>
              <w:rPr>
                <w:color w:val="000000"/>
                <w:sz w:val="28"/>
                <w:szCs w:val="28"/>
              </w:rPr>
            </w:pPr>
          </w:p>
        </w:tc>
      </w:tr>
    </w:tbl>
    <w:p w14:paraId="7BDD9D48" w14:textId="77777777" w:rsidR="0060070E" w:rsidRPr="008D138F" w:rsidRDefault="0060070E" w:rsidP="0060070E">
      <w:pPr>
        <w:spacing w:line="480" w:lineRule="auto"/>
        <w:ind w:right="-432"/>
        <w:jc w:val="both"/>
        <w:rPr>
          <w:color w:val="000000"/>
          <w:sz w:val="28"/>
          <w:szCs w:val="28"/>
        </w:rPr>
      </w:pPr>
    </w:p>
    <w:p w14:paraId="673B9A74" w14:textId="492A06CA" w:rsidR="007926D1" w:rsidRPr="00723838" w:rsidRDefault="00472C18" w:rsidP="00F65AD4">
      <w:pPr>
        <w:spacing w:line="480" w:lineRule="auto"/>
        <w:jc w:val="both"/>
        <w:rPr>
          <w:color w:val="000000"/>
          <w:sz w:val="28"/>
          <w:szCs w:val="28"/>
        </w:rPr>
      </w:pPr>
      <w:r w:rsidRPr="008D138F">
        <w:rPr>
          <w:color w:val="000000"/>
          <w:sz w:val="28"/>
          <w:szCs w:val="28"/>
        </w:rPr>
        <w:tab/>
      </w:r>
      <w:r w:rsidRPr="00723838">
        <w:rPr>
          <w:color w:val="000000"/>
          <w:sz w:val="28"/>
          <w:szCs w:val="28"/>
        </w:rPr>
        <w:t>Pursuant to Rule 28, Ariz. R. Sup. Ct., the undersigned respectfully petitions this Court to amend Ethical Rule (ER) 1.2, Rule 42, Ariz. R. Sup. Ct., to address Arizona lawyers’</w:t>
      </w:r>
      <w:r w:rsidR="00263694" w:rsidRPr="00723838">
        <w:rPr>
          <w:color w:val="000000"/>
          <w:sz w:val="28"/>
          <w:szCs w:val="28"/>
        </w:rPr>
        <w:t xml:space="preserve"> ethical</w:t>
      </w:r>
      <w:r w:rsidRPr="00723838">
        <w:rPr>
          <w:color w:val="000000"/>
          <w:sz w:val="28"/>
          <w:szCs w:val="28"/>
        </w:rPr>
        <w:t xml:space="preserve"> ability to counsel </w:t>
      </w:r>
      <w:r w:rsidR="0060070E" w:rsidRPr="00723838">
        <w:rPr>
          <w:color w:val="000000"/>
          <w:sz w:val="28"/>
          <w:szCs w:val="28"/>
        </w:rPr>
        <w:t>and</w:t>
      </w:r>
      <w:r w:rsidRPr="00723838">
        <w:rPr>
          <w:color w:val="000000"/>
          <w:sz w:val="28"/>
          <w:szCs w:val="28"/>
        </w:rPr>
        <w:t xml:space="preserve"> assist clients in legal matters expressly permissible under state law, despite the fact that </w:t>
      </w:r>
      <w:r w:rsidR="0060070E" w:rsidRPr="00723838">
        <w:rPr>
          <w:color w:val="000000"/>
          <w:sz w:val="28"/>
          <w:szCs w:val="28"/>
        </w:rPr>
        <w:t>the same</w:t>
      </w:r>
      <w:r w:rsidRPr="00723838">
        <w:rPr>
          <w:color w:val="000000"/>
          <w:sz w:val="28"/>
          <w:szCs w:val="28"/>
        </w:rPr>
        <w:t xml:space="preserve"> conduct may violate applicable federal law.</w:t>
      </w:r>
      <w:r w:rsidR="0067351B" w:rsidRPr="00723838">
        <w:rPr>
          <w:color w:val="000000"/>
          <w:sz w:val="28"/>
          <w:szCs w:val="28"/>
        </w:rPr>
        <w:t xml:space="preserve"> </w:t>
      </w:r>
      <w:r w:rsidR="0060070E" w:rsidRPr="00723838">
        <w:rPr>
          <w:color w:val="000000"/>
          <w:sz w:val="28"/>
          <w:szCs w:val="28"/>
        </w:rPr>
        <w:t xml:space="preserve">The proposed </w:t>
      </w:r>
      <w:r w:rsidR="000F340F" w:rsidRPr="00723838">
        <w:rPr>
          <w:color w:val="000000"/>
          <w:sz w:val="28"/>
          <w:szCs w:val="28"/>
        </w:rPr>
        <w:t>amendment</w:t>
      </w:r>
      <w:r w:rsidRPr="00723838">
        <w:rPr>
          <w:color w:val="000000"/>
          <w:sz w:val="28"/>
          <w:szCs w:val="28"/>
        </w:rPr>
        <w:t xml:space="preserve"> </w:t>
      </w:r>
      <w:r w:rsidR="000F340F" w:rsidRPr="00723838">
        <w:rPr>
          <w:color w:val="000000"/>
          <w:sz w:val="28"/>
          <w:szCs w:val="28"/>
        </w:rPr>
        <w:t>is</w:t>
      </w:r>
      <w:r w:rsidR="0060070E" w:rsidRPr="00723838">
        <w:rPr>
          <w:color w:val="000000"/>
          <w:sz w:val="28"/>
          <w:szCs w:val="28"/>
        </w:rPr>
        <w:t xml:space="preserve"> </w:t>
      </w:r>
      <w:r w:rsidRPr="00723838">
        <w:rPr>
          <w:color w:val="000000"/>
          <w:sz w:val="28"/>
          <w:szCs w:val="28"/>
        </w:rPr>
        <w:t xml:space="preserve">intended to </w:t>
      </w:r>
      <w:r w:rsidR="0060070E" w:rsidRPr="00723838">
        <w:rPr>
          <w:color w:val="000000"/>
          <w:sz w:val="28"/>
          <w:szCs w:val="28"/>
        </w:rPr>
        <w:t xml:space="preserve">resolve the “ethical conundrum” </w:t>
      </w:r>
      <w:r w:rsidR="0067351B" w:rsidRPr="00723838">
        <w:rPr>
          <w:color w:val="000000"/>
          <w:sz w:val="28"/>
          <w:szCs w:val="28"/>
        </w:rPr>
        <w:t xml:space="preserve">for lawyers that arises due to </w:t>
      </w:r>
      <w:r w:rsidR="00BF2D5E" w:rsidRPr="00723838">
        <w:rPr>
          <w:color w:val="000000"/>
          <w:sz w:val="28"/>
          <w:szCs w:val="28"/>
        </w:rPr>
        <w:t>Arizona’s</w:t>
      </w:r>
      <w:r w:rsidR="0067351B" w:rsidRPr="00723838">
        <w:rPr>
          <w:color w:val="000000"/>
          <w:sz w:val="28"/>
          <w:szCs w:val="28"/>
        </w:rPr>
        <w:t xml:space="preserve"> le</w:t>
      </w:r>
      <w:r w:rsidR="008660F2" w:rsidRPr="00723838">
        <w:rPr>
          <w:color w:val="000000"/>
          <w:sz w:val="28"/>
          <w:szCs w:val="28"/>
        </w:rPr>
        <w:t>galization of medical marijuana.</w:t>
      </w:r>
    </w:p>
    <w:p w14:paraId="269FACE0" w14:textId="10273CF6" w:rsidR="006C0BC5" w:rsidRPr="00723838" w:rsidRDefault="007926D1" w:rsidP="001D035E">
      <w:pPr>
        <w:spacing w:line="480" w:lineRule="auto"/>
        <w:jc w:val="both"/>
        <w:rPr>
          <w:color w:val="000000"/>
          <w:sz w:val="28"/>
          <w:szCs w:val="28"/>
        </w:rPr>
      </w:pPr>
      <w:r w:rsidRPr="00723838">
        <w:rPr>
          <w:color w:val="000000"/>
          <w:sz w:val="28"/>
          <w:szCs w:val="28"/>
        </w:rPr>
        <w:tab/>
        <w:t xml:space="preserve">This petition is a revised version of Petitioner’s 2016 proposal, R-16-0027, which this Court denied </w:t>
      </w:r>
      <w:r w:rsidR="00AB6FEF" w:rsidRPr="00723838">
        <w:rPr>
          <w:color w:val="000000"/>
          <w:sz w:val="28"/>
          <w:szCs w:val="28"/>
        </w:rPr>
        <w:t>on its August 29, 3016, rules agenda.</w:t>
      </w:r>
      <w:r w:rsidR="001D035E" w:rsidRPr="00723838">
        <w:rPr>
          <w:color w:val="000000"/>
          <w:sz w:val="28"/>
          <w:szCs w:val="28"/>
        </w:rPr>
        <w:t xml:space="preserve"> </w:t>
      </w:r>
      <w:r w:rsidR="00AB6FEF" w:rsidRPr="00723838">
        <w:rPr>
          <w:color w:val="000000"/>
          <w:sz w:val="28"/>
          <w:szCs w:val="28"/>
        </w:rPr>
        <w:t xml:space="preserve">Petitioner respectfully requests that the Court revisit </w:t>
      </w:r>
      <w:r w:rsidR="00CC0B6A" w:rsidRPr="00723838">
        <w:rPr>
          <w:color w:val="000000"/>
          <w:sz w:val="28"/>
          <w:szCs w:val="28"/>
        </w:rPr>
        <w:t>this issue f</w:t>
      </w:r>
      <w:r w:rsidR="00237115" w:rsidRPr="00723838">
        <w:rPr>
          <w:color w:val="000000"/>
          <w:sz w:val="28"/>
          <w:szCs w:val="28"/>
        </w:rPr>
        <w:t>or two reasons.</w:t>
      </w:r>
    </w:p>
    <w:p w14:paraId="54C9C840" w14:textId="5BC15E2E" w:rsidR="006C0BC5" w:rsidRPr="00723838" w:rsidRDefault="006C0BC5" w:rsidP="006C0BC5">
      <w:pPr>
        <w:spacing w:line="480" w:lineRule="auto"/>
        <w:ind w:firstLine="720"/>
        <w:jc w:val="both"/>
        <w:rPr>
          <w:color w:val="000000"/>
          <w:sz w:val="28"/>
          <w:szCs w:val="28"/>
        </w:rPr>
      </w:pPr>
      <w:r w:rsidRPr="00723838">
        <w:rPr>
          <w:color w:val="000000"/>
          <w:sz w:val="28"/>
          <w:szCs w:val="28"/>
        </w:rPr>
        <w:lastRenderedPageBreak/>
        <w:t>First, as discussed in more detail below, the federal government rece</w:t>
      </w:r>
      <w:r w:rsidR="001D035E" w:rsidRPr="00723838">
        <w:rPr>
          <w:color w:val="000000"/>
          <w:sz w:val="28"/>
          <w:szCs w:val="28"/>
        </w:rPr>
        <w:t xml:space="preserve">ntly rescinded what </w:t>
      </w:r>
      <w:r w:rsidR="005A4F79" w:rsidRPr="00723838">
        <w:rPr>
          <w:color w:val="000000"/>
          <w:sz w:val="28"/>
          <w:szCs w:val="28"/>
        </w:rPr>
        <w:t xml:space="preserve">was </w:t>
      </w:r>
      <w:r w:rsidR="001D035E" w:rsidRPr="00723838">
        <w:rPr>
          <w:color w:val="000000"/>
          <w:sz w:val="28"/>
          <w:szCs w:val="28"/>
        </w:rPr>
        <w:t xml:space="preserve">essentially </w:t>
      </w:r>
      <w:r w:rsidRPr="00723838">
        <w:rPr>
          <w:color w:val="000000"/>
          <w:sz w:val="28"/>
          <w:szCs w:val="28"/>
        </w:rPr>
        <w:t>a safe-harbor position on marijuana enforcement, thereby raising the specter of federal prosecution for acting in compliance with a state law.</w:t>
      </w:r>
    </w:p>
    <w:p w14:paraId="6E125379" w14:textId="307AF694" w:rsidR="00AB6FEF" w:rsidRPr="00723838" w:rsidRDefault="006C0BC5" w:rsidP="00237115">
      <w:pPr>
        <w:spacing w:line="480" w:lineRule="auto"/>
        <w:ind w:firstLine="720"/>
        <w:jc w:val="both"/>
        <w:rPr>
          <w:color w:val="000000"/>
          <w:sz w:val="28"/>
          <w:szCs w:val="28"/>
        </w:rPr>
      </w:pPr>
      <w:r w:rsidRPr="00723838">
        <w:rPr>
          <w:color w:val="000000"/>
          <w:sz w:val="28"/>
          <w:szCs w:val="28"/>
        </w:rPr>
        <w:t>Second</w:t>
      </w:r>
      <w:r w:rsidR="00B00C06" w:rsidRPr="00723838">
        <w:rPr>
          <w:color w:val="000000"/>
          <w:sz w:val="28"/>
          <w:szCs w:val="28"/>
        </w:rPr>
        <w:t xml:space="preserve">, </w:t>
      </w:r>
      <w:r w:rsidRPr="00723838">
        <w:rPr>
          <w:color w:val="000000"/>
          <w:sz w:val="28"/>
          <w:szCs w:val="28"/>
        </w:rPr>
        <w:t xml:space="preserve">by revisiting this issue, the Court has </w:t>
      </w:r>
      <w:r w:rsidR="00CC0B6A" w:rsidRPr="00723838">
        <w:rPr>
          <w:color w:val="000000"/>
          <w:sz w:val="28"/>
          <w:szCs w:val="28"/>
        </w:rPr>
        <w:t xml:space="preserve">an opportunity, </w:t>
      </w:r>
      <w:r w:rsidR="00237115" w:rsidRPr="00723838">
        <w:rPr>
          <w:color w:val="000000"/>
          <w:sz w:val="28"/>
          <w:szCs w:val="28"/>
        </w:rPr>
        <w:t xml:space="preserve">in its role as administrative authority over lawyers and the practice of law in this state, </w:t>
      </w:r>
      <w:r w:rsidRPr="00723838">
        <w:rPr>
          <w:color w:val="000000"/>
          <w:sz w:val="28"/>
          <w:szCs w:val="28"/>
        </w:rPr>
        <w:t xml:space="preserve">to resolve a conflict between reality and </w:t>
      </w:r>
      <w:r w:rsidR="004D1F8E" w:rsidRPr="00723838">
        <w:rPr>
          <w:color w:val="000000"/>
          <w:sz w:val="28"/>
          <w:szCs w:val="28"/>
        </w:rPr>
        <w:t>an ethical rule’s prohibition</w:t>
      </w:r>
      <w:r w:rsidRPr="00723838">
        <w:rPr>
          <w:color w:val="000000"/>
          <w:sz w:val="28"/>
          <w:szCs w:val="28"/>
        </w:rPr>
        <w:t xml:space="preserve">. </w:t>
      </w:r>
      <w:r w:rsidR="004D1F8E" w:rsidRPr="00723838">
        <w:rPr>
          <w:color w:val="000000"/>
          <w:sz w:val="28"/>
          <w:szCs w:val="28"/>
        </w:rPr>
        <w:t xml:space="preserve">Does </w:t>
      </w:r>
      <w:r w:rsidR="009D78B5" w:rsidRPr="00723838">
        <w:rPr>
          <w:color w:val="000000"/>
          <w:sz w:val="28"/>
          <w:szCs w:val="28"/>
        </w:rPr>
        <w:t xml:space="preserve">the clear language of ER 1.2(d) </w:t>
      </w:r>
      <w:r w:rsidR="00030160" w:rsidRPr="00723838">
        <w:rPr>
          <w:sz w:val="28"/>
          <w:szCs w:val="28"/>
        </w:rPr>
        <w:t xml:space="preserve">— </w:t>
      </w:r>
      <w:r w:rsidR="004D1F8E" w:rsidRPr="00723838">
        <w:rPr>
          <w:color w:val="000000"/>
          <w:sz w:val="28"/>
          <w:szCs w:val="28"/>
        </w:rPr>
        <w:t xml:space="preserve">that a lawyer “shall not counsel a client to engage, or assist a client, in conduct that the lawyer knows is criminal or fraudulent” </w:t>
      </w:r>
      <w:r w:rsidR="00030160" w:rsidRPr="00723838">
        <w:rPr>
          <w:sz w:val="28"/>
          <w:szCs w:val="28"/>
        </w:rPr>
        <w:t xml:space="preserve">— </w:t>
      </w:r>
      <w:r w:rsidR="004D1F8E" w:rsidRPr="00723838">
        <w:rPr>
          <w:color w:val="000000"/>
          <w:sz w:val="28"/>
          <w:szCs w:val="28"/>
        </w:rPr>
        <w:t>include the federal prohibition on marijuana? If not, then is</w:t>
      </w:r>
      <w:r w:rsidRPr="00723838">
        <w:rPr>
          <w:color w:val="000000"/>
          <w:sz w:val="28"/>
          <w:szCs w:val="28"/>
        </w:rPr>
        <w:t xml:space="preserve"> providing legal services under </w:t>
      </w:r>
      <w:r w:rsidR="00237115" w:rsidRPr="00723838">
        <w:rPr>
          <w:color w:val="000000"/>
          <w:sz w:val="28"/>
          <w:szCs w:val="28"/>
        </w:rPr>
        <w:t>the state medical-marijuana law</w:t>
      </w:r>
      <w:r w:rsidR="004D1F8E" w:rsidRPr="00723838">
        <w:rPr>
          <w:color w:val="000000"/>
          <w:sz w:val="28"/>
          <w:szCs w:val="28"/>
        </w:rPr>
        <w:t xml:space="preserve"> allowed as an unwritten exception to the rule? Or has a non-judicial committee’s non-binding advisory opinion</w:t>
      </w:r>
      <w:r w:rsidR="00CC0B6A" w:rsidRPr="00723838">
        <w:rPr>
          <w:color w:val="000000"/>
          <w:sz w:val="28"/>
          <w:szCs w:val="28"/>
        </w:rPr>
        <w:t xml:space="preserve"> that essentially adopted an exception to the rule</w:t>
      </w:r>
      <w:r w:rsidR="004D1F8E" w:rsidRPr="00723838">
        <w:rPr>
          <w:color w:val="000000"/>
          <w:sz w:val="28"/>
          <w:szCs w:val="28"/>
        </w:rPr>
        <w:t xml:space="preserve"> become the law</w:t>
      </w:r>
      <w:r w:rsidR="00CC0B6A" w:rsidRPr="00723838">
        <w:rPr>
          <w:color w:val="000000"/>
          <w:sz w:val="28"/>
          <w:szCs w:val="28"/>
        </w:rPr>
        <w:t>?</w:t>
      </w:r>
    </w:p>
    <w:p w14:paraId="32ED4307" w14:textId="6AA9514C" w:rsidR="00EF2330" w:rsidRPr="00723838" w:rsidRDefault="00021357" w:rsidP="00F874AD">
      <w:pPr>
        <w:pStyle w:val="ListParagraph"/>
        <w:numPr>
          <w:ilvl w:val="0"/>
          <w:numId w:val="10"/>
        </w:numPr>
        <w:spacing w:line="480" w:lineRule="auto"/>
        <w:ind w:left="720"/>
        <w:rPr>
          <w:rFonts w:ascii="Times New Roman" w:hAnsi="Times New Roman"/>
          <w:b/>
          <w:color w:val="000000"/>
          <w:sz w:val="28"/>
          <w:szCs w:val="28"/>
        </w:rPr>
      </w:pPr>
      <w:r w:rsidRPr="00723838">
        <w:rPr>
          <w:rFonts w:ascii="Times New Roman" w:hAnsi="Times New Roman"/>
          <w:b/>
          <w:color w:val="000000"/>
          <w:sz w:val="28"/>
          <w:szCs w:val="28"/>
        </w:rPr>
        <w:t>Background</w:t>
      </w:r>
    </w:p>
    <w:p w14:paraId="4D7E80E3" w14:textId="10BAA700" w:rsidR="004F514D" w:rsidRPr="00723838" w:rsidRDefault="00F874AD" w:rsidP="004F514D">
      <w:pPr>
        <w:spacing w:line="480" w:lineRule="auto"/>
        <w:ind w:firstLine="720"/>
        <w:jc w:val="both"/>
        <w:rPr>
          <w:color w:val="000000"/>
          <w:sz w:val="28"/>
          <w:szCs w:val="28"/>
        </w:rPr>
      </w:pPr>
      <w:r w:rsidRPr="00723838">
        <w:rPr>
          <w:color w:val="000000"/>
          <w:sz w:val="28"/>
          <w:szCs w:val="28"/>
        </w:rPr>
        <w:t>The</w:t>
      </w:r>
      <w:r w:rsidR="00EF2330" w:rsidRPr="00723838">
        <w:rPr>
          <w:color w:val="000000"/>
          <w:sz w:val="28"/>
          <w:szCs w:val="28"/>
        </w:rPr>
        <w:t xml:space="preserve"> federal Controlled Substances Act, 21 U.S.C. §8</w:t>
      </w:r>
      <w:r w:rsidRPr="00723838">
        <w:rPr>
          <w:color w:val="000000"/>
          <w:sz w:val="28"/>
          <w:szCs w:val="28"/>
        </w:rPr>
        <w:t xml:space="preserve">01 </w:t>
      </w:r>
      <w:r w:rsidRPr="00723838">
        <w:rPr>
          <w:i/>
          <w:color w:val="000000"/>
          <w:sz w:val="28"/>
          <w:szCs w:val="28"/>
        </w:rPr>
        <w:t>et seq</w:t>
      </w:r>
      <w:r w:rsidRPr="00723838">
        <w:rPr>
          <w:color w:val="000000"/>
          <w:sz w:val="28"/>
          <w:szCs w:val="28"/>
        </w:rPr>
        <w:t xml:space="preserve">., generally </w:t>
      </w:r>
      <w:r w:rsidR="00EF2330" w:rsidRPr="00723838">
        <w:rPr>
          <w:color w:val="000000"/>
          <w:sz w:val="28"/>
          <w:szCs w:val="28"/>
        </w:rPr>
        <w:t>prohibits the cultivation, distribution and possession of marijuana</w:t>
      </w:r>
      <w:r w:rsidRPr="00723838">
        <w:rPr>
          <w:color w:val="000000"/>
          <w:sz w:val="28"/>
          <w:szCs w:val="28"/>
        </w:rPr>
        <w:t>.</w:t>
      </w:r>
    </w:p>
    <w:p w14:paraId="3378949B" w14:textId="2CB914C7" w:rsidR="00ED661D" w:rsidRPr="00723838" w:rsidRDefault="00C60189" w:rsidP="00ED661D">
      <w:pPr>
        <w:spacing w:line="480" w:lineRule="auto"/>
        <w:ind w:firstLine="720"/>
        <w:jc w:val="both"/>
        <w:rPr>
          <w:color w:val="000000"/>
          <w:sz w:val="28"/>
          <w:szCs w:val="28"/>
        </w:rPr>
      </w:pPr>
      <w:r w:rsidRPr="00723838">
        <w:rPr>
          <w:color w:val="000000"/>
          <w:sz w:val="28"/>
          <w:szCs w:val="28"/>
        </w:rPr>
        <w:t>Faced with states adopting medical-marijuana laws, the Obama Administration’s U.S. Department of Justice (DOJ), in a series of memoranda beginning in late 2009, advised federal prosecutors to “not focus federal resources in your States on individual</w:t>
      </w:r>
      <w:r w:rsidR="001D035E" w:rsidRPr="00723838">
        <w:rPr>
          <w:color w:val="000000"/>
          <w:sz w:val="28"/>
          <w:szCs w:val="28"/>
        </w:rPr>
        <w:t>s</w:t>
      </w:r>
      <w:r w:rsidRPr="00723838">
        <w:rPr>
          <w:color w:val="000000"/>
          <w:sz w:val="28"/>
          <w:szCs w:val="28"/>
        </w:rPr>
        <w:t xml:space="preserve"> whose actions are in clear and unambiguous </w:t>
      </w:r>
      <w:r w:rsidRPr="00723838">
        <w:rPr>
          <w:color w:val="000000"/>
          <w:sz w:val="28"/>
          <w:szCs w:val="28"/>
        </w:rPr>
        <w:lastRenderedPageBreak/>
        <w:t>compliance with existing state law providing for th</w:t>
      </w:r>
      <w:r w:rsidR="00E45DA2" w:rsidRPr="00723838">
        <w:rPr>
          <w:color w:val="000000"/>
          <w:sz w:val="28"/>
          <w:szCs w:val="28"/>
        </w:rPr>
        <w:t>e medi</w:t>
      </w:r>
      <w:r w:rsidR="001D035E" w:rsidRPr="00723838">
        <w:rPr>
          <w:color w:val="000000"/>
          <w:sz w:val="28"/>
          <w:szCs w:val="28"/>
        </w:rPr>
        <w:t>c</w:t>
      </w:r>
      <w:r w:rsidR="00E45DA2" w:rsidRPr="00723838">
        <w:rPr>
          <w:color w:val="000000"/>
          <w:sz w:val="28"/>
          <w:szCs w:val="28"/>
        </w:rPr>
        <w:t>al use of marijuana</w:t>
      </w:r>
      <w:r w:rsidRPr="00723838">
        <w:rPr>
          <w:color w:val="000000"/>
          <w:sz w:val="28"/>
          <w:szCs w:val="28"/>
        </w:rPr>
        <w:t>”</w:t>
      </w:r>
      <w:r w:rsidR="00E45DA2" w:rsidRPr="00723838">
        <w:rPr>
          <w:rStyle w:val="FootnoteReference"/>
          <w:color w:val="000000"/>
          <w:sz w:val="28"/>
          <w:szCs w:val="28"/>
          <w:vertAlign w:val="superscript"/>
        </w:rPr>
        <w:footnoteReference w:id="1"/>
      </w:r>
      <w:r w:rsidR="00E45DA2" w:rsidRPr="00723838">
        <w:rPr>
          <w:color w:val="000000"/>
          <w:sz w:val="28"/>
          <w:szCs w:val="28"/>
        </w:rPr>
        <w:t xml:space="preserve"> and </w:t>
      </w:r>
      <w:r w:rsidR="00ED661D" w:rsidRPr="00723838">
        <w:rPr>
          <w:color w:val="000000"/>
          <w:sz w:val="28"/>
          <w:szCs w:val="28"/>
        </w:rPr>
        <w:t>if the state has a “robust” system of regulation, “enforcement of state law by state and local law enforcement and regulatory bodies should remain the primary means of addressing marijuana-related activity.”</w:t>
      </w:r>
      <w:r w:rsidR="00ED661D" w:rsidRPr="00723838">
        <w:rPr>
          <w:rStyle w:val="FootnoteReference"/>
          <w:color w:val="000000"/>
          <w:sz w:val="28"/>
          <w:szCs w:val="28"/>
          <w:vertAlign w:val="superscript"/>
        </w:rPr>
        <w:footnoteReference w:id="2"/>
      </w:r>
    </w:p>
    <w:p w14:paraId="7CB361B5" w14:textId="055EE675" w:rsidR="001D035E" w:rsidRPr="00723838" w:rsidRDefault="004F514D" w:rsidP="001D035E">
      <w:pPr>
        <w:spacing w:line="480" w:lineRule="auto"/>
        <w:ind w:firstLine="720"/>
        <w:jc w:val="both"/>
        <w:rPr>
          <w:color w:val="000000"/>
          <w:sz w:val="28"/>
          <w:szCs w:val="28"/>
        </w:rPr>
      </w:pPr>
      <w:r w:rsidRPr="00723838">
        <w:rPr>
          <w:color w:val="000000"/>
          <w:sz w:val="28"/>
          <w:szCs w:val="28"/>
        </w:rPr>
        <w:t>In the 2010 general election</w:t>
      </w:r>
      <w:r w:rsidR="005532BA" w:rsidRPr="00723838">
        <w:rPr>
          <w:color w:val="000000"/>
          <w:sz w:val="28"/>
          <w:szCs w:val="28"/>
        </w:rPr>
        <w:t>,</w:t>
      </w:r>
      <w:r w:rsidR="00EF2330" w:rsidRPr="00723838">
        <w:rPr>
          <w:color w:val="000000"/>
          <w:sz w:val="28"/>
          <w:szCs w:val="28"/>
        </w:rPr>
        <w:t xml:space="preserve"> Arizona voters</w:t>
      </w:r>
      <w:r w:rsidR="005532BA" w:rsidRPr="00723838">
        <w:rPr>
          <w:color w:val="000000"/>
          <w:sz w:val="28"/>
          <w:szCs w:val="28"/>
        </w:rPr>
        <w:t xml:space="preserve"> </w:t>
      </w:r>
      <w:r w:rsidR="00472C18" w:rsidRPr="00723838">
        <w:rPr>
          <w:color w:val="000000"/>
          <w:sz w:val="28"/>
          <w:szCs w:val="28"/>
        </w:rPr>
        <w:t>approved the Arizona Medical Marijuana Act</w:t>
      </w:r>
      <w:r w:rsidR="005A4F79" w:rsidRPr="00723838">
        <w:rPr>
          <w:color w:val="000000"/>
          <w:sz w:val="28"/>
          <w:szCs w:val="28"/>
        </w:rPr>
        <w:t xml:space="preserve"> (AMMA,</w:t>
      </w:r>
      <w:r w:rsidR="008712FC" w:rsidRPr="00723838">
        <w:rPr>
          <w:color w:val="000000"/>
          <w:sz w:val="28"/>
          <w:szCs w:val="28"/>
        </w:rPr>
        <w:t xml:space="preserve"> codified at </w:t>
      </w:r>
      <w:r w:rsidR="00F874AD" w:rsidRPr="00723838">
        <w:rPr>
          <w:color w:val="000000"/>
          <w:sz w:val="28"/>
          <w:szCs w:val="28"/>
        </w:rPr>
        <w:t>A.R.S. §§ 36-2801</w:t>
      </w:r>
      <w:r w:rsidR="001A7EC9" w:rsidRPr="00723838">
        <w:rPr>
          <w:color w:val="000000"/>
          <w:sz w:val="28"/>
          <w:szCs w:val="28"/>
        </w:rPr>
        <w:t xml:space="preserve"> through </w:t>
      </w:r>
      <w:r w:rsidR="00F874AD" w:rsidRPr="00723838">
        <w:rPr>
          <w:color w:val="000000"/>
          <w:sz w:val="28"/>
          <w:szCs w:val="28"/>
        </w:rPr>
        <w:t>-2819)</w:t>
      </w:r>
      <w:r w:rsidR="00472C18" w:rsidRPr="00723838">
        <w:rPr>
          <w:color w:val="000000"/>
          <w:sz w:val="28"/>
          <w:szCs w:val="28"/>
        </w:rPr>
        <w:t xml:space="preserve">, which legalized medical marijuana for use by people with certain chronic or debilitating </w:t>
      </w:r>
      <w:r w:rsidR="00043BF9" w:rsidRPr="00723838">
        <w:rPr>
          <w:color w:val="000000"/>
          <w:sz w:val="28"/>
          <w:szCs w:val="28"/>
        </w:rPr>
        <w:t>conditions</w:t>
      </w:r>
      <w:r w:rsidR="00472C18" w:rsidRPr="00723838">
        <w:rPr>
          <w:color w:val="000000"/>
          <w:sz w:val="28"/>
          <w:szCs w:val="28"/>
        </w:rPr>
        <w:t>.</w:t>
      </w:r>
      <w:r w:rsidR="001F7E4A" w:rsidRPr="00723838">
        <w:rPr>
          <w:color w:val="000000"/>
          <w:sz w:val="28"/>
          <w:szCs w:val="28"/>
        </w:rPr>
        <w:t xml:space="preserve"> Arizona law thus permitted</w:t>
      </w:r>
      <w:r w:rsidR="00C60189" w:rsidRPr="00723838">
        <w:rPr>
          <w:color w:val="000000"/>
          <w:sz w:val="28"/>
          <w:szCs w:val="28"/>
        </w:rPr>
        <w:t xml:space="preserve"> what federal</w:t>
      </w:r>
      <w:r w:rsidR="00030160" w:rsidRPr="00723838">
        <w:rPr>
          <w:sz w:val="28"/>
          <w:szCs w:val="28"/>
        </w:rPr>
        <w:t xml:space="preserve"> </w:t>
      </w:r>
      <w:r w:rsidR="00C60189" w:rsidRPr="00723838">
        <w:rPr>
          <w:color w:val="000000"/>
          <w:sz w:val="28"/>
          <w:szCs w:val="28"/>
        </w:rPr>
        <w:t xml:space="preserve">law </w:t>
      </w:r>
      <w:r w:rsidR="00722C26" w:rsidRPr="00723838">
        <w:rPr>
          <w:color w:val="000000"/>
          <w:sz w:val="28"/>
          <w:szCs w:val="28"/>
        </w:rPr>
        <w:t>prohibited</w:t>
      </w:r>
      <w:r w:rsidR="001D035E" w:rsidRPr="00723838">
        <w:rPr>
          <w:color w:val="000000"/>
          <w:sz w:val="28"/>
          <w:szCs w:val="28"/>
        </w:rPr>
        <w:t>.</w:t>
      </w:r>
    </w:p>
    <w:p w14:paraId="4A209D09" w14:textId="24BBD4C5" w:rsidR="00D40AC6" w:rsidRPr="00723838" w:rsidRDefault="004F514D" w:rsidP="00B80B00">
      <w:pPr>
        <w:spacing w:line="480" w:lineRule="auto"/>
        <w:ind w:firstLine="720"/>
        <w:jc w:val="both"/>
        <w:rPr>
          <w:color w:val="000000"/>
          <w:sz w:val="28"/>
          <w:szCs w:val="28"/>
        </w:rPr>
      </w:pPr>
      <w:r w:rsidRPr="00723838">
        <w:rPr>
          <w:color w:val="000000"/>
          <w:sz w:val="28"/>
          <w:szCs w:val="28"/>
        </w:rPr>
        <w:t>This conflict between fe</w:t>
      </w:r>
      <w:r w:rsidR="008712FC" w:rsidRPr="00723838">
        <w:rPr>
          <w:color w:val="000000"/>
          <w:sz w:val="28"/>
          <w:szCs w:val="28"/>
        </w:rPr>
        <w:t>deral and state law implicated</w:t>
      </w:r>
      <w:r w:rsidRPr="00723838">
        <w:rPr>
          <w:color w:val="000000"/>
          <w:sz w:val="28"/>
          <w:szCs w:val="28"/>
        </w:rPr>
        <w:t xml:space="preserve"> lawyers’ professional obligations. </w:t>
      </w:r>
      <w:r w:rsidR="00B80B00" w:rsidRPr="00723838">
        <w:rPr>
          <w:color w:val="000000"/>
          <w:sz w:val="28"/>
          <w:szCs w:val="28"/>
        </w:rPr>
        <w:t xml:space="preserve">Arizona’s </w:t>
      </w:r>
      <w:r w:rsidRPr="00723838">
        <w:rPr>
          <w:color w:val="000000"/>
          <w:sz w:val="28"/>
          <w:szCs w:val="28"/>
        </w:rPr>
        <w:t>ER 1.2(d)</w:t>
      </w:r>
      <w:r w:rsidR="00B80B00" w:rsidRPr="00723838">
        <w:rPr>
          <w:color w:val="000000"/>
          <w:sz w:val="28"/>
          <w:szCs w:val="28"/>
        </w:rPr>
        <w:t xml:space="preserve">, which is identical to the American Bar Association’s Model Rule 1.2(d), </w:t>
      </w:r>
      <w:r w:rsidRPr="00723838">
        <w:rPr>
          <w:color w:val="000000"/>
          <w:sz w:val="28"/>
          <w:szCs w:val="28"/>
        </w:rPr>
        <w:t>specifically bars lawyers from “counsel[ing] a client to engage, or assist a client, in conduct that the lawyer knows is criminal or fraudulent.”</w:t>
      </w:r>
      <w:r w:rsidR="008712FC" w:rsidRPr="00723838">
        <w:rPr>
          <w:color w:val="000000"/>
          <w:sz w:val="28"/>
          <w:szCs w:val="28"/>
        </w:rPr>
        <w:t xml:space="preserve"> </w:t>
      </w:r>
      <w:r w:rsidR="00D40AC6" w:rsidRPr="00723838">
        <w:rPr>
          <w:color w:val="000000"/>
          <w:sz w:val="28"/>
          <w:szCs w:val="28"/>
        </w:rPr>
        <w:t>Comment [10] to ER 1.2 makes clear “that a lawyer is not for hire as an accomplice or enabler of criminal conduct.” Ariz. Ethics Op</w:t>
      </w:r>
      <w:r w:rsidR="00237115" w:rsidRPr="00723838">
        <w:rPr>
          <w:color w:val="000000"/>
          <w:sz w:val="28"/>
          <w:szCs w:val="28"/>
        </w:rPr>
        <w:t>. 11-01 at p. 4 (February 2011)</w:t>
      </w:r>
      <w:r w:rsidR="00E604AE" w:rsidRPr="00723838">
        <w:rPr>
          <w:color w:val="000000"/>
          <w:sz w:val="28"/>
          <w:szCs w:val="28"/>
        </w:rPr>
        <w:t xml:space="preserve"> (</w:t>
      </w:r>
      <w:r w:rsidR="00C60189" w:rsidRPr="00723838">
        <w:rPr>
          <w:color w:val="000000"/>
          <w:sz w:val="28"/>
          <w:szCs w:val="28"/>
        </w:rPr>
        <w:t>attached as Appendix 1</w:t>
      </w:r>
      <w:r w:rsidR="00E604AE" w:rsidRPr="00723838">
        <w:rPr>
          <w:color w:val="000000"/>
          <w:sz w:val="28"/>
          <w:szCs w:val="28"/>
        </w:rPr>
        <w:t>).</w:t>
      </w:r>
      <w:r w:rsidR="00237115" w:rsidRPr="00723838">
        <w:rPr>
          <w:color w:val="000000"/>
          <w:sz w:val="28"/>
          <w:szCs w:val="28"/>
        </w:rPr>
        <w:t xml:space="preserve"> </w:t>
      </w:r>
      <w:r w:rsidR="00D40AC6" w:rsidRPr="00723838">
        <w:rPr>
          <w:color w:val="000000"/>
          <w:sz w:val="28"/>
          <w:szCs w:val="28"/>
        </w:rPr>
        <w:t xml:space="preserve">Strictly applied, this means that by advising and helping clients conduct business under Arizona’s medical-marijuana law, lawyers </w:t>
      </w:r>
      <w:r w:rsidR="00D40AC6" w:rsidRPr="00723838">
        <w:rPr>
          <w:color w:val="000000"/>
          <w:sz w:val="28"/>
          <w:szCs w:val="28"/>
        </w:rPr>
        <w:lastRenderedPageBreak/>
        <w:t>would be engaging in criminal conduct under federal law and thus violating ER 1.2(d).</w:t>
      </w:r>
    </w:p>
    <w:p w14:paraId="05598882" w14:textId="392A6712" w:rsidR="0039187B" w:rsidRPr="00723838" w:rsidRDefault="008712FC" w:rsidP="00C60189">
      <w:pPr>
        <w:spacing w:line="480" w:lineRule="auto"/>
        <w:ind w:firstLine="720"/>
        <w:jc w:val="both"/>
        <w:rPr>
          <w:color w:val="000000"/>
          <w:sz w:val="28"/>
          <w:szCs w:val="28"/>
        </w:rPr>
      </w:pPr>
      <w:r w:rsidRPr="00723838">
        <w:rPr>
          <w:color w:val="000000"/>
          <w:sz w:val="28"/>
          <w:szCs w:val="28"/>
        </w:rPr>
        <w:t xml:space="preserve">Faced with the </w:t>
      </w:r>
      <w:r w:rsidR="0039187B" w:rsidRPr="00723838">
        <w:rPr>
          <w:color w:val="000000"/>
          <w:sz w:val="28"/>
          <w:szCs w:val="28"/>
        </w:rPr>
        <w:t>conflict between the</w:t>
      </w:r>
      <w:r w:rsidR="001D035E" w:rsidRPr="00723838">
        <w:rPr>
          <w:color w:val="000000"/>
          <w:sz w:val="28"/>
          <w:szCs w:val="28"/>
        </w:rPr>
        <w:t xml:space="preserve"> federal and state</w:t>
      </w:r>
      <w:r w:rsidR="0039187B" w:rsidRPr="00723838">
        <w:rPr>
          <w:color w:val="000000"/>
          <w:sz w:val="28"/>
          <w:szCs w:val="28"/>
        </w:rPr>
        <w:t xml:space="preserve"> laws and </w:t>
      </w:r>
      <w:r w:rsidRPr="00723838">
        <w:rPr>
          <w:color w:val="000000"/>
          <w:sz w:val="28"/>
          <w:szCs w:val="28"/>
        </w:rPr>
        <w:t>the clear language of ER 1.2(d), the State Bar of Arizona’s Committee on th</w:t>
      </w:r>
      <w:r w:rsidR="00C60189" w:rsidRPr="00723838">
        <w:rPr>
          <w:color w:val="000000"/>
          <w:sz w:val="28"/>
          <w:szCs w:val="28"/>
        </w:rPr>
        <w:t xml:space="preserve">e Rules of Professional Conduct issued a non-binding </w:t>
      </w:r>
      <w:r w:rsidRPr="00723838">
        <w:rPr>
          <w:color w:val="000000"/>
          <w:sz w:val="28"/>
          <w:szCs w:val="28"/>
        </w:rPr>
        <w:t>ethics opinion that declined to interpret and apply ER 1.2(d) “in a manner that would prevent a lawyer who concludes that the client’s proposed conduct is in ‘clear and unambiguous compliance’ with state law from assisting the client in connection with activities expressly authorized under state law.” State Bar Ethics Op. 11-01</w:t>
      </w:r>
      <w:r w:rsidR="00E604AE" w:rsidRPr="00723838">
        <w:rPr>
          <w:color w:val="000000"/>
          <w:sz w:val="28"/>
          <w:szCs w:val="28"/>
        </w:rPr>
        <w:t xml:space="preserve"> at </w:t>
      </w:r>
      <w:r w:rsidR="00030160" w:rsidRPr="00723838">
        <w:rPr>
          <w:color w:val="000000"/>
          <w:sz w:val="28"/>
          <w:szCs w:val="28"/>
        </w:rPr>
        <w:t>6.</w:t>
      </w:r>
      <w:r w:rsidR="0039187B" w:rsidRPr="00723838">
        <w:rPr>
          <w:color w:val="000000"/>
          <w:sz w:val="28"/>
          <w:szCs w:val="28"/>
        </w:rPr>
        <w:t xml:space="preserve"> Because clients need legal advice and assistance “</w:t>
      </w:r>
      <w:r w:rsidR="00030160" w:rsidRPr="00723838">
        <w:rPr>
          <w:color w:val="000000"/>
          <w:sz w:val="28"/>
          <w:szCs w:val="28"/>
        </w:rPr>
        <w:t>to implement and bring to fruition that conduct expressly permitted under state law,</w:t>
      </w:r>
      <w:r w:rsidR="0039187B" w:rsidRPr="00723838">
        <w:rPr>
          <w:color w:val="000000"/>
          <w:sz w:val="28"/>
          <w:szCs w:val="28"/>
        </w:rPr>
        <w:t xml:space="preserve">” </w:t>
      </w:r>
      <w:r w:rsidR="00C60189" w:rsidRPr="00723838">
        <w:rPr>
          <w:i/>
          <w:color w:val="000000"/>
          <w:sz w:val="28"/>
          <w:szCs w:val="28"/>
        </w:rPr>
        <w:t>id</w:t>
      </w:r>
      <w:r w:rsidR="00030160" w:rsidRPr="00723838">
        <w:rPr>
          <w:color w:val="000000"/>
          <w:sz w:val="28"/>
          <w:szCs w:val="28"/>
        </w:rPr>
        <w:t>.</w:t>
      </w:r>
      <w:r w:rsidR="00C60189" w:rsidRPr="00723838">
        <w:rPr>
          <w:color w:val="000000"/>
          <w:sz w:val="28"/>
          <w:szCs w:val="28"/>
        </w:rPr>
        <w:t xml:space="preserve">, </w:t>
      </w:r>
      <w:r w:rsidR="0039187B" w:rsidRPr="00723838">
        <w:rPr>
          <w:color w:val="000000"/>
          <w:sz w:val="28"/>
          <w:szCs w:val="28"/>
        </w:rPr>
        <w:t xml:space="preserve">the opinion </w:t>
      </w:r>
      <w:r w:rsidR="00B80B00" w:rsidRPr="00723838">
        <w:rPr>
          <w:color w:val="000000"/>
          <w:sz w:val="28"/>
          <w:szCs w:val="28"/>
        </w:rPr>
        <w:t>essentially interpreted</w:t>
      </w:r>
      <w:r w:rsidR="0039187B" w:rsidRPr="00723838">
        <w:rPr>
          <w:color w:val="000000"/>
          <w:sz w:val="28"/>
          <w:szCs w:val="28"/>
        </w:rPr>
        <w:t xml:space="preserve"> ER 1.2(d)</w:t>
      </w:r>
      <w:r w:rsidR="00B80B00" w:rsidRPr="00723838">
        <w:rPr>
          <w:color w:val="000000"/>
          <w:sz w:val="28"/>
          <w:szCs w:val="28"/>
        </w:rPr>
        <w:t xml:space="preserve"> as containing an exception </w:t>
      </w:r>
      <w:r w:rsidR="00E604AE" w:rsidRPr="00723838">
        <w:rPr>
          <w:color w:val="000000"/>
          <w:sz w:val="28"/>
          <w:szCs w:val="28"/>
        </w:rPr>
        <w:t>that does not exist</w:t>
      </w:r>
      <w:r w:rsidR="001D035E" w:rsidRPr="00723838">
        <w:rPr>
          <w:color w:val="000000"/>
          <w:sz w:val="28"/>
          <w:szCs w:val="28"/>
        </w:rPr>
        <w:t>: compliance with state law.</w:t>
      </w:r>
      <w:r w:rsidR="00030160" w:rsidRPr="00723838">
        <w:rPr>
          <w:color w:val="000000"/>
          <w:sz w:val="28"/>
          <w:szCs w:val="28"/>
        </w:rPr>
        <w:t xml:space="preserve"> The opinion calls this a “reasonable construction.” </w:t>
      </w:r>
      <w:r w:rsidR="00030160" w:rsidRPr="00723838">
        <w:rPr>
          <w:i/>
          <w:color w:val="000000"/>
          <w:sz w:val="28"/>
          <w:szCs w:val="28"/>
        </w:rPr>
        <w:t>Id</w:t>
      </w:r>
      <w:r w:rsidR="00030160" w:rsidRPr="00723838">
        <w:rPr>
          <w:color w:val="000000"/>
          <w:sz w:val="28"/>
          <w:szCs w:val="28"/>
        </w:rPr>
        <w:t>. at 7.</w:t>
      </w:r>
    </w:p>
    <w:p w14:paraId="2FBDE067" w14:textId="57A6414A" w:rsidR="00C60189" w:rsidRPr="00723838" w:rsidRDefault="00C60189" w:rsidP="00C60189">
      <w:pPr>
        <w:spacing w:line="480" w:lineRule="auto"/>
        <w:ind w:firstLine="720"/>
        <w:jc w:val="both"/>
        <w:rPr>
          <w:color w:val="000000"/>
          <w:sz w:val="28"/>
          <w:szCs w:val="28"/>
        </w:rPr>
      </w:pPr>
      <w:r w:rsidRPr="00723838">
        <w:rPr>
          <w:color w:val="000000"/>
          <w:sz w:val="28"/>
          <w:szCs w:val="28"/>
        </w:rPr>
        <w:t>The Trump Admini</w:t>
      </w:r>
      <w:r w:rsidR="007332C3" w:rsidRPr="00723838">
        <w:rPr>
          <w:color w:val="000000"/>
          <w:sz w:val="28"/>
          <w:szCs w:val="28"/>
        </w:rPr>
        <w:t xml:space="preserve">stration now has changed course. </w:t>
      </w:r>
      <w:r w:rsidRPr="00723838">
        <w:rPr>
          <w:color w:val="000000"/>
          <w:sz w:val="28"/>
          <w:szCs w:val="28"/>
        </w:rPr>
        <w:t>Attorney General Jeff</w:t>
      </w:r>
      <w:r w:rsidR="00030160" w:rsidRPr="00723838">
        <w:rPr>
          <w:color w:val="000000"/>
          <w:sz w:val="28"/>
          <w:szCs w:val="28"/>
        </w:rPr>
        <w:t>erson</w:t>
      </w:r>
      <w:r w:rsidRPr="00723838">
        <w:rPr>
          <w:color w:val="000000"/>
          <w:sz w:val="28"/>
          <w:szCs w:val="28"/>
        </w:rPr>
        <w:t xml:space="preserve"> Sessions, in a January 4, 2018, memorandum (at</w:t>
      </w:r>
      <w:r w:rsidR="007332C3" w:rsidRPr="00723838">
        <w:rPr>
          <w:color w:val="000000"/>
          <w:sz w:val="28"/>
          <w:szCs w:val="28"/>
        </w:rPr>
        <w:t>tached as Appendix 2), directed</w:t>
      </w:r>
      <w:r w:rsidRPr="00723838">
        <w:rPr>
          <w:color w:val="000000"/>
          <w:sz w:val="28"/>
          <w:szCs w:val="28"/>
        </w:rPr>
        <w:t xml:space="preserve"> federal prosecutors to return to “well-established principles that govern all federal prosecutions,” such as “weigh[ing] all relevant considerations, including federal law enforcement priorities set by the Attorney General, the seriousness of the crime, the deterrent effect of criminal prosecution, and the cumulative impact of particular crimes on the community.”</w:t>
      </w:r>
      <w:r w:rsidR="007332C3" w:rsidRPr="00723838">
        <w:rPr>
          <w:color w:val="000000"/>
          <w:sz w:val="28"/>
          <w:szCs w:val="28"/>
        </w:rPr>
        <w:t xml:space="preserve"> He expressly rescinded the DOJ memoranda </w:t>
      </w:r>
      <w:r w:rsidR="007332C3" w:rsidRPr="00723838">
        <w:rPr>
          <w:color w:val="000000"/>
          <w:sz w:val="28"/>
          <w:szCs w:val="28"/>
        </w:rPr>
        <w:lastRenderedPageBreak/>
        <w:t>that had provided the prosecution safe harbors.</w:t>
      </w:r>
    </w:p>
    <w:p w14:paraId="1BB5FD4C" w14:textId="540E59AA" w:rsidR="00806384" w:rsidRPr="00723838" w:rsidRDefault="00B80B00" w:rsidP="00EE0855">
      <w:pPr>
        <w:pStyle w:val="ListParagraph"/>
        <w:numPr>
          <w:ilvl w:val="0"/>
          <w:numId w:val="10"/>
        </w:numPr>
        <w:ind w:left="720"/>
        <w:rPr>
          <w:rFonts w:ascii="Times New Roman" w:hAnsi="Times New Roman"/>
          <w:b/>
          <w:color w:val="000000"/>
          <w:sz w:val="28"/>
          <w:szCs w:val="28"/>
        </w:rPr>
      </w:pPr>
      <w:r w:rsidRPr="00723838">
        <w:rPr>
          <w:rFonts w:ascii="Times New Roman" w:hAnsi="Times New Roman"/>
          <w:b/>
          <w:color w:val="000000"/>
          <w:sz w:val="28"/>
          <w:szCs w:val="28"/>
        </w:rPr>
        <w:t>Other s</w:t>
      </w:r>
      <w:r w:rsidR="00D40AC6" w:rsidRPr="00723838">
        <w:rPr>
          <w:rFonts w:ascii="Times New Roman" w:hAnsi="Times New Roman"/>
          <w:b/>
          <w:color w:val="000000"/>
          <w:sz w:val="28"/>
          <w:szCs w:val="28"/>
        </w:rPr>
        <w:t xml:space="preserve">tates’ </w:t>
      </w:r>
      <w:r w:rsidR="001E0E4D" w:rsidRPr="00723838">
        <w:rPr>
          <w:rFonts w:ascii="Times New Roman" w:hAnsi="Times New Roman"/>
          <w:b/>
          <w:color w:val="000000"/>
          <w:sz w:val="28"/>
          <w:szCs w:val="28"/>
        </w:rPr>
        <w:t xml:space="preserve">ethical-rule </w:t>
      </w:r>
      <w:r w:rsidR="00D40AC6" w:rsidRPr="00723838">
        <w:rPr>
          <w:rFonts w:ascii="Times New Roman" w:hAnsi="Times New Roman"/>
          <w:b/>
          <w:color w:val="000000"/>
          <w:sz w:val="28"/>
          <w:szCs w:val="28"/>
        </w:rPr>
        <w:t>responses to the marijuana state-federal conflict</w:t>
      </w:r>
    </w:p>
    <w:p w14:paraId="3670D595" w14:textId="77777777" w:rsidR="00C60189" w:rsidRPr="00723838" w:rsidRDefault="00C60189" w:rsidP="00C60189">
      <w:pPr>
        <w:pStyle w:val="ListParagraph"/>
        <w:rPr>
          <w:rFonts w:ascii="Times New Roman" w:hAnsi="Times New Roman"/>
          <w:b/>
          <w:color w:val="000000"/>
          <w:sz w:val="28"/>
          <w:szCs w:val="28"/>
        </w:rPr>
      </w:pPr>
    </w:p>
    <w:p w14:paraId="4ADA9670" w14:textId="76CFD4A8" w:rsidR="00806384" w:rsidRPr="00723838" w:rsidRDefault="001E0E4D" w:rsidP="00806384">
      <w:pPr>
        <w:spacing w:line="480" w:lineRule="auto"/>
        <w:ind w:firstLine="720"/>
        <w:jc w:val="both"/>
        <w:rPr>
          <w:color w:val="000000"/>
          <w:sz w:val="28"/>
          <w:szCs w:val="28"/>
        </w:rPr>
      </w:pPr>
      <w:r w:rsidRPr="00723838">
        <w:rPr>
          <w:color w:val="000000"/>
          <w:sz w:val="28"/>
          <w:szCs w:val="28"/>
        </w:rPr>
        <w:t xml:space="preserve">With the wave of </w:t>
      </w:r>
      <w:r w:rsidR="00D40AC6" w:rsidRPr="00723838">
        <w:rPr>
          <w:color w:val="000000"/>
          <w:sz w:val="28"/>
          <w:szCs w:val="28"/>
        </w:rPr>
        <w:t>state medical-</w:t>
      </w:r>
      <w:r w:rsidR="00E604AE" w:rsidRPr="00723838">
        <w:rPr>
          <w:color w:val="000000"/>
          <w:sz w:val="28"/>
          <w:szCs w:val="28"/>
        </w:rPr>
        <w:t xml:space="preserve"> and recreational-marijuana </w:t>
      </w:r>
      <w:r w:rsidR="00D40AC6" w:rsidRPr="00723838">
        <w:rPr>
          <w:color w:val="000000"/>
          <w:sz w:val="28"/>
          <w:szCs w:val="28"/>
        </w:rPr>
        <w:t xml:space="preserve">laws, many affected jurisdictions with Model Rule 1.2(d) language </w:t>
      </w:r>
      <w:r w:rsidR="00030160" w:rsidRPr="00723838">
        <w:rPr>
          <w:sz w:val="28"/>
          <w:szCs w:val="28"/>
        </w:rPr>
        <w:t xml:space="preserve">— </w:t>
      </w:r>
      <w:r w:rsidR="00D44E86" w:rsidRPr="00723838">
        <w:rPr>
          <w:color w:val="000000"/>
          <w:sz w:val="28"/>
          <w:szCs w:val="28"/>
        </w:rPr>
        <w:t xml:space="preserve">the same as our ER 1.2(d) </w:t>
      </w:r>
      <w:r w:rsidR="00030160" w:rsidRPr="00723838">
        <w:rPr>
          <w:sz w:val="28"/>
          <w:szCs w:val="28"/>
        </w:rPr>
        <w:t xml:space="preserve">— </w:t>
      </w:r>
      <w:r w:rsidR="00D40AC6" w:rsidRPr="00723838">
        <w:rPr>
          <w:color w:val="000000"/>
          <w:sz w:val="28"/>
          <w:szCs w:val="28"/>
        </w:rPr>
        <w:t xml:space="preserve">have </w:t>
      </w:r>
      <w:r w:rsidR="00D44E86" w:rsidRPr="00723838">
        <w:rPr>
          <w:color w:val="000000"/>
          <w:sz w:val="28"/>
          <w:szCs w:val="28"/>
        </w:rPr>
        <w:t>taken formal action</w:t>
      </w:r>
      <w:r w:rsidR="008D138F" w:rsidRPr="00723838">
        <w:rPr>
          <w:color w:val="000000"/>
          <w:sz w:val="28"/>
          <w:szCs w:val="28"/>
        </w:rPr>
        <w:t xml:space="preserve">, </w:t>
      </w:r>
      <w:r w:rsidRPr="00723838">
        <w:rPr>
          <w:color w:val="000000"/>
          <w:sz w:val="28"/>
          <w:szCs w:val="28"/>
        </w:rPr>
        <w:t>not just relied on non-binding ethics opinions</w:t>
      </w:r>
      <w:r w:rsidR="00D44E86" w:rsidRPr="00723838">
        <w:rPr>
          <w:color w:val="000000"/>
          <w:sz w:val="28"/>
          <w:szCs w:val="28"/>
        </w:rPr>
        <w:t>.</w:t>
      </w:r>
      <w:r w:rsidR="00806384" w:rsidRPr="00723838">
        <w:rPr>
          <w:color w:val="000000"/>
          <w:sz w:val="28"/>
          <w:szCs w:val="28"/>
        </w:rPr>
        <w:t xml:space="preserve"> Some have added explanatory comments to their ethical rules; some have amended their rules; some have done both. No matter </w:t>
      </w:r>
      <w:r w:rsidR="00E604AE" w:rsidRPr="00723838">
        <w:rPr>
          <w:color w:val="000000"/>
          <w:sz w:val="28"/>
          <w:szCs w:val="28"/>
        </w:rPr>
        <w:t xml:space="preserve">which avenue they have chosen, their formal action has </w:t>
      </w:r>
      <w:r w:rsidR="00806384" w:rsidRPr="00723838">
        <w:rPr>
          <w:color w:val="000000"/>
          <w:sz w:val="28"/>
          <w:szCs w:val="28"/>
        </w:rPr>
        <w:t>removed uncertainty</w:t>
      </w:r>
      <w:r w:rsidR="00E604AE" w:rsidRPr="00723838">
        <w:rPr>
          <w:color w:val="000000"/>
          <w:sz w:val="28"/>
          <w:szCs w:val="28"/>
        </w:rPr>
        <w:t xml:space="preserve"> and added transparency to their </w:t>
      </w:r>
      <w:r w:rsidRPr="00723838">
        <w:rPr>
          <w:color w:val="000000"/>
          <w:sz w:val="28"/>
          <w:szCs w:val="28"/>
        </w:rPr>
        <w:t xml:space="preserve">black-letter </w:t>
      </w:r>
      <w:r w:rsidR="00E604AE" w:rsidRPr="00723838">
        <w:rPr>
          <w:color w:val="000000"/>
          <w:sz w:val="28"/>
          <w:szCs w:val="28"/>
        </w:rPr>
        <w:t>rules of professional conduct.</w:t>
      </w:r>
    </w:p>
    <w:p w14:paraId="6021AC52" w14:textId="4F14D480" w:rsidR="00D40AC6" w:rsidRPr="00723838" w:rsidRDefault="00D40AC6" w:rsidP="00D40AC6">
      <w:pPr>
        <w:spacing w:line="480" w:lineRule="auto"/>
        <w:ind w:firstLine="720"/>
        <w:jc w:val="both"/>
        <w:rPr>
          <w:color w:val="000000"/>
          <w:sz w:val="28"/>
          <w:szCs w:val="28"/>
        </w:rPr>
      </w:pPr>
      <w:r w:rsidRPr="00723838">
        <w:rPr>
          <w:color w:val="000000"/>
          <w:sz w:val="28"/>
          <w:szCs w:val="28"/>
        </w:rPr>
        <w:t xml:space="preserve">Some states have chosen to add comments to their rules. </w:t>
      </w:r>
      <w:r w:rsidRPr="00723838">
        <w:rPr>
          <w:b/>
          <w:color w:val="000000"/>
          <w:sz w:val="28"/>
          <w:szCs w:val="28"/>
        </w:rPr>
        <w:t>Colorado</w:t>
      </w:r>
      <w:r w:rsidRPr="00723838">
        <w:rPr>
          <w:color w:val="000000"/>
          <w:sz w:val="28"/>
          <w:szCs w:val="28"/>
        </w:rPr>
        <w:t xml:space="preserve"> added new comment [14] to its Colorado Rules of Professional Conduct Rule 1.2, effective March 24, 2014:</w:t>
      </w:r>
    </w:p>
    <w:p w14:paraId="06DCBA28" w14:textId="77777777" w:rsidR="00D40AC6" w:rsidRPr="00723838" w:rsidRDefault="00D40AC6" w:rsidP="00D40AC6">
      <w:pPr>
        <w:pStyle w:val="ListParagraph"/>
        <w:ind w:left="1080" w:right="720"/>
        <w:jc w:val="both"/>
        <w:rPr>
          <w:rFonts w:ascii="Times New Roman" w:hAnsi="Times New Roman"/>
          <w:color w:val="000000"/>
          <w:sz w:val="28"/>
          <w:szCs w:val="28"/>
        </w:rPr>
      </w:pPr>
      <w:r w:rsidRPr="00723838">
        <w:rPr>
          <w:rFonts w:ascii="Times New Roman" w:hAnsi="Times New Roman"/>
          <w:color w:val="000000"/>
          <w:sz w:val="28"/>
          <w:szCs w:val="28"/>
        </w:rPr>
        <w:t>A lawyer may counsel a client regarding the validity, scope, and meaning of Colorado constitution article XVIII, secs. 14 &amp; 16, and may assist a client in conduct that the lawyer reasonably believes is permitted by these constitutional provisions and the statutes, regulations, orders, and other state or local provisions implementing them. ln these circumstances. the lawyer shall also advise the client regarding related federal law and policy.</w:t>
      </w:r>
    </w:p>
    <w:p w14:paraId="5CDE4761" w14:textId="77777777" w:rsidR="00D40AC6" w:rsidRPr="00723838" w:rsidRDefault="00D40AC6" w:rsidP="00D40AC6">
      <w:pPr>
        <w:pStyle w:val="ListParagraph"/>
        <w:ind w:left="1080" w:right="432"/>
        <w:jc w:val="both"/>
        <w:rPr>
          <w:rFonts w:ascii="Times New Roman" w:hAnsi="Times New Roman"/>
          <w:color w:val="000000"/>
          <w:sz w:val="28"/>
          <w:szCs w:val="28"/>
        </w:rPr>
      </w:pPr>
    </w:p>
    <w:p w14:paraId="56652C94" w14:textId="3CFEA285" w:rsidR="00D40AC6" w:rsidRPr="00723838" w:rsidRDefault="00D40AC6" w:rsidP="00D40AC6">
      <w:pPr>
        <w:spacing w:line="480" w:lineRule="auto"/>
        <w:ind w:firstLine="720"/>
        <w:jc w:val="both"/>
        <w:rPr>
          <w:color w:val="000000"/>
          <w:sz w:val="28"/>
          <w:szCs w:val="28"/>
        </w:rPr>
      </w:pPr>
      <w:r w:rsidRPr="00723838">
        <w:rPr>
          <w:b/>
          <w:color w:val="000000"/>
          <w:sz w:val="28"/>
          <w:szCs w:val="28"/>
        </w:rPr>
        <w:t>Nevada</w:t>
      </w:r>
      <w:r w:rsidRPr="00723838">
        <w:rPr>
          <w:color w:val="000000"/>
          <w:sz w:val="28"/>
          <w:szCs w:val="28"/>
        </w:rPr>
        <w:t xml:space="preserve"> adopted almost identical language </w:t>
      </w:r>
      <w:r w:rsidR="00030160" w:rsidRPr="00723838">
        <w:rPr>
          <w:sz w:val="28"/>
          <w:szCs w:val="28"/>
        </w:rPr>
        <w:t xml:space="preserve">— </w:t>
      </w:r>
      <w:r w:rsidRPr="00723838">
        <w:rPr>
          <w:color w:val="000000"/>
          <w:sz w:val="28"/>
          <w:szCs w:val="28"/>
        </w:rPr>
        <w:t xml:space="preserve">customized with </w:t>
      </w:r>
      <w:r w:rsidR="00806384" w:rsidRPr="00723838">
        <w:rPr>
          <w:color w:val="000000"/>
          <w:sz w:val="28"/>
          <w:szCs w:val="28"/>
        </w:rPr>
        <w:t xml:space="preserve">citation to </w:t>
      </w:r>
      <w:r w:rsidRPr="00723838">
        <w:rPr>
          <w:color w:val="000000"/>
          <w:sz w:val="28"/>
          <w:szCs w:val="28"/>
        </w:rPr>
        <w:t xml:space="preserve">its state laws </w:t>
      </w:r>
      <w:r w:rsidR="00030160" w:rsidRPr="00723838">
        <w:rPr>
          <w:sz w:val="28"/>
          <w:szCs w:val="28"/>
        </w:rPr>
        <w:t xml:space="preserve">— </w:t>
      </w:r>
      <w:r w:rsidRPr="00723838">
        <w:rPr>
          <w:color w:val="000000"/>
          <w:sz w:val="28"/>
          <w:szCs w:val="28"/>
        </w:rPr>
        <w:t xml:space="preserve">as new comment [1] to its Rule 1.2, Nevada Rules of Professional Conduct, effective May 7, 2014. </w:t>
      </w:r>
      <w:r w:rsidRPr="00723838">
        <w:rPr>
          <w:b/>
          <w:color w:val="000000"/>
          <w:sz w:val="28"/>
          <w:szCs w:val="28"/>
        </w:rPr>
        <w:t>Washington</w:t>
      </w:r>
      <w:r w:rsidRPr="00723838">
        <w:rPr>
          <w:color w:val="000000"/>
          <w:sz w:val="28"/>
          <w:szCs w:val="28"/>
        </w:rPr>
        <w:t xml:space="preserve"> added slightly different language in its comment [18] effective December 9, 2014, to its Rule 1.2, Washington Rules of </w:t>
      </w:r>
      <w:r w:rsidRPr="00723838">
        <w:rPr>
          <w:color w:val="000000"/>
          <w:sz w:val="28"/>
          <w:szCs w:val="28"/>
        </w:rPr>
        <w:lastRenderedPageBreak/>
        <w:t>Professional Conduct:</w:t>
      </w:r>
    </w:p>
    <w:p w14:paraId="026C0987" w14:textId="77777777" w:rsidR="00D40AC6" w:rsidRPr="00723838" w:rsidRDefault="00D40AC6" w:rsidP="00D40AC6">
      <w:pPr>
        <w:pStyle w:val="ListParagraph"/>
        <w:ind w:left="1080" w:right="720"/>
        <w:jc w:val="both"/>
        <w:rPr>
          <w:rFonts w:ascii="Times New Roman" w:hAnsi="Times New Roman"/>
          <w:sz w:val="28"/>
          <w:szCs w:val="28"/>
        </w:rPr>
      </w:pPr>
      <w:r w:rsidRPr="00723838">
        <w:rPr>
          <w:rFonts w:ascii="Times New Roman" w:hAnsi="Times New Roman"/>
          <w:sz w:val="28"/>
          <w:szCs w:val="28"/>
        </w:rPr>
        <w:t>At least until there is a change in federal enforcement policy, a lawyer may counsel a client regarding the validity, scope and meaning of Washington Initiative 502 (Laws of 2013, ch. 3) and may assist a client in conduct that the lawyer reasonably believes is permitted by this statute and the other statutes, regulations, orders, and other state and local provisions implementing them.</w:t>
      </w:r>
    </w:p>
    <w:p w14:paraId="05B638C4" w14:textId="77777777" w:rsidR="00D40AC6" w:rsidRPr="00723838" w:rsidRDefault="00D40AC6" w:rsidP="00D40A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z w:val="28"/>
          <w:szCs w:val="28"/>
        </w:rPr>
      </w:pPr>
    </w:p>
    <w:p w14:paraId="3AAC7DF0" w14:textId="7852687A" w:rsidR="00D40AC6" w:rsidRPr="00723838" w:rsidRDefault="00D40AC6" w:rsidP="00B80B00">
      <w:pPr>
        <w:spacing w:line="480" w:lineRule="auto"/>
        <w:ind w:firstLine="720"/>
        <w:jc w:val="both"/>
        <w:rPr>
          <w:color w:val="000000"/>
          <w:sz w:val="28"/>
          <w:szCs w:val="28"/>
        </w:rPr>
      </w:pPr>
      <w:r w:rsidRPr="00723838">
        <w:rPr>
          <w:color w:val="000000"/>
          <w:sz w:val="28"/>
          <w:szCs w:val="28"/>
        </w:rPr>
        <w:t xml:space="preserve">Other states have added marijuana-related-law specific exemptions to their rules. </w:t>
      </w:r>
      <w:r w:rsidRPr="00723838">
        <w:rPr>
          <w:b/>
          <w:color w:val="000000"/>
          <w:sz w:val="28"/>
          <w:szCs w:val="28"/>
        </w:rPr>
        <w:t>Oregon</w:t>
      </w:r>
      <w:r w:rsidR="00B80B00" w:rsidRPr="00723838">
        <w:rPr>
          <w:color w:val="000000"/>
          <w:sz w:val="28"/>
          <w:szCs w:val="28"/>
        </w:rPr>
        <w:t xml:space="preserve">, </w:t>
      </w:r>
      <w:r w:rsidRPr="00723838">
        <w:rPr>
          <w:b/>
          <w:color w:val="000000"/>
          <w:sz w:val="28"/>
          <w:szCs w:val="28"/>
        </w:rPr>
        <w:t>Alaska</w:t>
      </w:r>
      <w:r w:rsidR="00B80B00" w:rsidRPr="00723838">
        <w:rPr>
          <w:b/>
          <w:color w:val="000000"/>
          <w:sz w:val="28"/>
          <w:szCs w:val="28"/>
        </w:rPr>
        <w:t xml:space="preserve"> </w:t>
      </w:r>
      <w:r w:rsidR="00B80B00" w:rsidRPr="00723838">
        <w:rPr>
          <w:color w:val="000000"/>
          <w:sz w:val="28"/>
          <w:szCs w:val="28"/>
        </w:rPr>
        <w:t>and</w:t>
      </w:r>
      <w:r w:rsidR="00B80B00" w:rsidRPr="00723838">
        <w:rPr>
          <w:b/>
          <w:color w:val="000000"/>
          <w:sz w:val="28"/>
          <w:szCs w:val="28"/>
        </w:rPr>
        <w:t xml:space="preserve"> Ohio</w:t>
      </w:r>
      <w:r w:rsidRPr="00723838">
        <w:rPr>
          <w:color w:val="000000"/>
          <w:sz w:val="28"/>
          <w:szCs w:val="28"/>
        </w:rPr>
        <w:t xml:space="preserve"> have added very similar subsections that provide exceptions to the Model Rule 1.2(d) language. Effective February 19, 2015, Oregon, which has Model Rule 1.2(d) language as its Rule 1.2(c)</w:t>
      </w:r>
      <w:r w:rsidR="00B80B00" w:rsidRPr="00723838">
        <w:rPr>
          <w:color w:val="000000"/>
          <w:sz w:val="28"/>
          <w:szCs w:val="28"/>
        </w:rPr>
        <w:t>,</w:t>
      </w:r>
      <w:r w:rsidRPr="00723838">
        <w:rPr>
          <w:rStyle w:val="FootnoteReference"/>
          <w:color w:val="000000"/>
          <w:sz w:val="28"/>
          <w:szCs w:val="28"/>
          <w:vertAlign w:val="superscript"/>
        </w:rPr>
        <w:footnoteReference w:id="3"/>
      </w:r>
      <w:r w:rsidRPr="00723838">
        <w:rPr>
          <w:color w:val="000000"/>
          <w:sz w:val="28"/>
          <w:szCs w:val="28"/>
          <w:vertAlign w:val="superscript"/>
        </w:rPr>
        <w:t>,</w:t>
      </w:r>
      <w:r w:rsidRPr="00723838">
        <w:rPr>
          <w:color w:val="000000"/>
          <w:sz w:val="28"/>
          <w:szCs w:val="28"/>
        </w:rPr>
        <w:t xml:space="preserve"> added this exemption:</w:t>
      </w:r>
    </w:p>
    <w:p w14:paraId="06683CA5" w14:textId="77777777" w:rsidR="00D40AC6" w:rsidRPr="00723838" w:rsidRDefault="00D40AC6" w:rsidP="00B80B00">
      <w:pPr>
        <w:pStyle w:val="ListParagraph"/>
        <w:ind w:left="1080" w:right="720"/>
        <w:jc w:val="both"/>
        <w:rPr>
          <w:rFonts w:ascii="Times New Roman" w:hAnsi="Times New Roman"/>
          <w:color w:val="000000"/>
          <w:sz w:val="28"/>
          <w:szCs w:val="28"/>
        </w:rPr>
      </w:pPr>
      <w:r w:rsidRPr="00723838">
        <w:rPr>
          <w:rFonts w:ascii="Times New Roman" w:hAnsi="Times New Roman"/>
          <w:color w:val="000000"/>
          <w:sz w:val="28"/>
          <w:szCs w:val="28"/>
        </w:rPr>
        <w:t>(d) Notwithstanding paragraph (c), a lawyer may counsel and assist a client regarding Oregon’s marijuana-related laws. In the event Oregon law conflicts with federal or tribal law, the lawyer shall also advise the client regarding related federal and tribal law and policy.</w:t>
      </w:r>
    </w:p>
    <w:p w14:paraId="67EB2FAD" w14:textId="77777777" w:rsidR="00D40AC6" w:rsidRPr="00723838" w:rsidRDefault="00D40AC6" w:rsidP="00B80B00">
      <w:pPr>
        <w:pStyle w:val="ListParagraph"/>
        <w:ind w:left="1080" w:right="432"/>
        <w:jc w:val="both"/>
        <w:rPr>
          <w:rFonts w:ascii="Times New Roman" w:hAnsi="Times New Roman"/>
          <w:color w:val="000000"/>
          <w:sz w:val="28"/>
          <w:szCs w:val="28"/>
        </w:rPr>
      </w:pPr>
    </w:p>
    <w:p w14:paraId="4490E05B" w14:textId="77777777" w:rsidR="00D40AC6" w:rsidRPr="00723838" w:rsidRDefault="00D40AC6" w:rsidP="00B80B00">
      <w:pPr>
        <w:spacing w:line="480" w:lineRule="auto"/>
        <w:jc w:val="both"/>
        <w:rPr>
          <w:color w:val="000000"/>
          <w:sz w:val="28"/>
          <w:szCs w:val="28"/>
        </w:rPr>
      </w:pPr>
      <w:r w:rsidRPr="00723838">
        <w:rPr>
          <w:color w:val="000000"/>
          <w:sz w:val="28"/>
          <w:szCs w:val="28"/>
        </w:rPr>
        <w:t>Effective June 23, 2015, Alaska added a new subsection (f) to its Rule 1.2, Rules of Professional Conduct:</w:t>
      </w:r>
    </w:p>
    <w:p w14:paraId="04FBDB1A" w14:textId="77777777" w:rsidR="00D40AC6" w:rsidRPr="00723838" w:rsidRDefault="00D40AC6" w:rsidP="00B80B00">
      <w:pPr>
        <w:pStyle w:val="ListParagraph"/>
        <w:ind w:left="1080" w:right="720"/>
        <w:jc w:val="both"/>
        <w:rPr>
          <w:rFonts w:ascii="Times New Roman" w:hAnsi="Times New Roman"/>
          <w:color w:val="000000"/>
          <w:sz w:val="28"/>
          <w:szCs w:val="28"/>
        </w:rPr>
      </w:pPr>
      <w:r w:rsidRPr="00723838">
        <w:rPr>
          <w:rFonts w:ascii="Times New Roman" w:hAnsi="Times New Roman"/>
          <w:color w:val="000000"/>
          <w:sz w:val="28"/>
          <w:szCs w:val="28"/>
        </w:rPr>
        <w:t>A lawyer may counsel a client regarding Alaska’s marijuana laws and assist the client to engage in conduct that the lawyer reasonably believes is authorized by those laws. If Alaska law conflicts with federal law, the lawyer shall also advise the client regarding related federal law and policy.</w:t>
      </w:r>
    </w:p>
    <w:p w14:paraId="7463F5E7" w14:textId="77777777" w:rsidR="00B80B00" w:rsidRPr="00723838" w:rsidRDefault="00B80B00" w:rsidP="00B80B00">
      <w:pPr>
        <w:ind w:right="432"/>
        <w:jc w:val="both"/>
        <w:rPr>
          <w:color w:val="000000"/>
          <w:sz w:val="28"/>
          <w:szCs w:val="28"/>
        </w:rPr>
      </w:pPr>
    </w:p>
    <w:p w14:paraId="12310228" w14:textId="50602CD3" w:rsidR="00B80B00" w:rsidRPr="00723838" w:rsidRDefault="001E0E4D" w:rsidP="008D138F">
      <w:pPr>
        <w:spacing w:line="480" w:lineRule="auto"/>
        <w:ind w:firstLine="720"/>
        <w:jc w:val="both"/>
        <w:rPr>
          <w:color w:val="000000"/>
          <w:sz w:val="28"/>
          <w:szCs w:val="28"/>
        </w:rPr>
      </w:pPr>
      <w:r w:rsidRPr="00723838">
        <w:rPr>
          <w:color w:val="000000"/>
          <w:sz w:val="28"/>
          <w:szCs w:val="28"/>
        </w:rPr>
        <w:t xml:space="preserve">In </w:t>
      </w:r>
      <w:r w:rsidRPr="00723838">
        <w:rPr>
          <w:b/>
          <w:color w:val="000000"/>
          <w:sz w:val="28"/>
          <w:szCs w:val="28"/>
        </w:rPr>
        <w:t>Ohio</w:t>
      </w:r>
      <w:r w:rsidRPr="00723838">
        <w:rPr>
          <w:color w:val="000000"/>
          <w:sz w:val="28"/>
          <w:szCs w:val="28"/>
        </w:rPr>
        <w:t xml:space="preserve">, the Ohio Supreme Court changed its rule after its Board of Professional Conduct issued </w:t>
      </w:r>
      <w:r w:rsidR="005060AD">
        <w:rPr>
          <w:color w:val="000000"/>
          <w:sz w:val="28"/>
          <w:szCs w:val="28"/>
        </w:rPr>
        <w:t>an informal,</w:t>
      </w:r>
      <w:r w:rsidRPr="00723838">
        <w:rPr>
          <w:color w:val="000000"/>
          <w:sz w:val="28"/>
          <w:szCs w:val="28"/>
        </w:rPr>
        <w:t xml:space="preserve"> non-binding ethics opinion concluding that </w:t>
      </w:r>
      <w:r w:rsidRPr="00723838">
        <w:rPr>
          <w:color w:val="000000"/>
          <w:sz w:val="28"/>
          <w:szCs w:val="28"/>
        </w:rPr>
        <w:lastRenderedPageBreak/>
        <w:t xml:space="preserve">its Rule 1.2(d) </w:t>
      </w:r>
      <w:r w:rsidR="00030160" w:rsidRPr="00723838">
        <w:rPr>
          <w:sz w:val="28"/>
          <w:szCs w:val="28"/>
        </w:rPr>
        <w:t xml:space="preserve">— virtually </w:t>
      </w:r>
      <w:r w:rsidRPr="00723838">
        <w:rPr>
          <w:color w:val="000000"/>
          <w:sz w:val="28"/>
          <w:szCs w:val="28"/>
        </w:rPr>
        <w:t>identical to Arizona’s ER 1.2(d)</w:t>
      </w:r>
      <w:r w:rsidRPr="00723838">
        <w:rPr>
          <w:rStyle w:val="FootnoteReference"/>
          <w:color w:val="000000"/>
          <w:sz w:val="28"/>
          <w:szCs w:val="28"/>
          <w:vertAlign w:val="superscript"/>
        </w:rPr>
        <w:footnoteReference w:id="4"/>
      </w:r>
      <w:r w:rsidRPr="00723838">
        <w:rPr>
          <w:color w:val="000000"/>
          <w:sz w:val="28"/>
          <w:szCs w:val="28"/>
          <w:vertAlign w:val="superscript"/>
        </w:rPr>
        <w:t xml:space="preserve"> </w:t>
      </w:r>
      <w:r w:rsidR="00030160" w:rsidRPr="00723838">
        <w:rPr>
          <w:color w:val="000000"/>
          <w:sz w:val="28"/>
          <w:szCs w:val="28"/>
          <w:vertAlign w:val="superscript"/>
        </w:rPr>
        <w:t xml:space="preserve"> </w:t>
      </w:r>
      <w:r w:rsidR="00030160" w:rsidRPr="00723838">
        <w:rPr>
          <w:sz w:val="28"/>
          <w:szCs w:val="28"/>
        </w:rPr>
        <w:t xml:space="preserve">— </w:t>
      </w:r>
      <w:r w:rsidRPr="00723838">
        <w:rPr>
          <w:color w:val="000000"/>
          <w:sz w:val="28"/>
          <w:szCs w:val="28"/>
        </w:rPr>
        <w:t xml:space="preserve">prohibited lawyers from counseling or assisting clients under the state’s medical-marijuana law, such as “provid[ing] the types of legal services necessary for a client to establish and operate a medical marijuana enterprise or to transact with medical marijuana businesses.” It concluded its analysis of Rule 1.2(d) by saying that the Ohio Supreme Court could amend the rules “to address this conflict.” Less than two months later, </w:t>
      </w:r>
      <w:r w:rsidR="008D138F" w:rsidRPr="00723838">
        <w:rPr>
          <w:color w:val="000000"/>
          <w:sz w:val="28"/>
          <w:szCs w:val="28"/>
        </w:rPr>
        <w:t xml:space="preserve">that court did, adding this provision to its version of Rule 1.2(d), </w:t>
      </w:r>
      <w:r w:rsidR="00B80B00" w:rsidRPr="00723838">
        <w:rPr>
          <w:color w:val="000000"/>
          <w:sz w:val="28"/>
          <w:szCs w:val="28"/>
        </w:rPr>
        <w:t>effective September 20, 2016</w:t>
      </w:r>
      <w:r w:rsidR="008D138F" w:rsidRPr="00723838">
        <w:rPr>
          <w:color w:val="000000"/>
          <w:sz w:val="28"/>
          <w:szCs w:val="28"/>
        </w:rPr>
        <w:t>:</w:t>
      </w:r>
    </w:p>
    <w:p w14:paraId="22ECFFDA" w14:textId="50C6CDDB" w:rsidR="00B80B00" w:rsidRPr="00723838" w:rsidRDefault="00B80B00" w:rsidP="00B80B00">
      <w:pPr>
        <w:pStyle w:val="ListParagraph"/>
        <w:ind w:left="1080" w:right="432"/>
        <w:jc w:val="both"/>
        <w:rPr>
          <w:rFonts w:ascii="Times New Roman" w:hAnsi="Times New Roman"/>
          <w:color w:val="000000"/>
          <w:sz w:val="28"/>
          <w:szCs w:val="28"/>
        </w:rPr>
      </w:pPr>
      <w:r w:rsidRPr="00723838">
        <w:rPr>
          <w:rFonts w:ascii="Times New Roman" w:hAnsi="Times New Roman"/>
          <w:color w:val="000000"/>
          <w:sz w:val="28"/>
          <w:szCs w:val="28"/>
        </w:rPr>
        <w:t>(2) A lawyer may counsel or assist a client regarding conduct expressly permitted under Sub. H.B. 523 of the 131st General Assembly authorizing the use of marijuana for medical purposes and any state statutes, rules, orders, or other provisions implementing the act. In these circumstances, the lawyer shall advise the client regarding related federal law.</w:t>
      </w:r>
    </w:p>
    <w:p w14:paraId="38A944F2" w14:textId="77777777" w:rsidR="00B80B00" w:rsidRPr="00723838" w:rsidRDefault="00B80B00" w:rsidP="00B80B00">
      <w:pPr>
        <w:pStyle w:val="ListParagraph"/>
        <w:ind w:left="1080" w:right="432"/>
        <w:jc w:val="both"/>
        <w:rPr>
          <w:rFonts w:ascii="Times New Roman" w:hAnsi="Times New Roman"/>
          <w:color w:val="000000"/>
          <w:sz w:val="28"/>
          <w:szCs w:val="28"/>
        </w:rPr>
      </w:pPr>
    </w:p>
    <w:p w14:paraId="28AADE16" w14:textId="75D43182" w:rsidR="00D40AC6" w:rsidRPr="00723838" w:rsidRDefault="00D40AC6" w:rsidP="00B80B00">
      <w:pPr>
        <w:spacing w:line="480" w:lineRule="auto"/>
        <w:ind w:firstLine="720"/>
        <w:jc w:val="both"/>
        <w:rPr>
          <w:color w:val="000000"/>
          <w:sz w:val="28"/>
          <w:szCs w:val="28"/>
        </w:rPr>
      </w:pPr>
      <w:r w:rsidRPr="00723838">
        <w:rPr>
          <w:color w:val="000000"/>
          <w:sz w:val="28"/>
          <w:szCs w:val="28"/>
        </w:rPr>
        <w:t xml:space="preserve">Other states have chosen to add comments or rule exemptions that are not medical-marijuana specific. </w:t>
      </w:r>
      <w:r w:rsidRPr="00723838">
        <w:rPr>
          <w:b/>
          <w:color w:val="000000"/>
          <w:sz w:val="28"/>
          <w:szCs w:val="28"/>
        </w:rPr>
        <w:t>Connecticut</w:t>
      </w:r>
      <w:r w:rsidRPr="00723838">
        <w:rPr>
          <w:color w:val="000000"/>
          <w:sz w:val="28"/>
          <w:szCs w:val="28"/>
        </w:rPr>
        <w:t xml:space="preserve"> revised its Rule 1.2(d) to permit conduct allowed under state law:</w:t>
      </w:r>
    </w:p>
    <w:p w14:paraId="3E16B73A" w14:textId="77777777" w:rsidR="00D40AC6" w:rsidRPr="00723838" w:rsidRDefault="00D40AC6" w:rsidP="00B80B00">
      <w:pPr>
        <w:pStyle w:val="ListParagraph"/>
        <w:ind w:left="1080" w:right="720"/>
        <w:jc w:val="both"/>
        <w:rPr>
          <w:rFonts w:ascii="Times New Roman" w:hAnsi="Times New Roman"/>
          <w:sz w:val="28"/>
          <w:szCs w:val="28"/>
        </w:rPr>
      </w:pPr>
      <w:r w:rsidRPr="00723838">
        <w:rPr>
          <w:rFonts w:ascii="Times New Roman" w:hAnsi="Times New Roman"/>
          <w:sz w:val="28"/>
          <w:szCs w:val="28"/>
        </w:rPr>
        <w:t xml:space="preserve">A lawyer shall not counsel a client to engage, or assist a client, in conduct that the lawyer knows is criminal or fraudulent, but a lawyer may </w:t>
      </w:r>
      <w:r w:rsidRPr="00723838">
        <w:rPr>
          <w:rFonts w:ascii="Times New Roman" w:hAnsi="Times New Roman"/>
          <w:sz w:val="28"/>
          <w:szCs w:val="28"/>
          <w:u w:val="single"/>
        </w:rPr>
        <w:t>(1)</w:t>
      </w:r>
      <w:r w:rsidRPr="00723838">
        <w:rPr>
          <w:rFonts w:ascii="Times New Roman" w:hAnsi="Times New Roman"/>
          <w:sz w:val="28"/>
          <w:szCs w:val="28"/>
        </w:rPr>
        <w:t xml:space="preserve"> discuss the legal consequences of any proposed course of conduct with a client</w:t>
      </w:r>
      <w:r w:rsidRPr="00723838">
        <w:rPr>
          <w:rFonts w:ascii="Times New Roman" w:hAnsi="Times New Roman"/>
          <w:sz w:val="28"/>
          <w:szCs w:val="28"/>
          <w:u w:val="single"/>
        </w:rPr>
        <w:t>; (2)</w:t>
      </w:r>
      <w:r w:rsidRPr="00723838">
        <w:rPr>
          <w:rFonts w:ascii="Times New Roman" w:hAnsi="Times New Roman"/>
          <w:sz w:val="28"/>
          <w:szCs w:val="28"/>
        </w:rPr>
        <w:t xml:space="preserve"> </w:t>
      </w:r>
      <w:r w:rsidRPr="00723838">
        <w:rPr>
          <w:rFonts w:ascii="Times New Roman" w:hAnsi="Times New Roman"/>
          <w:strike/>
          <w:sz w:val="28"/>
          <w:szCs w:val="28"/>
        </w:rPr>
        <w:t>and</w:t>
      </w:r>
      <w:r w:rsidRPr="00723838">
        <w:rPr>
          <w:rFonts w:ascii="Times New Roman" w:hAnsi="Times New Roman"/>
          <w:sz w:val="28"/>
          <w:szCs w:val="28"/>
        </w:rPr>
        <w:t xml:space="preserve"> </w:t>
      </w:r>
      <w:r w:rsidRPr="00723838">
        <w:rPr>
          <w:rFonts w:ascii="Times New Roman" w:hAnsi="Times New Roman"/>
          <w:strike/>
          <w:sz w:val="28"/>
          <w:szCs w:val="28"/>
        </w:rPr>
        <w:t>may</w:t>
      </w:r>
      <w:r w:rsidRPr="00723838">
        <w:rPr>
          <w:rFonts w:ascii="Times New Roman" w:hAnsi="Times New Roman"/>
          <w:sz w:val="28"/>
          <w:szCs w:val="28"/>
        </w:rPr>
        <w:t xml:space="preserve"> counsel </w:t>
      </w:r>
      <w:r w:rsidRPr="00723838">
        <w:rPr>
          <w:rFonts w:ascii="Times New Roman" w:hAnsi="Times New Roman"/>
          <w:sz w:val="28"/>
          <w:szCs w:val="28"/>
          <w:u w:val="single"/>
        </w:rPr>
        <w:t>or assist</w:t>
      </w:r>
      <w:r w:rsidRPr="00723838">
        <w:rPr>
          <w:rFonts w:ascii="Times New Roman" w:hAnsi="Times New Roman"/>
          <w:sz w:val="28"/>
          <w:szCs w:val="28"/>
        </w:rPr>
        <w:t xml:space="preserve"> a client to make a good faith effort to determine the validity, scope, meaning or application of the law</w:t>
      </w:r>
      <w:r w:rsidRPr="00723838">
        <w:rPr>
          <w:rFonts w:ascii="Times New Roman" w:hAnsi="Times New Roman"/>
          <w:strike/>
          <w:sz w:val="28"/>
          <w:szCs w:val="28"/>
        </w:rPr>
        <w:t>.</w:t>
      </w:r>
      <w:r w:rsidRPr="00723838">
        <w:rPr>
          <w:rFonts w:ascii="Times New Roman" w:hAnsi="Times New Roman"/>
          <w:sz w:val="28"/>
          <w:szCs w:val="28"/>
          <w:u w:val="single"/>
        </w:rPr>
        <w:t>; or (3) counsel or assist a client regarding conduct expressly permitted by Connecticut law, provided that the lawyer counsels the client about the legal consequences, under other applicable law, of the client’s proposed course of conduct</w:t>
      </w:r>
      <w:r w:rsidRPr="00723838">
        <w:rPr>
          <w:rFonts w:ascii="Times New Roman" w:hAnsi="Times New Roman"/>
          <w:sz w:val="28"/>
          <w:szCs w:val="28"/>
        </w:rPr>
        <w:t>.</w:t>
      </w:r>
    </w:p>
    <w:p w14:paraId="087FFF9E" w14:textId="77777777" w:rsidR="00D40AC6" w:rsidRPr="00723838" w:rsidRDefault="00D40AC6" w:rsidP="00B80B00">
      <w:pPr>
        <w:pStyle w:val="ListParagraph"/>
        <w:ind w:left="1080" w:right="432"/>
        <w:jc w:val="both"/>
        <w:rPr>
          <w:rFonts w:ascii="Times New Roman" w:hAnsi="Times New Roman"/>
          <w:color w:val="000000"/>
          <w:sz w:val="28"/>
          <w:szCs w:val="28"/>
        </w:rPr>
      </w:pPr>
    </w:p>
    <w:p w14:paraId="317E182E" w14:textId="7CCE2943" w:rsidR="00D40AC6" w:rsidRPr="00723838" w:rsidRDefault="00D40AC6" w:rsidP="00030160">
      <w:pPr>
        <w:spacing w:line="480" w:lineRule="auto"/>
        <w:ind w:firstLine="720"/>
        <w:jc w:val="both"/>
        <w:rPr>
          <w:color w:val="000000"/>
          <w:sz w:val="28"/>
          <w:szCs w:val="28"/>
        </w:rPr>
      </w:pPr>
      <w:r w:rsidRPr="00723838">
        <w:rPr>
          <w:color w:val="000000"/>
          <w:sz w:val="28"/>
          <w:szCs w:val="28"/>
        </w:rPr>
        <w:t xml:space="preserve">At least one other state has both amended its rule and added a comment. In </w:t>
      </w:r>
      <w:r w:rsidRPr="00723838">
        <w:rPr>
          <w:b/>
          <w:color w:val="000000"/>
          <w:sz w:val="28"/>
          <w:szCs w:val="28"/>
        </w:rPr>
        <w:t>Illinois</w:t>
      </w:r>
      <w:r w:rsidR="00030160" w:rsidRPr="00723838">
        <w:rPr>
          <w:color w:val="000000"/>
          <w:sz w:val="28"/>
          <w:szCs w:val="28"/>
        </w:rPr>
        <w:t>, the Illinois State Bar Association (ISBA) issued Advisory Opinion No. 14-07 (October 2014) citing</w:t>
      </w:r>
      <w:r w:rsidRPr="00723838">
        <w:rPr>
          <w:color w:val="000000"/>
          <w:sz w:val="28"/>
          <w:szCs w:val="28"/>
        </w:rPr>
        <w:t xml:space="preserve"> Conne</w:t>
      </w:r>
      <w:r w:rsidR="00030160" w:rsidRPr="00723838">
        <w:rPr>
          <w:color w:val="000000"/>
          <w:sz w:val="28"/>
          <w:szCs w:val="28"/>
        </w:rPr>
        <w:t>cticut’s efforts and recommending</w:t>
      </w:r>
      <w:r w:rsidRPr="00723838">
        <w:rPr>
          <w:color w:val="000000"/>
          <w:sz w:val="28"/>
          <w:szCs w:val="28"/>
        </w:rPr>
        <w:t xml:space="preserve"> that the Illinois Supreme Court Rules Committee promulgate a similar amendment. </w:t>
      </w:r>
      <w:r w:rsidR="005060AD">
        <w:rPr>
          <w:color w:val="000000"/>
          <w:sz w:val="28"/>
          <w:szCs w:val="28"/>
        </w:rPr>
        <w:t xml:space="preserve">That supreme court </w:t>
      </w:r>
      <w:r w:rsidR="00BD348F" w:rsidRPr="00723838">
        <w:rPr>
          <w:color w:val="000000"/>
          <w:sz w:val="28"/>
          <w:szCs w:val="28"/>
        </w:rPr>
        <w:t>subsequently</w:t>
      </w:r>
      <w:r w:rsidRPr="00723838">
        <w:rPr>
          <w:color w:val="000000"/>
          <w:sz w:val="28"/>
          <w:szCs w:val="28"/>
        </w:rPr>
        <w:t xml:space="preserve"> not only adopted Connecticut’s approach but also added a lengthy comment. Effective January 1, 2016, </w:t>
      </w:r>
      <w:r w:rsidR="005060AD">
        <w:rPr>
          <w:color w:val="000000"/>
          <w:sz w:val="28"/>
          <w:szCs w:val="28"/>
        </w:rPr>
        <w:t>Illinois</w:t>
      </w:r>
      <w:r w:rsidRPr="00723838">
        <w:rPr>
          <w:color w:val="000000"/>
          <w:sz w:val="28"/>
          <w:szCs w:val="28"/>
        </w:rPr>
        <w:t xml:space="preserve"> amended its Rule 1.2(d) similar to Connecticut’s amendment:</w:t>
      </w:r>
    </w:p>
    <w:p w14:paraId="4D727700" w14:textId="77777777" w:rsidR="00D40AC6" w:rsidRPr="00723838" w:rsidRDefault="00D40AC6" w:rsidP="00B80B00">
      <w:pPr>
        <w:pStyle w:val="ListParagraph"/>
        <w:ind w:left="1080" w:right="720"/>
        <w:jc w:val="both"/>
        <w:rPr>
          <w:rFonts w:ascii="Times New Roman" w:hAnsi="Times New Roman"/>
          <w:color w:val="000000" w:themeColor="text1"/>
          <w:sz w:val="28"/>
          <w:szCs w:val="28"/>
        </w:rPr>
      </w:pPr>
      <w:r w:rsidRPr="00723838">
        <w:rPr>
          <w:rFonts w:ascii="Times New Roman" w:hAnsi="Times New Roman"/>
          <w:color w:val="000000" w:themeColor="text1"/>
          <w:sz w:val="28"/>
          <w:szCs w:val="28"/>
        </w:rPr>
        <w:t>(d) A lawyer shall not counsel a client to engage, or assist a client, in conduct the lawyer knows is criminal or fraudulent, but a lawyer may</w:t>
      </w:r>
    </w:p>
    <w:p w14:paraId="3B4C101F" w14:textId="77777777" w:rsidR="00D40AC6" w:rsidRPr="00723838" w:rsidRDefault="00D40AC6" w:rsidP="00B80B00">
      <w:pPr>
        <w:pStyle w:val="ListParagraph"/>
        <w:ind w:left="1080" w:right="720"/>
        <w:jc w:val="both"/>
        <w:rPr>
          <w:rFonts w:ascii="Times New Roman" w:hAnsi="Times New Roman"/>
          <w:color w:val="000000" w:themeColor="text1"/>
          <w:sz w:val="28"/>
          <w:szCs w:val="28"/>
        </w:rPr>
      </w:pPr>
      <w:r w:rsidRPr="00723838">
        <w:rPr>
          <w:rFonts w:ascii="Times New Roman" w:hAnsi="Times New Roman"/>
          <w:color w:val="000000" w:themeColor="text1"/>
          <w:sz w:val="28"/>
          <w:szCs w:val="28"/>
          <w:u w:val="single"/>
        </w:rPr>
        <w:t>(1)</w:t>
      </w:r>
      <w:r w:rsidRPr="00723838">
        <w:rPr>
          <w:rFonts w:ascii="Times New Roman" w:hAnsi="Times New Roman"/>
          <w:color w:val="000000" w:themeColor="text1"/>
          <w:sz w:val="28"/>
          <w:szCs w:val="28"/>
        </w:rPr>
        <w:t xml:space="preserve"> discuss the legal consequences of any proposed course of conduct with a client</w:t>
      </w:r>
      <w:r w:rsidRPr="00723838">
        <w:rPr>
          <w:rFonts w:ascii="Times New Roman" w:hAnsi="Times New Roman"/>
          <w:color w:val="000000" w:themeColor="text1"/>
          <w:sz w:val="28"/>
          <w:szCs w:val="28"/>
          <w:u w:val="single"/>
        </w:rPr>
        <w:t>,</w:t>
      </w:r>
    </w:p>
    <w:p w14:paraId="701335EC" w14:textId="77777777" w:rsidR="00D40AC6" w:rsidRPr="00723838" w:rsidRDefault="00D40AC6" w:rsidP="00B80B00">
      <w:pPr>
        <w:pStyle w:val="ListParagraph"/>
        <w:ind w:left="1080" w:right="720"/>
        <w:jc w:val="both"/>
        <w:rPr>
          <w:rFonts w:ascii="Times New Roman" w:hAnsi="Times New Roman"/>
          <w:color w:val="000000" w:themeColor="text1"/>
          <w:sz w:val="28"/>
          <w:szCs w:val="28"/>
        </w:rPr>
      </w:pPr>
      <w:r w:rsidRPr="00723838">
        <w:rPr>
          <w:rFonts w:ascii="Times New Roman" w:hAnsi="Times New Roman"/>
          <w:color w:val="000000" w:themeColor="text1"/>
          <w:sz w:val="28"/>
          <w:szCs w:val="28"/>
          <w:u w:val="single"/>
        </w:rPr>
        <w:t>(2)</w:t>
      </w:r>
      <w:r w:rsidRPr="00723838">
        <w:rPr>
          <w:rFonts w:ascii="Times New Roman" w:hAnsi="Times New Roman"/>
          <w:color w:val="000000" w:themeColor="text1"/>
          <w:sz w:val="28"/>
          <w:szCs w:val="28"/>
        </w:rPr>
        <w:t xml:space="preserve"> </w:t>
      </w:r>
      <w:r w:rsidRPr="00723838">
        <w:rPr>
          <w:rFonts w:ascii="Times New Roman" w:hAnsi="Times New Roman"/>
          <w:strike/>
          <w:color w:val="000000" w:themeColor="text1"/>
          <w:sz w:val="28"/>
          <w:szCs w:val="28"/>
        </w:rPr>
        <w:t>and may</w:t>
      </w:r>
      <w:r w:rsidRPr="00723838">
        <w:rPr>
          <w:rFonts w:ascii="Times New Roman" w:hAnsi="Times New Roman"/>
          <w:color w:val="000000" w:themeColor="text1"/>
          <w:sz w:val="28"/>
          <w:szCs w:val="28"/>
        </w:rPr>
        <w:t xml:space="preserve"> counsel or assist a client to make a good-faith effort to determine the validity, scope, meaning or application of the law</w:t>
      </w:r>
      <w:r w:rsidRPr="00723838">
        <w:rPr>
          <w:rFonts w:ascii="Times New Roman" w:hAnsi="Times New Roman"/>
          <w:color w:val="000000" w:themeColor="text1"/>
          <w:sz w:val="28"/>
          <w:szCs w:val="28"/>
          <w:u w:val="single"/>
        </w:rPr>
        <w:t>, and</w:t>
      </w:r>
    </w:p>
    <w:p w14:paraId="2C089592" w14:textId="77777777" w:rsidR="00D40AC6" w:rsidRPr="00723838" w:rsidRDefault="00D40AC6" w:rsidP="00B80B00">
      <w:pPr>
        <w:pStyle w:val="ListParagraph"/>
        <w:ind w:left="1080" w:right="720"/>
        <w:jc w:val="both"/>
        <w:rPr>
          <w:rFonts w:ascii="Times New Roman" w:hAnsi="Times New Roman"/>
          <w:color w:val="000000" w:themeColor="text1"/>
          <w:sz w:val="28"/>
          <w:szCs w:val="28"/>
          <w:u w:val="single"/>
        </w:rPr>
      </w:pPr>
      <w:r w:rsidRPr="00723838">
        <w:rPr>
          <w:rFonts w:ascii="Times New Roman" w:hAnsi="Times New Roman"/>
          <w:color w:val="000000" w:themeColor="text1"/>
          <w:sz w:val="28"/>
          <w:szCs w:val="28"/>
          <w:u w:val="single"/>
        </w:rPr>
        <w:t>(3) counsel or assist a client in conduct expressly permitted by Illinois law that may violate or conflict with federal or other law, as long as the lawyer advises the client about that federal or other law and its potential consequences.</w:t>
      </w:r>
    </w:p>
    <w:p w14:paraId="605EDF2C" w14:textId="77777777" w:rsidR="00D40AC6" w:rsidRPr="00723838" w:rsidRDefault="00D40AC6" w:rsidP="00B80B00">
      <w:pPr>
        <w:pStyle w:val="ListParagraph"/>
        <w:ind w:left="1080" w:right="432"/>
        <w:jc w:val="both"/>
        <w:rPr>
          <w:rFonts w:ascii="Times New Roman" w:hAnsi="Times New Roman"/>
          <w:color w:val="000000" w:themeColor="text1"/>
          <w:sz w:val="28"/>
          <w:szCs w:val="28"/>
        </w:rPr>
      </w:pPr>
    </w:p>
    <w:p w14:paraId="32A492B9" w14:textId="5AF54C07" w:rsidR="00D40AC6" w:rsidRPr="00723838" w:rsidRDefault="00030160" w:rsidP="00E604AE">
      <w:pPr>
        <w:spacing w:line="480" w:lineRule="auto"/>
        <w:jc w:val="both"/>
        <w:rPr>
          <w:color w:val="000000"/>
          <w:sz w:val="28"/>
          <w:szCs w:val="28"/>
        </w:rPr>
      </w:pPr>
      <w:r w:rsidRPr="00723838">
        <w:rPr>
          <w:color w:val="000000"/>
          <w:sz w:val="28"/>
          <w:szCs w:val="28"/>
        </w:rPr>
        <w:t xml:space="preserve">The </w:t>
      </w:r>
      <w:r w:rsidR="00D40AC6" w:rsidRPr="00723838">
        <w:rPr>
          <w:color w:val="000000"/>
          <w:sz w:val="28"/>
          <w:szCs w:val="28"/>
        </w:rPr>
        <w:t>len</w:t>
      </w:r>
      <w:r w:rsidRPr="00723838">
        <w:rPr>
          <w:color w:val="000000"/>
          <w:sz w:val="28"/>
          <w:szCs w:val="28"/>
        </w:rPr>
        <w:t>gthy new comment [10] explains</w:t>
      </w:r>
      <w:r w:rsidR="00D40AC6" w:rsidRPr="00723838">
        <w:rPr>
          <w:color w:val="000000"/>
          <w:sz w:val="28"/>
          <w:szCs w:val="28"/>
        </w:rPr>
        <w:t xml:space="preserve"> the rule change:</w:t>
      </w:r>
    </w:p>
    <w:p w14:paraId="24A5A750" w14:textId="3BF9D1DF" w:rsidR="008D138F" w:rsidRPr="00723838" w:rsidRDefault="00D40AC6" w:rsidP="00030160">
      <w:pPr>
        <w:pStyle w:val="ListParagraph"/>
        <w:ind w:left="1080" w:right="720"/>
        <w:jc w:val="both"/>
        <w:rPr>
          <w:rFonts w:ascii="Times New Roman" w:hAnsi="Times New Roman"/>
          <w:color w:val="000000"/>
          <w:sz w:val="28"/>
          <w:szCs w:val="28"/>
        </w:rPr>
      </w:pPr>
      <w:r w:rsidRPr="00723838">
        <w:rPr>
          <w:rFonts w:ascii="Times New Roman" w:hAnsi="Times New Roman"/>
          <w:color w:val="000000"/>
          <w:sz w:val="28"/>
          <w:szCs w:val="28"/>
        </w:rPr>
        <w:t xml:space="preserve">Paragraph (d)(3) was adopted to address the dilemma facing a lawyer in Illinois after the passage of the Illinois Compassion Use of Medical Cannabis Pilot Program Act effective January 1, 2014. The Act expressly permits the cultivation, distribution, and use of marijuana for medical purposes under the conditions stated in the Act. Conduct permitted by the Act may be prohibited by the federal Controlled Substances Act, 21 U.S.C. §§801-904 and other law. The conflict between state and federal law makes it particularly important to allow a lawyer to provide legal advice and assistance to a client seeking to engage in conduct permitted by Illinois law. In providing such advice and assistance, a lawyer shall also advise the </w:t>
      </w:r>
      <w:r w:rsidRPr="00723838">
        <w:rPr>
          <w:rFonts w:ascii="Times New Roman" w:hAnsi="Times New Roman"/>
          <w:color w:val="000000"/>
          <w:sz w:val="28"/>
          <w:szCs w:val="28"/>
        </w:rPr>
        <w:lastRenderedPageBreak/>
        <w:t>client about related federal law and policy. Paragraph (d)(3) is not restricted in its application to the marijuana law conflict. A lawyer should be especially careful about counseling or assisting a client in other contexts that may violate or conflict with federal, state, or local law.</w:t>
      </w:r>
    </w:p>
    <w:p w14:paraId="02107432" w14:textId="77777777" w:rsidR="008D138F" w:rsidRPr="00723838" w:rsidRDefault="008D138F" w:rsidP="00EB3F67">
      <w:pPr>
        <w:pStyle w:val="ListParagraph"/>
        <w:ind w:left="1080" w:right="720"/>
        <w:jc w:val="both"/>
        <w:rPr>
          <w:rFonts w:ascii="Times New Roman" w:hAnsi="Times New Roman"/>
          <w:color w:val="000000"/>
          <w:sz w:val="28"/>
          <w:szCs w:val="28"/>
        </w:rPr>
      </w:pPr>
    </w:p>
    <w:p w14:paraId="323658EE" w14:textId="3EB56442" w:rsidR="00E604AE" w:rsidRPr="00723838" w:rsidRDefault="00E604AE" w:rsidP="000D07A0">
      <w:pPr>
        <w:pStyle w:val="ListParagraph"/>
        <w:numPr>
          <w:ilvl w:val="0"/>
          <w:numId w:val="10"/>
        </w:numPr>
        <w:ind w:left="720"/>
        <w:rPr>
          <w:rFonts w:ascii="Times New Roman" w:hAnsi="Times New Roman"/>
          <w:b/>
          <w:color w:val="000000"/>
          <w:sz w:val="28"/>
          <w:szCs w:val="28"/>
        </w:rPr>
      </w:pPr>
      <w:r w:rsidRPr="00723838">
        <w:rPr>
          <w:rFonts w:ascii="Times New Roman" w:hAnsi="Times New Roman"/>
          <w:b/>
          <w:color w:val="000000"/>
          <w:sz w:val="28"/>
          <w:szCs w:val="28"/>
        </w:rPr>
        <w:t>ER 1.2(d) should be amended to</w:t>
      </w:r>
      <w:r w:rsidR="00C60189" w:rsidRPr="00723838">
        <w:rPr>
          <w:rFonts w:ascii="Times New Roman" w:hAnsi="Times New Roman"/>
          <w:b/>
          <w:color w:val="000000"/>
          <w:sz w:val="28"/>
          <w:szCs w:val="28"/>
        </w:rPr>
        <w:t xml:space="preserve"> add an explicit </w:t>
      </w:r>
      <w:r w:rsidR="001E0E4D" w:rsidRPr="00723838">
        <w:rPr>
          <w:rFonts w:ascii="Times New Roman" w:hAnsi="Times New Roman"/>
          <w:b/>
          <w:color w:val="000000"/>
          <w:sz w:val="28"/>
          <w:szCs w:val="28"/>
        </w:rPr>
        <w:t xml:space="preserve">exception </w:t>
      </w:r>
      <w:r w:rsidR="008D138F" w:rsidRPr="00723838">
        <w:rPr>
          <w:rFonts w:ascii="Times New Roman" w:hAnsi="Times New Roman"/>
          <w:b/>
          <w:color w:val="000000"/>
          <w:sz w:val="28"/>
          <w:szCs w:val="28"/>
        </w:rPr>
        <w:t>for lawyers who comply with state law</w:t>
      </w:r>
    </w:p>
    <w:p w14:paraId="791EB50C" w14:textId="77777777" w:rsidR="00C60189" w:rsidRPr="00723838" w:rsidRDefault="00C60189" w:rsidP="00C60189">
      <w:pPr>
        <w:pStyle w:val="ListParagraph"/>
        <w:rPr>
          <w:rFonts w:ascii="Times New Roman" w:hAnsi="Times New Roman"/>
          <w:b/>
          <w:color w:val="000000"/>
          <w:sz w:val="28"/>
          <w:szCs w:val="28"/>
        </w:rPr>
      </w:pPr>
    </w:p>
    <w:p w14:paraId="0EC87765" w14:textId="266A2911" w:rsidR="00E604AE" w:rsidRPr="00723838" w:rsidRDefault="00E604AE" w:rsidP="00E604AE">
      <w:pPr>
        <w:spacing w:line="480" w:lineRule="auto"/>
        <w:ind w:firstLine="720"/>
        <w:jc w:val="both"/>
        <w:rPr>
          <w:color w:val="000000"/>
          <w:sz w:val="28"/>
          <w:szCs w:val="28"/>
        </w:rPr>
      </w:pPr>
      <w:r w:rsidRPr="00723838">
        <w:rPr>
          <w:color w:val="000000"/>
          <w:sz w:val="28"/>
          <w:szCs w:val="28"/>
        </w:rPr>
        <w:t>Arizona should follow Connect</w:t>
      </w:r>
      <w:r w:rsidR="008D138F" w:rsidRPr="00723838">
        <w:rPr>
          <w:color w:val="000000"/>
          <w:sz w:val="28"/>
          <w:szCs w:val="28"/>
        </w:rPr>
        <w:t xml:space="preserve">icut and Illinois and amend </w:t>
      </w:r>
      <w:r w:rsidRPr="00723838">
        <w:rPr>
          <w:color w:val="000000"/>
          <w:sz w:val="28"/>
          <w:szCs w:val="28"/>
        </w:rPr>
        <w:t xml:space="preserve">ER 1.2(d) to recognize that there may be times when </w:t>
      </w:r>
      <w:r w:rsidR="001F7E4A" w:rsidRPr="00723838">
        <w:rPr>
          <w:color w:val="000000"/>
          <w:sz w:val="28"/>
          <w:szCs w:val="28"/>
        </w:rPr>
        <w:t>—</w:t>
      </w:r>
      <w:r w:rsidRPr="00723838">
        <w:rPr>
          <w:color w:val="000000"/>
          <w:sz w:val="28"/>
          <w:szCs w:val="28"/>
        </w:rPr>
        <w:t xml:space="preserve"> as Illinois explained in its comment </w:t>
      </w:r>
      <w:r w:rsidR="001F7E4A" w:rsidRPr="00723838">
        <w:rPr>
          <w:color w:val="000000"/>
          <w:sz w:val="28"/>
          <w:szCs w:val="28"/>
        </w:rPr>
        <w:t xml:space="preserve">— </w:t>
      </w:r>
      <w:r w:rsidRPr="00723838">
        <w:rPr>
          <w:color w:val="000000"/>
          <w:sz w:val="28"/>
          <w:szCs w:val="28"/>
        </w:rPr>
        <w:t>“the conflict between state and federal law makes it particularly important to allow a lawyer to provide legal advice and assistance to a client seeking to engage in conduct permitted by [state] law.”</w:t>
      </w:r>
    </w:p>
    <w:p w14:paraId="3B990674" w14:textId="51B64432" w:rsidR="00E604AE" w:rsidRPr="00723838" w:rsidRDefault="00E604AE" w:rsidP="00E604AE">
      <w:pPr>
        <w:spacing w:line="480" w:lineRule="auto"/>
        <w:ind w:firstLine="720"/>
        <w:jc w:val="both"/>
        <w:rPr>
          <w:color w:val="000000"/>
          <w:sz w:val="28"/>
          <w:szCs w:val="28"/>
        </w:rPr>
      </w:pPr>
      <w:r w:rsidRPr="00723838">
        <w:rPr>
          <w:color w:val="000000"/>
          <w:sz w:val="28"/>
          <w:szCs w:val="28"/>
        </w:rPr>
        <w:t>The language adopted by Connecticut and Illinois also importantly incorporates a concept already posited in Ethics Op. 11-01: that lawyers may provide necessary legal help to a client taking permissible acts under Arizona’s medical-marijuana law if they advise the client of the “potential federal law implications and consequences thereof, or, if the lawyer is not qualified to do so, advises the client to seek other legal counsel regarding those issues…</w:t>
      </w:r>
      <w:r w:rsidR="001F7E4A" w:rsidRPr="00723838">
        <w:rPr>
          <w:color w:val="000000"/>
          <w:sz w:val="28"/>
          <w:szCs w:val="28"/>
        </w:rPr>
        <w:t xml:space="preserve"> </w:t>
      </w:r>
      <w:r w:rsidRPr="00723838">
        <w:rPr>
          <w:color w:val="000000"/>
          <w:sz w:val="28"/>
          <w:szCs w:val="28"/>
        </w:rPr>
        <w:t>.” If a lawyer is not competent to provide the counsel required under proposed ER 1.2(d)(3), then ER 1.1 (competence) requires that the lawyer associate a lawyer who has the established competence, and ER 1.2(c) allows the lawyer to limit the scope of representation, with informed client consent.</w:t>
      </w:r>
    </w:p>
    <w:p w14:paraId="0C11DC70" w14:textId="77777777" w:rsidR="005060AD" w:rsidRDefault="00BD348F" w:rsidP="00E604AE">
      <w:pPr>
        <w:spacing w:line="480" w:lineRule="auto"/>
        <w:ind w:firstLine="720"/>
        <w:jc w:val="both"/>
        <w:rPr>
          <w:sz w:val="28"/>
          <w:szCs w:val="28"/>
        </w:rPr>
      </w:pPr>
      <w:r w:rsidRPr="00723838">
        <w:rPr>
          <w:color w:val="000000"/>
          <w:sz w:val="28"/>
          <w:szCs w:val="28"/>
        </w:rPr>
        <w:t>The proposed language</w:t>
      </w:r>
      <w:r w:rsidR="00E604AE" w:rsidRPr="00723838">
        <w:rPr>
          <w:color w:val="000000"/>
          <w:sz w:val="28"/>
          <w:szCs w:val="28"/>
        </w:rPr>
        <w:t xml:space="preserve"> also implicitly recognizes that other state-federal </w:t>
      </w:r>
      <w:r w:rsidR="00E604AE" w:rsidRPr="00723838">
        <w:rPr>
          <w:color w:val="000000"/>
          <w:sz w:val="28"/>
          <w:szCs w:val="28"/>
        </w:rPr>
        <w:lastRenderedPageBreak/>
        <w:t>conflicts similar to medical marijuana may arise.</w:t>
      </w:r>
      <w:r w:rsidR="00E604AE" w:rsidRPr="00723838">
        <w:rPr>
          <w:rStyle w:val="FootnoteReference"/>
          <w:color w:val="000000"/>
          <w:sz w:val="28"/>
          <w:szCs w:val="28"/>
          <w:vertAlign w:val="superscript"/>
        </w:rPr>
        <w:footnoteReference w:id="5"/>
      </w:r>
      <w:r w:rsidR="00E604AE" w:rsidRPr="00723838">
        <w:rPr>
          <w:color w:val="000000"/>
          <w:sz w:val="28"/>
          <w:szCs w:val="28"/>
        </w:rPr>
        <w:t xml:space="preserve"> </w:t>
      </w:r>
      <w:r w:rsidR="00E604AE" w:rsidRPr="00723838">
        <w:rPr>
          <w:sz w:val="28"/>
          <w:szCs w:val="28"/>
        </w:rPr>
        <w:t xml:space="preserve">By adopting this change, Arizona would not be an outlier; it would be joining Connecticut and Illinois by </w:t>
      </w:r>
      <w:r w:rsidR="005060AD">
        <w:rPr>
          <w:sz w:val="28"/>
          <w:szCs w:val="28"/>
        </w:rPr>
        <w:t>simply allowing lawyers to ethically provide legal services in compliance with state law.</w:t>
      </w:r>
    </w:p>
    <w:p w14:paraId="789962C9" w14:textId="5BEB240A" w:rsidR="00E604AE" w:rsidRPr="00723838" w:rsidRDefault="005060AD" w:rsidP="00E604AE">
      <w:pPr>
        <w:spacing w:line="480" w:lineRule="auto"/>
        <w:ind w:firstLine="720"/>
        <w:jc w:val="both"/>
        <w:rPr>
          <w:color w:val="000000"/>
          <w:sz w:val="28"/>
          <w:szCs w:val="28"/>
        </w:rPr>
      </w:pPr>
      <w:r>
        <w:rPr>
          <w:color w:val="000000"/>
          <w:sz w:val="28"/>
          <w:szCs w:val="28"/>
        </w:rPr>
        <w:t xml:space="preserve">Adopting such a provision means Arizona’s ER 1.2 is not the same as the ABA Model Rules of Professional Conduct. </w:t>
      </w:r>
      <w:r w:rsidR="00E604AE" w:rsidRPr="00723838">
        <w:rPr>
          <w:color w:val="000000"/>
          <w:sz w:val="28"/>
          <w:szCs w:val="28"/>
        </w:rPr>
        <w:t xml:space="preserve">While </w:t>
      </w:r>
      <w:r w:rsidR="00E604AE" w:rsidRPr="00723838">
        <w:rPr>
          <w:sz w:val="28"/>
          <w:szCs w:val="28"/>
        </w:rPr>
        <w:t>it may be preferable to adhere as closely as</w:t>
      </w:r>
      <w:r>
        <w:rPr>
          <w:sz w:val="28"/>
          <w:szCs w:val="28"/>
        </w:rPr>
        <w:t xml:space="preserve"> possible to the ABA Model Rules</w:t>
      </w:r>
      <w:r w:rsidR="00E604AE" w:rsidRPr="00723838">
        <w:rPr>
          <w:sz w:val="28"/>
          <w:szCs w:val="28"/>
        </w:rPr>
        <w:t>, medical-marijuana laws have been controversial, state-by-state phenomena unlikely to result in timely changes to a national model rule.</w:t>
      </w:r>
    </w:p>
    <w:p w14:paraId="2F6FA046" w14:textId="66D28B7B" w:rsidR="00E604AE" w:rsidRPr="00723838" w:rsidRDefault="00E604AE" w:rsidP="00E604AE">
      <w:pPr>
        <w:spacing w:line="480" w:lineRule="auto"/>
        <w:ind w:firstLine="720"/>
        <w:jc w:val="both"/>
        <w:rPr>
          <w:sz w:val="28"/>
          <w:szCs w:val="28"/>
        </w:rPr>
      </w:pPr>
      <w:r w:rsidRPr="00723838">
        <w:rPr>
          <w:sz w:val="28"/>
          <w:szCs w:val="28"/>
        </w:rPr>
        <w:t xml:space="preserve">Amending the rule itself also is preferable to simply adding a comment. Comments “explain[] and illustrate[] the meaning and purpose of the Rule” and “are intended as guides to interpretation, </w:t>
      </w:r>
      <w:r w:rsidRPr="005060AD">
        <w:rPr>
          <w:i/>
          <w:sz w:val="28"/>
          <w:szCs w:val="28"/>
        </w:rPr>
        <w:t>but the text of each Rule is authoritative</w:t>
      </w:r>
      <w:r w:rsidRPr="00723838">
        <w:rPr>
          <w:sz w:val="28"/>
          <w:szCs w:val="28"/>
        </w:rPr>
        <w:t>.” Preamble, Arizona Rules of Professional Conduct, paragraph [21]</w:t>
      </w:r>
      <w:r w:rsidR="005060AD">
        <w:rPr>
          <w:sz w:val="28"/>
          <w:szCs w:val="28"/>
        </w:rPr>
        <w:t xml:space="preserve"> (emphasis added)</w:t>
      </w:r>
      <w:r w:rsidRPr="00723838">
        <w:rPr>
          <w:sz w:val="28"/>
          <w:szCs w:val="28"/>
        </w:rPr>
        <w:t>. A rule should not specifically prohibit conduct while an explanatory comment provides an exception.</w:t>
      </w:r>
    </w:p>
    <w:p w14:paraId="6E5877A2" w14:textId="1BF8BA29" w:rsidR="008D138F" w:rsidRPr="00723838" w:rsidRDefault="001E0E4D" w:rsidP="00BD348F">
      <w:pPr>
        <w:spacing w:line="480" w:lineRule="auto"/>
        <w:ind w:firstLine="720"/>
        <w:jc w:val="both"/>
        <w:rPr>
          <w:color w:val="000000"/>
          <w:sz w:val="28"/>
          <w:szCs w:val="28"/>
        </w:rPr>
      </w:pPr>
      <w:r w:rsidRPr="00723838">
        <w:rPr>
          <w:sz w:val="28"/>
          <w:szCs w:val="28"/>
        </w:rPr>
        <w:t>Amending the rule is also preferable to leaving the issue up to a non-binding ethics opinion</w:t>
      </w:r>
      <w:r w:rsidR="008D138F" w:rsidRPr="00723838">
        <w:rPr>
          <w:sz w:val="28"/>
          <w:szCs w:val="28"/>
        </w:rPr>
        <w:t xml:space="preserve"> or, perhaps, disciplinary </w:t>
      </w:r>
      <w:r w:rsidR="00BD348F" w:rsidRPr="00723838">
        <w:rPr>
          <w:sz w:val="28"/>
          <w:szCs w:val="28"/>
        </w:rPr>
        <w:t>prosecutorial</w:t>
      </w:r>
      <w:r w:rsidR="008D138F" w:rsidRPr="00723838">
        <w:rPr>
          <w:sz w:val="28"/>
          <w:szCs w:val="28"/>
        </w:rPr>
        <w:t xml:space="preserve"> discretion</w:t>
      </w:r>
      <w:r w:rsidRPr="00723838">
        <w:rPr>
          <w:sz w:val="28"/>
          <w:szCs w:val="28"/>
        </w:rPr>
        <w:t>.</w:t>
      </w:r>
      <w:r w:rsidRPr="00723838">
        <w:rPr>
          <w:color w:val="000000"/>
          <w:sz w:val="28"/>
          <w:szCs w:val="28"/>
        </w:rPr>
        <w:t xml:space="preserve"> Ethics Op. 11-01 has provided guidance to lawyers but such an opinion is advisory only and not binding on the discipline system.</w:t>
      </w:r>
      <w:r w:rsidR="00CC0B6A" w:rsidRPr="00723838">
        <w:rPr>
          <w:color w:val="000000"/>
          <w:sz w:val="28"/>
          <w:szCs w:val="28"/>
        </w:rPr>
        <w:t xml:space="preserve"> </w:t>
      </w:r>
      <w:r w:rsidR="00BD348F" w:rsidRPr="00723838">
        <w:rPr>
          <w:color w:val="000000"/>
          <w:sz w:val="28"/>
          <w:szCs w:val="28"/>
        </w:rPr>
        <w:t xml:space="preserve">The Illinois ethics opinion cogently noted that </w:t>
      </w:r>
      <w:r w:rsidR="00BD348F" w:rsidRPr="00723838">
        <w:rPr>
          <w:color w:val="000000"/>
          <w:sz w:val="28"/>
          <w:szCs w:val="28"/>
        </w:rPr>
        <w:lastRenderedPageBreak/>
        <w:t>ethics opinions “do not immunize any lawyer from disciplinary action.”</w:t>
      </w:r>
    </w:p>
    <w:p w14:paraId="79F53944" w14:textId="39176D1E" w:rsidR="00030160" w:rsidRPr="00723838" w:rsidRDefault="00CC0B6A" w:rsidP="00BD348F">
      <w:pPr>
        <w:spacing w:line="480" w:lineRule="auto"/>
        <w:ind w:firstLine="720"/>
        <w:jc w:val="both"/>
        <w:rPr>
          <w:color w:val="000000"/>
          <w:sz w:val="28"/>
          <w:szCs w:val="28"/>
        </w:rPr>
      </w:pPr>
      <w:r w:rsidRPr="00723838">
        <w:rPr>
          <w:color w:val="000000"/>
          <w:sz w:val="28"/>
          <w:szCs w:val="28"/>
        </w:rPr>
        <w:t>In addition, a</w:t>
      </w:r>
      <w:r w:rsidR="001E0E4D" w:rsidRPr="00723838">
        <w:rPr>
          <w:color w:val="000000"/>
          <w:sz w:val="28"/>
          <w:szCs w:val="28"/>
        </w:rPr>
        <w:t xml:space="preserve">llowing the disciplinary agency, rather than the highest court, to adopt a policy does not provide adequate certainty for lawyers. </w:t>
      </w:r>
      <w:r w:rsidR="00E31A40" w:rsidRPr="00723838">
        <w:rPr>
          <w:color w:val="000000"/>
          <w:sz w:val="28"/>
          <w:szCs w:val="28"/>
        </w:rPr>
        <w:t>At</w:t>
      </w:r>
      <w:r w:rsidR="001E0E4D" w:rsidRPr="00723838">
        <w:rPr>
          <w:color w:val="000000"/>
          <w:sz w:val="28"/>
          <w:szCs w:val="28"/>
        </w:rPr>
        <w:t xml:space="preserve"> least two jurisdictions – Florida and Massachusetts, both of which have Model Rule 1.2(d) language </w:t>
      </w:r>
      <w:r w:rsidR="00BD348F" w:rsidRPr="00723838">
        <w:rPr>
          <w:color w:val="000000"/>
          <w:sz w:val="28"/>
          <w:szCs w:val="28"/>
        </w:rPr>
        <w:t>–</w:t>
      </w:r>
      <w:r w:rsidR="001E0E4D" w:rsidRPr="00723838">
        <w:rPr>
          <w:color w:val="000000"/>
          <w:sz w:val="28"/>
          <w:szCs w:val="28"/>
        </w:rPr>
        <w:t xml:space="preserve"> have adopted formal written policies in which they state that bar members will not be prosecuted for misconduct if they advise clients under those states’ medical-marijuana laws.</w:t>
      </w:r>
      <w:r w:rsidR="001E0E4D" w:rsidRPr="00723838">
        <w:rPr>
          <w:rStyle w:val="FootnoteReference"/>
          <w:color w:val="000000"/>
          <w:sz w:val="28"/>
          <w:szCs w:val="28"/>
          <w:vertAlign w:val="superscript"/>
        </w:rPr>
        <w:footnoteReference w:id="6"/>
      </w:r>
      <w:r w:rsidR="005060AD">
        <w:rPr>
          <w:color w:val="000000"/>
          <w:sz w:val="28"/>
          <w:szCs w:val="28"/>
        </w:rPr>
        <w:t xml:space="preserve"> But a</w:t>
      </w:r>
      <w:r w:rsidR="001E0E4D" w:rsidRPr="00723838">
        <w:rPr>
          <w:color w:val="000000"/>
          <w:sz w:val="28"/>
          <w:szCs w:val="28"/>
        </w:rPr>
        <w:t xml:space="preserve"> policy adopted by an entity other than the rule-making court</w:t>
      </w:r>
      <w:r w:rsidRPr="00723838">
        <w:rPr>
          <w:color w:val="000000"/>
          <w:sz w:val="28"/>
          <w:szCs w:val="28"/>
        </w:rPr>
        <w:t xml:space="preserve"> </w:t>
      </w:r>
      <w:r w:rsidR="001E0E4D" w:rsidRPr="00723838">
        <w:rPr>
          <w:color w:val="000000"/>
          <w:sz w:val="28"/>
          <w:szCs w:val="28"/>
        </w:rPr>
        <w:t xml:space="preserve">is an inadequate way to </w:t>
      </w:r>
      <w:r w:rsidR="008D138F" w:rsidRPr="00723838">
        <w:rPr>
          <w:color w:val="000000"/>
          <w:sz w:val="28"/>
          <w:szCs w:val="28"/>
        </w:rPr>
        <w:t>resolve this issue and provide transparency for lawyers.</w:t>
      </w:r>
      <w:r w:rsidR="005060AD">
        <w:rPr>
          <w:color w:val="000000"/>
          <w:sz w:val="28"/>
          <w:szCs w:val="28"/>
        </w:rPr>
        <w:t xml:space="preserve"> And, of course, the actual rule would still have clear, contradictory language.</w:t>
      </w:r>
    </w:p>
    <w:p w14:paraId="68645C98" w14:textId="25BD0022" w:rsidR="00E604AE" w:rsidRPr="00723838" w:rsidRDefault="00030160" w:rsidP="00E604AE">
      <w:pPr>
        <w:pStyle w:val="ListParagraph"/>
        <w:numPr>
          <w:ilvl w:val="0"/>
          <w:numId w:val="10"/>
        </w:numPr>
        <w:spacing w:line="480" w:lineRule="auto"/>
        <w:ind w:left="720"/>
        <w:rPr>
          <w:rFonts w:ascii="Times New Roman" w:hAnsi="Times New Roman"/>
          <w:b/>
          <w:color w:val="000000"/>
          <w:sz w:val="28"/>
          <w:szCs w:val="28"/>
        </w:rPr>
      </w:pPr>
      <w:r w:rsidRPr="00723838">
        <w:rPr>
          <w:rFonts w:ascii="Times New Roman" w:hAnsi="Times New Roman"/>
          <w:b/>
          <w:color w:val="000000"/>
          <w:sz w:val="28"/>
          <w:szCs w:val="28"/>
        </w:rPr>
        <w:t>Proposed rule a</w:t>
      </w:r>
      <w:r w:rsidR="00E604AE" w:rsidRPr="00723838">
        <w:rPr>
          <w:rFonts w:ascii="Times New Roman" w:hAnsi="Times New Roman"/>
          <w:b/>
          <w:color w:val="000000"/>
          <w:sz w:val="28"/>
          <w:szCs w:val="28"/>
        </w:rPr>
        <w:t>mendment</w:t>
      </w:r>
    </w:p>
    <w:p w14:paraId="6D4111C7" w14:textId="1DCA2BB7" w:rsidR="00E604AE" w:rsidRPr="00723838" w:rsidRDefault="00E604AE" w:rsidP="00E604AE">
      <w:pPr>
        <w:spacing w:line="480" w:lineRule="auto"/>
        <w:ind w:firstLine="720"/>
        <w:jc w:val="both"/>
        <w:rPr>
          <w:color w:val="000000"/>
          <w:sz w:val="28"/>
          <w:szCs w:val="28"/>
        </w:rPr>
      </w:pPr>
      <w:r w:rsidRPr="00723838">
        <w:rPr>
          <w:color w:val="000000"/>
          <w:sz w:val="28"/>
          <w:szCs w:val="28"/>
        </w:rPr>
        <w:t xml:space="preserve">Arizona should adopt Connecticut’s simple and elegant language. ER 1.2(d) thus </w:t>
      </w:r>
      <w:r w:rsidR="00BD348F" w:rsidRPr="00723838">
        <w:rPr>
          <w:color w:val="000000"/>
          <w:sz w:val="28"/>
          <w:szCs w:val="28"/>
        </w:rPr>
        <w:t>would</w:t>
      </w:r>
      <w:r w:rsidRPr="00723838">
        <w:rPr>
          <w:color w:val="000000"/>
          <w:sz w:val="28"/>
          <w:szCs w:val="28"/>
        </w:rPr>
        <w:t xml:space="preserve"> be revised as follows:</w:t>
      </w:r>
    </w:p>
    <w:p w14:paraId="7453E1F8" w14:textId="77777777" w:rsidR="00E604AE" w:rsidRPr="00723838" w:rsidRDefault="00E604AE" w:rsidP="00E604AE">
      <w:pPr>
        <w:ind w:left="720" w:right="720"/>
        <w:jc w:val="both"/>
        <w:rPr>
          <w:sz w:val="28"/>
          <w:szCs w:val="28"/>
        </w:rPr>
      </w:pPr>
      <w:r w:rsidRPr="00723838">
        <w:rPr>
          <w:sz w:val="28"/>
          <w:szCs w:val="28"/>
        </w:rPr>
        <w:t xml:space="preserve">A lawyer shall not counsel a client to engage, or assist a client, in conduct that the lawyer knows is criminal or fraudulent, but a lawyer may </w:t>
      </w:r>
      <w:r w:rsidRPr="00723838">
        <w:rPr>
          <w:sz w:val="28"/>
          <w:szCs w:val="28"/>
          <w:u w:val="single"/>
        </w:rPr>
        <w:t>(1)</w:t>
      </w:r>
      <w:r w:rsidRPr="00723838">
        <w:rPr>
          <w:sz w:val="28"/>
          <w:szCs w:val="28"/>
        </w:rPr>
        <w:t xml:space="preserve"> discuss the legal consequences of any proposed course of conduct with a client</w:t>
      </w:r>
      <w:r w:rsidRPr="00723838">
        <w:rPr>
          <w:sz w:val="28"/>
          <w:szCs w:val="28"/>
          <w:u w:val="single"/>
        </w:rPr>
        <w:t>; (2)</w:t>
      </w:r>
      <w:r w:rsidRPr="00723838">
        <w:rPr>
          <w:sz w:val="28"/>
          <w:szCs w:val="28"/>
        </w:rPr>
        <w:t xml:space="preserve"> </w:t>
      </w:r>
      <w:r w:rsidRPr="00723838">
        <w:rPr>
          <w:strike/>
          <w:sz w:val="28"/>
          <w:szCs w:val="28"/>
        </w:rPr>
        <w:t>and</w:t>
      </w:r>
      <w:r w:rsidRPr="00723838">
        <w:rPr>
          <w:sz w:val="28"/>
          <w:szCs w:val="28"/>
        </w:rPr>
        <w:t xml:space="preserve"> </w:t>
      </w:r>
      <w:r w:rsidRPr="00723838">
        <w:rPr>
          <w:strike/>
          <w:sz w:val="28"/>
          <w:szCs w:val="28"/>
        </w:rPr>
        <w:t>may</w:t>
      </w:r>
      <w:r w:rsidRPr="00723838">
        <w:rPr>
          <w:sz w:val="28"/>
          <w:szCs w:val="28"/>
        </w:rPr>
        <w:t xml:space="preserve"> counsel or assist a client to make a good faith effort to determine the validity, scope, meaning or application of the law</w:t>
      </w:r>
      <w:r w:rsidRPr="00723838">
        <w:rPr>
          <w:strike/>
          <w:sz w:val="28"/>
          <w:szCs w:val="28"/>
        </w:rPr>
        <w:t>.</w:t>
      </w:r>
      <w:r w:rsidRPr="00723838">
        <w:rPr>
          <w:sz w:val="28"/>
          <w:szCs w:val="28"/>
          <w:u w:val="single"/>
        </w:rPr>
        <w:t xml:space="preserve">; or (3) counsel or assist a client regarding conduct expressly permitted by Arizona law, provided that the lawyer counsels the client about the legal consequences, under other applicable </w:t>
      </w:r>
      <w:r w:rsidRPr="00723838">
        <w:rPr>
          <w:sz w:val="28"/>
          <w:szCs w:val="28"/>
          <w:u w:val="single"/>
        </w:rPr>
        <w:lastRenderedPageBreak/>
        <w:t>law, of the client’s proposed course of conduct</w:t>
      </w:r>
      <w:r w:rsidRPr="00723838">
        <w:rPr>
          <w:sz w:val="28"/>
          <w:szCs w:val="28"/>
        </w:rPr>
        <w:t>.</w:t>
      </w:r>
    </w:p>
    <w:p w14:paraId="5110EFD6" w14:textId="77777777" w:rsidR="00E604AE" w:rsidRPr="00723838" w:rsidRDefault="00E604AE" w:rsidP="00E604AE">
      <w:pPr>
        <w:ind w:left="720" w:right="432"/>
        <w:jc w:val="both"/>
        <w:rPr>
          <w:color w:val="000000"/>
          <w:sz w:val="28"/>
          <w:szCs w:val="28"/>
        </w:rPr>
      </w:pPr>
    </w:p>
    <w:p w14:paraId="4B775A59" w14:textId="52C1F09D" w:rsidR="007332C3" w:rsidRPr="00723838" w:rsidRDefault="00E604AE" w:rsidP="005060AD">
      <w:pPr>
        <w:spacing w:line="480" w:lineRule="auto"/>
        <w:ind w:firstLine="720"/>
        <w:jc w:val="both"/>
        <w:rPr>
          <w:color w:val="000000"/>
          <w:sz w:val="28"/>
          <w:szCs w:val="28"/>
        </w:rPr>
      </w:pPr>
      <w:r w:rsidRPr="00723838">
        <w:rPr>
          <w:color w:val="000000"/>
          <w:sz w:val="28"/>
          <w:szCs w:val="28"/>
        </w:rPr>
        <w:t>With the rule amended this way, a lengthy explanatory or medical-marijuana-specific comment is unnecessary.</w:t>
      </w:r>
    </w:p>
    <w:p w14:paraId="6B616E5A" w14:textId="77777777" w:rsidR="00472C18" w:rsidRPr="00723838" w:rsidRDefault="00472C18" w:rsidP="00864D75">
      <w:pPr>
        <w:pStyle w:val="PlainText"/>
        <w:spacing w:line="480" w:lineRule="auto"/>
        <w:ind w:right="-288"/>
        <w:jc w:val="center"/>
        <w:rPr>
          <w:rFonts w:ascii="Times New Roman" w:hAnsi="Times New Roman" w:cs="Times New Roman"/>
          <w:b/>
          <w:sz w:val="28"/>
          <w:szCs w:val="28"/>
        </w:rPr>
      </w:pPr>
      <w:r w:rsidRPr="00723838">
        <w:rPr>
          <w:rFonts w:ascii="Times New Roman" w:hAnsi="Times New Roman" w:cs="Times New Roman"/>
          <w:b/>
          <w:sz w:val="28"/>
          <w:szCs w:val="28"/>
        </w:rPr>
        <w:t>Conclusion</w:t>
      </w:r>
    </w:p>
    <w:p w14:paraId="1AC52B64" w14:textId="6220E966" w:rsidR="006153C4" w:rsidRPr="00723838" w:rsidRDefault="00C2787B" w:rsidP="00806384">
      <w:pPr>
        <w:pStyle w:val="PlainText"/>
        <w:spacing w:line="480" w:lineRule="auto"/>
        <w:ind w:firstLine="720"/>
        <w:jc w:val="both"/>
        <w:rPr>
          <w:rFonts w:ascii="Times New Roman" w:hAnsi="Times New Roman" w:cs="Times New Roman"/>
          <w:sz w:val="28"/>
          <w:szCs w:val="28"/>
        </w:rPr>
      </w:pPr>
      <w:r w:rsidRPr="00723838">
        <w:rPr>
          <w:rFonts w:ascii="Times New Roman" w:hAnsi="Times New Roman" w:cs="Times New Roman"/>
          <w:sz w:val="28"/>
          <w:szCs w:val="28"/>
        </w:rPr>
        <w:t xml:space="preserve">This rule-change proposal is not intended to weigh into </w:t>
      </w:r>
      <w:r w:rsidR="0015608B" w:rsidRPr="00723838">
        <w:rPr>
          <w:rFonts w:ascii="Times New Roman" w:hAnsi="Times New Roman" w:cs="Times New Roman"/>
          <w:sz w:val="28"/>
          <w:szCs w:val="28"/>
        </w:rPr>
        <w:t xml:space="preserve">or reignite the debate over </w:t>
      </w:r>
      <w:r w:rsidRPr="00723838">
        <w:rPr>
          <w:rFonts w:ascii="Times New Roman" w:hAnsi="Times New Roman" w:cs="Times New Roman"/>
          <w:sz w:val="28"/>
          <w:szCs w:val="28"/>
        </w:rPr>
        <w:t xml:space="preserve">whether medical marijuana should be allowed or continued, or whether marijuana </w:t>
      </w:r>
      <w:r w:rsidR="00C076C0" w:rsidRPr="00723838">
        <w:rPr>
          <w:rFonts w:ascii="Times New Roman" w:hAnsi="Times New Roman" w:cs="Times New Roman"/>
          <w:sz w:val="28"/>
          <w:szCs w:val="28"/>
        </w:rPr>
        <w:t xml:space="preserve">otherwise </w:t>
      </w:r>
      <w:r w:rsidRPr="00723838">
        <w:rPr>
          <w:rFonts w:ascii="Times New Roman" w:hAnsi="Times New Roman" w:cs="Times New Roman"/>
          <w:sz w:val="28"/>
          <w:szCs w:val="28"/>
        </w:rPr>
        <w:t xml:space="preserve">should be decriminalized. </w:t>
      </w:r>
      <w:r w:rsidR="00BD348F" w:rsidRPr="00723838">
        <w:rPr>
          <w:rFonts w:ascii="Times New Roman" w:hAnsi="Times New Roman" w:cs="Times New Roman"/>
          <w:sz w:val="28"/>
          <w:szCs w:val="28"/>
        </w:rPr>
        <w:t xml:space="preserve"> Amending ER 1.2(d) as proposed </w:t>
      </w:r>
      <w:r w:rsidR="00806384" w:rsidRPr="00723838">
        <w:rPr>
          <w:rFonts w:ascii="Times New Roman" w:hAnsi="Times New Roman" w:cs="Times New Roman"/>
          <w:sz w:val="28"/>
          <w:szCs w:val="28"/>
        </w:rPr>
        <w:t>also of course would not affect the federal government’s ability to prosecute</w:t>
      </w:r>
      <w:r w:rsidR="001E0E4D" w:rsidRPr="00723838">
        <w:rPr>
          <w:rFonts w:ascii="Times New Roman" w:hAnsi="Times New Roman" w:cs="Times New Roman"/>
          <w:sz w:val="28"/>
          <w:szCs w:val="28"/>
        </w:rPr>
        <w:t xml:space="preserve"> drug-law violations</w:t>
      </w:r>
      <w:r w:rsidR="005060AD">
        <w:rPr>
          <w:rFonts w:ascii="Times New Roman" w:hAnsi="Times New Roman" w:cs="Times New Roman"/>
          <w:sz w:val="28"/>
          <w:szCs w:val="28"/>
        </w:rPr>
        <w:t xml:space="preserve">, even against lawyers. </w:t>
      </w:r>
      <w:r w:rsidRPr="00723838">
        <w:rPr>
          <w:rFonts w:ascii="Times New Roman" w:hAnsi="Times New Roman" w:cs="Times New Roman"/>
          <w:sz w:val="28"/>
          <w:szCs w:val="28"/>
        </w:rPr>
        <w:t xml:space="preserve">This proposed rule change </w:t>
      </w:r>
      <w:r w:rsidR="00806384" w:rsidRPr="00723838">
        <w:rPr>
          <w:rFonts w:ascii="Times New Roman" w:hAnsi="Times New Roman" w:cs="Times New Roman"/>
          <w:sz w:val="28"/>
          <w:szCs w:val="28"/>
        </w:rPr>
        <w:t xml:space="preserve">simply </w:t>
      </w:r>
      <w:r w:rsidR="00245D8F" w:rsidRPr="00723838">
        <w:rPr>
          <w:rFonts w:ascii="Times New Roman" w:hAnsi="Times New Roman" w:cs="Times New Roman"/>
          <w:sz w:val="28"/>
          <w:szCs w:val="28"/>
        </w:rPr>
        <w:t xml:space="preserve">recognizes existing reality </w:t>
      </w:r>
      <w:r w:rsidR="00030160" w:rsidRPr="00723838">
        <w:rPr>
          <w:rFonts w:ascii="Times New Roman" w:hAnsi="Times New Roman" w:cs="Times New Roman"/>
          <w:sz w:val="28"/>
          <w:szCs w:val="28"/>
        </w:rPr>
        <w:t>—</w:t>
      </w:r>
      <w:r w:rsidR="00806384" w:rsidRPr="00723838">
        <w:rPr>
          <w:rFonts w:ascii="Times New Roman" w:hAnsi="Times New Roman" w:cs="Times New Roman"/>
          <w:sz w:val="28"/>
          <w:szCs w:val="28"/>
        </w:rPr>
        <w:t xml:space="preserve"> </w:t>
      </w:r>
      <w:r w:rsidR="001E0E4D" w:rsidRPr="00723838">
        <w:rPr>
          <w:rFonts w:ascii="Times New Roman" w:hAnsi="Times New Roman" w:cs="Times New Roman"/>
          <w:sz w:val="28"/>
          <w:szCs w:val="28"/>
        </w:rPr>
        <w:t>m</w:t>
      </w:r>
      <w:r w:rsidR="00806384" w:rsidRPr="00723838">
        <w:rPr>
          <w:rFonts w:ascii="Times New Roman" w:hAnsi="Times New Roman" w:cs="Times New Roman"/>
          <w:sz w:val="28"/>
          <w:szCs w:val="28"/>
        </w:rPr>
        <w:t xml:space="preserve">edical marijuana is currently permitted under state law </w:t>
      </w:r>
      <w:r w:rsidR="00030160" w:rsidRPr="00723838">
        <w:rPr>
          <w:rFonts w:ascii="Times New Roman" w:hAnsi="Times New Roman" w:cs="Times New Roman"/>
          <w:sz w:val="28"/>
          <w:szCs w:val="28"/>
        </w:rPr>
        <w:t>—</w:t>
      </w:r>
      <w:r w:rsidR="00806384" w:rsidRPr="00723838">
        <w:rPr>
          <w:rFonts w:ascii="Times New Roman" w:hAnsi="Times New Roman" w:cs="Times New Roman"/>
          <w:sz w:val="28"/>
          <w:szCs w:val="28"/>
        </w:rPr>
        <w:t xml:space="preserve"> </w:t>
      </w:r>
      <w:r w:rsidR="00245D8F" w:rsidRPr="00723838">
        <w:rPr>
          <w:rFonts w:ascii="Times New Roman" w:hAnsi="Times New Roman" w:cs="Times New Roman"/>
          <w:sz w:val="28"/>
          <w:szCs w:val="28"/>
        </w:rPr>
        <w:t xml:space="preserve">and </w:t>
      </w:r>
      <w:r w:rsidRPr="00723838">
        <w:rPr>
          <w:rFonts w:ascii="Times New Roman" w:hAnsi="Times New Roman" w:cs="Times New Roman"/>
          <w:sz w:val="28"/>
          <w:szCs w:val="28"/>
        </w:rPr>
        <w:t xml:space="preserve">is </w:t>
      </w:r>
      <w:r w:rsidR="00C076C0" w:rsidRPr="00723838">
        <w:rPr>
          <w:rFonts w:ascii="Times New Roman" w:hAnsi="Times New Roman" w:cs="Times New Roman"/>
          <w:sz w:val="28"/>
          <w:szCs w:val="28"/>
        </w:rPr>
        <w:t xml:space="preserve">offered </w:t>
      </w:r>
      <w:r w:rsidRPr="00723838">
        <w:rPr>
          <w:rFonts w:ascii="Times New Roman" w:hAnsi="Times New Roman" w:cs="Times New Roman"/>
          <w:sz w:val="28"/>
          <w:szCs w:val="28"/>
        </w:rPr>
        <w:t>to provide certainty</w:t>
      </w:r>
      <w:r w:rsidR="001E0E4D" w:rsidRPr="00723838">
        <w:rPr>
          <w:rFonts w:ascii="Times New Roman" w:hAnsi="Times New Roman" w:cs="Times New Roman"/>
          <w:sz w:val="28"/>
          <w:szCs w:val="28"/>
        </w:rPr>
        <w:t xml:space="preserve"> and transparency</w:t>
      </w:r>
      <w:r w:rsidRPr="00723838">
        <w:rPr>
          <w:rFonts w:ascii="Times New Roman" w:hAnsi="Times New Roman" w:cs="Times New Roman"/>
          <w:sz w:val="28"/>
          <w:szCs w:val="28"/>
        </w:rPr>
        <w:t xml:space="preserve"> to lawyers about their ethical role in advising and assisting clients about activities falling within permissible state law</w:t>
      </w:r>
      <w:r w:rsidR="00245D8F" w:rsidRPr="00723838">
        <w:rPr>
          <w:rFonts w:ascii="Times New Roman" w:hAnsi="Times New Roman" w:cs="Times New Roman"/>
          <w:sz w:val="28"/>
          <w:szCs w:val="28"/>
        </w:rPr>
        <w:t>.</w:t>
      </w:r>
    </w:p>
    <w:p w14:paraId="49362D3C" w14:textId="3FE8A64F" w:rsidR="00EB3C34" w:rsidRDefault="00806384" w:rsidP="00CC0B6A">
      <w:pPr>
        <w:pStyle w:val="PlainText"/>
        <w:spacing w:line="480" w:lineRule="auto"/>
        <w:ind w:firstLine="720"/>
        <w:jc w:val="both"/>
        <w:rPr>
          <w:rFonts w:ascii="Times New Roman" w:hAnsi="Times New Roman" w:cs="Times New Roman"/>
          <w:sz w:val="28"/>
          <w:szCs w:val="28"/>
        </w:rPr>
      </w:pPr>
      <w:r w:rsidRPr="00723838">
        <w:rPr>
          <w:rFonts w:ascii="Times New Roman" w:hAnsi="Times New Roman" w:cs="Times New Roman"/>
          <w:sz w:val="28"/>
          <w:szCs w:val="28"/>
        </w:rPr>
        <w:t xml:space="preserve">Our ethical rules should clearly state </w:t>
      </w:r>
      <w:r w:rsidR="006153C4" w:rsidRPr="00723838">
        <w:rPr>
          <w:rFonts w:ascii="Times New Roman" w:hAnsi="Times New Roman" w:cs="Times New Roman"/>
          <w:sz w:val="28"/>
          <w:szCs w:val="28"/>
        </w:rPr>
        <w:t>the Court’</w:t>
      </w:r>
      <w:r w:rsidR="009F1C78" w:rsidRPr="00723838">
        <w:rPr>
          <w:rFonts w:ascii="Times New Roman" w:hAnsi="Times New Roman" w:cs="Times New Roman"/>
          <w:sz w:val="28"/>
          <w:szCs w:val="28"/>
        </w:rPr>
        <w:t>s expectations of lawyers</w:t>
      </w:r>
      <w:r w:rsidR="00B009F0" w:rsidRPr="00723838">
        <w:rPr>
          <w:rFonts w:ascii="Times New Roman" w:hAnsi="Times New Roman" w:cs="Times New Roman"/>
          <w:sz w:val="28"/>
          <w:szCs w:val="28"/>
        </w:rPr>
        <w:t>. If ER 1.2(d) does not apply to the medic</w:t>
      </w:r>
      <w:r w:rsidR="00E31A40" w:rsidRPr="00723838">
        <w:rPr>
          <w:rFonts w:ascii="Times New Roman" w:hAnsi="Times New Roman" w:cs="Times New Roman"/>
          <w:sz w:val="28"/>
          <w:szCs w:val="28"/>
        </w:rPr>
        <w:t xml:space="preserve">al-marijuana situation, then the rule </w:t>
      </w:r>
      <w:r w:rsidR="00B009F0" w:rsidRPr="00723838">
        <w:rPr>
          <w:rFonts w:ascii="Times New Roman" w:hAnsi="Times New Roman" w:cs="Times New Roman"/>
          <w:sz w:val="28"/>
          <w:szCs w:val="28"/>
        </w:rPr>
        <w:t>should be amended to say so</w:t>
      </w:r>
      <w:r w:rsidR="009F1C78" w:rsidRPr="00723838">
        <w:rPr>
          <w:rFonts w:ascii="Times New Roman" w:hAnsi="Times New Roman" w:cs="Times New Roman"/>
          <w:sz w:val="28"/>
          <w:szCs w:val="28"/>
        </w:rPr>
        <w:t xml:space="preserve">. </w:t>
      </w:r>
      <w:r w:rsidR="00E31A40" w:rsidRPr="00723838">
        <w:rPr>
          <w:rFonts w:ascii="Times New Roman" w:hAnsi="Times New Roman" w:cs="Times New Roman"/>
          <w:sz w:val="28"/>
          <w:szCs w:val="28"/>
        </w:rPr>
        <w:t>At a minimum, i</w:t>
      </w:r>
      <w:r w:rsidR="00B009F0" w:rsidRPr="00723838">
        <w:rPr>
          <w:rFonts w:ascii="Times New Roman" w:hAnsi="Times New Roman" w:cs="Times New Roman"/>
          <w:sz w:val="28"/>
          <w:szCs w:val="28"/>
        </w:rPr>
        <w:t>f the Court chooses not to amend ER 1.2(d)</w:t>
      </w:r>
      <w:r w:rsidR="00EB3C34">
        <w:rPr>
          <w:rFonts w:ascii="Times New Roman" w:hAnsi="Times New Roman" w:cs="Times New Roman"/>
          <w:sz w:val="28"/>
          <w:szCs w:val="28"/>
        </w:rPr>
        <w:t xml:space="preserve"> </w:t>
      </w:r>
      <w:r w:rsidR="00EB3C34" w:rsidRPr="00723838">
        <w:rPr>
          <w:rFonts w:ascii="Times New Roman" w:hAnsi="Times New Roman" w:cs="Times New Roman"/>
          <w:sz w:val="28"/>
          <w:szCs w:val="28"/>
        </w:rPr>
        <w:t xml:space="preserve">— </w:t>
      </w:r>
      <w:r w:rsidR="00EB3C34">
        <w:rPr>
          <w:rFonts w:ascii="Times New Roman" w:hAnsi="Times New Roman" w:cs="Times New Roman"/>
          <w:sz w:val="28"/>
          <w:szCs w:val="28"/>
        </w:rPr>
        <w:t xml:space="preserve">either as proposed in this petition or, perhaps, limited to the medical-marijuana scenario </w:t>
      </w:r>
      <w:r w:rsidR="00EB3C34" w:rsidRPr="00723838">
        <w:rPr>
          <w:rFonts w:ascii="Times New Roman" w:hAnsi="Times New Roman" w:cs="Times New Roman"/>
          <w:sz w:val="28"/>
          <w:szCs w:val="28"/>
        </w:rPr>
        <w:t xml:space="preserve">— </w:t>
      </w:r>
      <w:r w:rsidR="009F1C78" w:rsidRPr="00723838">
        <w:rPr>
          <w:rFonts w:ascii="Times New Roman" w:hAnsi="Times New Roman" w:cs="Times New Roman"/>
          <w:sz w:val="28"/>
          <w:szCs w:val="28"/>
        </w:rPr>
        <w:t>it would be helpful</w:t>
      </w:r>
      <w:r w:rsidR="00EB3C34">
        <w:rPr>
          <w:rFonts w:ascii="Times New Roman" w:hAnsi="Times New Roman" w:cs="Times New Roman"/>
          <w:sz w:val="28"/>
          <w:szCs w:val="28"/>
        </w:rPr>
        <w:t xml:space="preserve"> </w:t>
      </w:r>
      <w:r w:rsidR="00B009F0" w:rsidRPr="00723838">
        <w:rPr>
          <w:rFonts w:ascii="Times New Roman" w:hAnsi="Times New Roman" w:cs="Times New Roman"/>
          <w:sz w:val="28"/>
          <w:szCs w:val="28"/>
        </w:rPr>
        <w:t xml:space="preserve">for the Court to </w:t>
      </w:r>
      <w:r w:rsidR="001E0E4D" w:rsidRPr="00723838">
        <w:rPr>
          <w:rFonts w:ascii="Times New Roman" w:hAnsi="Times New Roman" w:cs="Times New Roman"/>
          <w:sz w:val="28"/>
          <w:szCs w:val="28"/>
        </w:rPr>
        <w:t xml:space="preserve">explain </w:t>
      </w:r>
      <w:r w:rsidR="00B009F0" w:rsidRPr="00723838">
        <w:rPr>
          <w:rFonts w:ascii="Times New Roman" w:hAnsi="Times New Roman" w:cs="Times New Roman"/>
          <w:sz w:val="28"/>
          <w:szCs w:val="28"/>
        </w:rPr>
        <w:t xml:space="preserve">why </w:t>
      </w:r>
      <w:r w:rsidR="00EB3C34">
        <w:rPr>
          <w:rFonts w:ascii="Times New Roman" w:hAnsi="Times New Roman" w:cs="Times New Roman"/>
          <w:sz w:val="28"/>
          <w:szCs w:val="28"/>
        </w:rPr>
        <w:t>ER 1.2(d) does not apply.</w:t>
      </w:r>
    </w:p>
    <w:p w14:paraId="69168CD6" w14:textId="77777777" w:rsidR="00EB3C34" w:rsidRDefault="00EB3C34" w:rsidP="00CC0B6A">
      <w:pPr>
        <w:pStyle w:val="PlainText"/>
        <w:spacing w:line="480" w:lineRule="auto"/>
        <w:ind w:firstLine="720"/>
        <w:jc w:val="both"/>
        <w:rPr>
          <w:rFonts w:ascii="Times New Roman" w:hAnsi="Times New Roman" w:cs="Times New Roman"/>
          <w:sz w:val="28"/>
          <w:szCs w:val="28"/>
        </w:rPr>
      </w:pPr>
      <w:bookmarkStart w:id="0" w:name="_GoBack"/>
      <w:bookmarkEnd w:id="0"/>
    </w:p>
    <w:p w14:paraId="4526859B" w14:textId="77777777" w:rsidR="00EB3C34" w:rsidRPr="00723838" w:rsidRDefault="00EB3C34" w:rsidP="00EB3C34">
      <w:pPr>
        <w:pStyle w:val="PlainText"/>
        <w:spacing w:line="480" w:lineRule="auto"/>
        <w:jc w:val="both"/>
        <w:rPr>
          <w:rFonts w:ascii="Times New Roman" w:hAnsi="Times New Roman" w:cs="Times New Roman"/>
          <w:sz w:val="28"/>
          <w:szCs w:val="28"/>
        </w:rPr>
      </w:pPr>
    </w:p>
    <w:p w14:paraId="30E4F198" w14:textId="04DCE977" w:rsidR="00472C18" w:rsidRPr="00723838" w:rsidRDefault="00472C18" w:rsidP="0060070E">
      <w:pPr>
        <w:spacing w:line="480" w:lineRule="auto"/>
        <w:ind w:right="18" w:firstLine="720"/>
        <w:jc w:val="both"/>
        <w:rPr>
          <w:color w:val="000000"/>
          <w:sz w:val="28"/>
          <w:szCs w:val="28"/>
        </w:rPr>
      </w:pPr>
      <w:r w:rsidRPr="00723838">
        <w:rPr>
          <w:color w:val="000000"/>
          <w:sz w:val="28"/>
          <w:szCs w:val="28"/>
        </w:rPr>
        <w:lastRenderedPageBreak/>
        <w:t>R</w:t>
      </w:r>
      <w:r w:rsidR="00723838">
        <w:rPr>
          <w:color w:val="000000"/>
          <w:sz w:val="28"/>
          <w:szCs w:val="28"/>
        </w:rPr>
        <w:t xml:space="preserve">espectfully submitted </w:t>
      </w:r>
      <w:r w:rsidRPr="00723838">
        <w:rPr>
          <w:color w:val="000000"/>
          <w:sz w:val="28"/>
          <w:szCs w:val="28"/>
        </w:rPr>
        <w:t xml:space="preserve">January </w:t>
      </w:r>
      <w:r w:rsidR="00857CE6" w:rsidRPr="00723838">
        <w:rPr>
          <w:color w:val="000000"/>
          <w:sz w:val="28"/>
          <w:szCs w:val="28"/>
        </w:rPr>
        <w:t>10</w:t>
      </w:r>
      <w:r w:rsidR="009F1C78" w:rsidRPr="00723838">
        <w:rPr>
          <w:color w:val="000000"/>
          <w:sz w:val="28"/>
          <w:szCs w:val="28"/>
        </w:rPr>
        <w:t>, 2018</w:t>
      </w:r>
      <w:r w:rsidRPr="00723838">
        <w:rPr>
          <w:color w:val="000000"/>
          <w:sz w:val="28"/>
          <w:szCs w:val="28"/>
        </w:rPr>
        <w:t>.</w:t>
      </w:r>
    </w:p>
    <w:p w14:paraId="5A1534CD" w14:textId="77777777" w:rsidR="00472C18" w:rsidRPr="00723838" w:rsidRDefault="00472C18" w:rsidP="0060070E">
      <w:pPr>
        <w:spacing w:line="480" w:lineRule="auto"/>
        <w:ind w:right="18"/>
        <w:jc w:val="both"/>
        <w:rPr>
          <w:color w:val="000000"/>
          <w:sz w:val="28"/>
          <w:szCs w:val="28"/>
        </w:rPr>
      </w:pPr>
    </w:p>
    <w:p w14:paraId="1DFB54EC" w14:textId="77777777" w:rsidR="00BD348F" w:rsidRPr="00723838" w:rsidRDefault="00BD348F" w:rsidP="0060070E">
      <w:pPr>
        <w:spacing w:line="480" w:lineRule="auto"/>
        <w:ind w:right="18"/>
        <w:jc w:val="both"/>
        <w:rPr>
          <w:color w:val="000000"/>
          <w:sz w:val="28"/>
          <w:szCs w:val="28"/>
        </w:rPr>
      </w:pPr>
    </w:p>
    <w:p w14:paraId="7A977B7A" w14:textId="77777777" w:rsidR="00472C18" w:rsidRPr="00723838" w:rsidRDefault="00472C18" w:rsidP="0015608B">
      <w:pPr>
        <w:ind w:left="4770" w:right="18" w:hanging="450"/>
        <w:jc w:val="both"/>
        <w:rPr>
          <w:color w:val="000000"/>
          <w:sz w:val="28"/>
          <w:szCs w:val="28"/>
          <w:u w:val="single"/>
        </w:rPr>
      </w:pPr>
      <w:r w:rsidRPr="00723838">
        <w:rPr>
          <w:color w:val="000000"/>
          <w:sz w:val="28"/>
          <w:szCs w:val="28"/>
        </w:rPr>
        <w:t xml:space="preserve">By  </w:t>
      </w:r>
      <w:r w:rsidRPr="00723838">
        <w:rPr>
          <w:color w:val="000000"/>
          <w:sz w:val="28"/>
          <w:szCs w:val="28"/>
          <w:u w:val="single"/>
        </w:rPr>
        <w:tab/>
      </w:r>
      <w:r w:rsidRPr="00723838">
        <w:rPr>
          <w:color w:val="000000"/>
          <w:sz w:val="28"/>
          <w:szCs w:val="28"/>
          <w:u w:val="single"/>
        </w:rPr>
        <w:tab/>
      </w:r>
      <w:r w:rsidRPr="00723838">
        <w:rPr>
          <w:color w:val="000000"/>
          <w:sz w:val="28"/>
          <w:szCs w:val="28"/>
          <w:u w:val="single"/>
        </w:rPr>
        <w:tab/>
      </w:r>
      <w:r w:rsidRPr="00723838">
        <w:rPr>
          <w:color w:val="000000"/>
          <w:sz w:val="28"/>
          <w:szCs w:val="28"/>
          <w:u w:val="single"/>
        </w:rPr>
        <w:tab/>
      </w:r>
      <w:r w:rsidRPr="00723838">
        <w:rPr>
          <w:color w:val="000000"/>
          <w:sz w:val="28"/>
          <w:szCs w:val="28"/>
          <w:u w:val="single"/>
        </w:rPr>
        <w:tab/>
      </w:r>
      <w:r w:rsidRPr="00723838">
        <w:rPr>
          <w:color w:val="000000"/>
          <w:sz w:val="28"/>
          <w:szCs w:val="28"/>
          <w:u w:val="single"/>
        </w:rPr>
        <w:tab/>
      </w:r>
    </w:p>
    <w:p w14:paraId="206903D0" w14:textId="77777777" w:rsidR="00472C18" w:rsidRPr="00723838" w:rsidRDefault="00472C18" w:rsidP="0015608B">
      <w:pPr>
        <w:ind w:left="4766" w:right="14"/>
        <w:jc w:val="both"/>
        <w:rPr>
          <w:color w:val="000000"/>
          <w:sz w:val="28"/>
          <w:szCs w:val="28"/>
        </w:rPr>
      </w:pPr>
      <w:r w:rsidRPr="00723838">
        <w:rPr>
          <w:color w:val="000000"/>
          <w:sz w:val="28"/>
          <w:szCs w:val="28"/>
        </w:rPr>
        <w:t>Patricia A. Sallen</w:t>
      </w:r>
    </w:p>
    <w:p w14:paraId="77C40C37" w14:textId="77777777" w:rsidR="00472C18" w:rsidRPr="00723838" w:rsidRDefault="00472C18" w:rsidP="0015608B">
      <w:pPr>
        <w:ind w:left="4766" w:right="14"/>
        <w:jc w:val="both"/>
        <w:rPr>
          <w:color w:val="000000"/>
          <w:sz w:val="28"/>
          <w:szCs w:val="28"/>
        </w:rPr>
      </w:pPr>
      <w:r w:rsidRPr="00723838">
        <w:rPr>
          <w:color w:val="000000"/>
          <w:sz w:val="28"/>
          <w:szCs w:val="28"/>
        </w:rPr>
        <w:t>Attorney at Law</w:t>
      </w:r>
    </w:p>
    <w:p w14:paraId="37158906" w14:textId="77777777" w:rsidR="0015608B" w:rsidRPr="00723838" w:rsidRDefault="0015608B" w:rsidP="00CC0B6A">
      <w:pPr>
        <w:ind w:right="14"/>
        <w:jc w:val="both"/>
        <w:rPr>
          <w:color w:val="000000"/>
          <w:sz w:val="28"/>
          <w:szCs w:val="28"/>
        </w:rPr>
      </w:pPr>
    </w:p>
    <w:p w14:paraId="78C95902" w14:textId="77777777" w:rsidR="00CC0B6A" w:rsidRPr="00723838" w:rsidRDefault="00CC0B6A" w:rsidP="0060070E">
      <w:pPr>
        <w:spacing w:line="480" w:lineRule="auto"/>
        <w:jc w:val="both"/>
        <w:rPr>
          <w:sz w:val="28"/>
          <w:szCs w:val="28"/>
        </w:rPr>
      </w:pPr>
    </w:p>
    <w:sectPr w:rsidR="00CC0B6A" w:rsidRPr="00723838"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69302" w14:textId="77777777" w:rsidR="00ED3424" w:rsidRDefault="00ED3424" w:rsidP="007B1902">
      <w:r>
        <w:separator/>
      </w:r>
    </w:p>
  </w:endnote>
  <w:endnote w:type="continuationSeparator" w:id="0">
    <w:p w14:paraId="18A9537D" w14:textId="77777777" w:rsidR="00ED3424" w:rsidRDefault="00ED3424"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353DFA">
          <w:rPr>
            <w:sz w:val="28"/>
            <w:szCs w:val="28"/>
          </w:rPr>
          <w:fldChar w:fldCharType="begin"/>
        </w:r>
        <w:r w:rsidRPr="00353DFA">
          <w:rPr>
            <w:sz w:val="28"/>
            <w:szCs w:val="28"/>
          </w:rPr>
          <w:instrText xml:space="preserve"> PAGE   \* MERGEFORMAT </w:instrText>
        </w:r>
        <w:r w:rsidRPr="00353DFA">
          <w:rPr>
            <w:sz w:val="28"/>
            <w:szCs w:val="28"/>
          </w:rPr>
          <w:fldChar w:fldCharType="separate"/>
        </w:r>
        <w:r w:rsidR="00EB3C34">
          <w:rPr>
            <w:noProof/>
            <w:sz w:val="28"/>
            <w:szCs w:val="28"/>
          </w:rPr>
          <w:t>10</w:t>
        </w:r>
        <w:r w:rsidRPr="00353DFA">
          <w:rPr>
            <w:noProof/>
            <w:sz w:val="28"/>
            <w:szCs w:val="28"/>
          </w:rPr>
          <w:fldChar w:fldCharType="end"/>
        </w:r>
      </w:p>
    </w:sdtContent>
  </w:sdt>
  <w:p w14:paraId="1993E566" w14:textId="77777777" w:rsidR="00AA0A3C" w:rsidRDefault="00AA0A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7CF7" w14:textId="77777777" w:rsidR="00ED3424" w:rsidRDefault="00ED3424" w:rsidP="007B1902">
      <w:r>
        <w:separator/>
      </w:r>
    </w:p>
  </w:footnote>
  <w:footnote w:type="continuationSeparator" w:id="0">
    <w:p w14:paraId="107FAE05" w14:textId="77777777" w:rsidR="00ED3424" w:rsidRDefault="00ED3424" w:rsidP="007B1902">
      <w:r>
        <w:continuationSeparator/>
      </w:r>
    </w:p>
  </w:footnote>
  <w:footnote w:id="1">
    <w:p w14:paraId="045173BA" w14:textId="535637EC" w:rsidR="00E45DA2" w:rsidRPr="00ED661D" w:rsidRDefault="00E45DA2" w:rsidP="001D035E">
      <w:pPr>
        <w:pStyle w:val="FootnoteText"/>
        <w:jc w:val="both"/>
        <w:rPr>
          <w:color w:val="000000"/>
          <w:sz w:val="28"/>
          <w:szCs w:val="28"/>
        </w:rPr>
      </w:pPr>
      <w:r w:rsidRPr="00ED661D">
        <w:rPr>
          <w:rStyle w:val="FootnoteReference"/>
          <w:sz w:val="28"/>
          <w:szCs w:val="28"/>
          <w:vertAlign w:val="superscript"/>
        </w:rPr>
        <w:footnoteRef/>
      </w:r>
      <w:r w:rsidRPr="00ED661D">
        <w:rPr>
          <w:sz w:val="28"/>
          <w:szCs w:val="28"/>
          <w:vertAlign w:val="superscript"/>
        </w:rPr>
        <w:t xml:space="preserve"> </w:t>
      </w:r>
      <w:r w:rsidRPr="00ED661D">
        <w:rPr>
          <w:color w:val="000000"/>
          <w:sz w:val="28"/>
          <w:szCs w:val="28"/>
        </w:rPr>
        <w:t xml:space="preserve">October 19, 2009, memorandum from David W. Ogden, Deputy Attorney General, to selected United States Attorneys, available </w:t>
      </w:r>
      <w:r w:rsidR="001D035E">
        <w:rPr>
          <w:color w:val="000000"/>
          <w:sz w:val="28"/>
          <w:szCs w:val="28"/>
        </w:rPr>
        <w:t>at</w:t>
      </w:r>
    </w:p>
    <w:p w14:paraId="662AFD31" w14:textId="2EEFC179" w:rsidR="00E45DA2" w:rsidRDefault="00E45DA2" w:rsidP="001D035E">
      <w:pPr>
        <w:pStyle w:val="FootnoteText"/>
      </w:pPr>
      <w:r w:rsidRPr="00ED661D">
        <w:rPr>
          <w:color w:val="000000"/>
          <w:sz w:val="28"/>
          <w:szCs w:val="28"/>
        </w:rPr>
        <w:t>https://www.justice.gov/archives/opa/blog/memorandum-selected-united-state-attorneys-investigations-and-prosecutions-states</w:t>
      </w:r>
    </w:p>
  </w:footnote>
  <w:footnote w:id="2">
    <w:p w14:paraId="2C6EF4CA" w14:textId="59F66BCA" w:rsidR="00ED661D" w:rsidRPr="00ED661D" w:rsidRDefault="00ED661D" w:rsidP="001D035E">
      <w:pPr>
        <w:pStyle w:val="FootnoteText"/>
        <w:rPr>
          <w:sz w:val="28"/>
          <w:szCs w:val="28"/>
        </w:rPr>
      </w:pPr>
      <w:r w:rsidRPr="00ED661D">
        <w:rPr>
          <w:rStyle w:val="FootnoteReference"/>
          <w:sz w:val="28"/>
          <w:szCs w:val="28"/>
          <w:vertAlign w:val="superscript"/>
        </w:rPr>
        <w:footnoteRef/>
      </w:r>
      <w:r w:rsidRPr="00ED661D">
        <w:rPr>
          <w:sz w:val="28"/>
          <w:szCs w:val="28"/>
          <w:vertAlign w:val="superscript"/>
        </w:rPr>
        <w:t xml:space="preserve"> </w:t>
      </w:r>
      <w:r w:rsidRPr="00ED661D">
        <w:rPr>
          <w:sz w:val="28"/>
          <w:szCs w:val="28"/>
        </w:rPr>
        <w:t>August 29, 2013, memorandum from James M. Cole, Deputy Attor</w:t>
      </w:r>
      <w:r>
        <w:rPr>
          <w:sz w:val="28"/>
          <w:szCs w:val="28"/>
        </w:rPr>
        <w:t>n</w:t>
      </w:r>
      <w:r w:rsidRPr="00ED661D">
        <w:rPr>
          <w:sz w:val="28"/>
          <w:szCs w:val="28"/>
        </w:rPr>
        <w:t>ey General, to all United States Attorneys, available at https://www.justice.gov/iso/opa/resources/3052013829132756857467.pdf</w:t>
      </w:r>
    </w:p>
  </w:footnote>
  <w:footnote w:id="3">
    <w:p w14:paraId="20825CA1" w14:textId="77777777" w:rsidR="00D40AC6" w:rsidRPr="00F65AD4" w:rsidRDefault="00D40AC6" w:rsidP="00D40AC6">
      <w:pPr>
        <w:pStyle w:val="FootnoteText"/>
        <w:rPr>
          <w:sz w:val="28"/>
        </w:rPr>
      </w:pPr>
      <w:r w:rsidRPr="00F65AD4">
        <w:rPr>
          <w:rStyle w:val="FootnoteReference"/>
          <w:sz w:val="28"/>
          <w:vertAlign w:val="superscript"/>
        </w:rPr>
        <w:footnoteRef/>
      </w:r>
      <w:r w:rsidRPr="00F65AD4">
        <w:rPr>
          <w:sz w:val="28"/>
        </w:rPr>
        <w:t xml:space="preserve"> Oregon’s Rule 1.2(c) substitutes the word “illegal” for “criminal.”</w:t>
      </w:r>
    </w:p>
  </w:footnote>
  <w:footnote w:id="4">
    <w:p w14:paraId="28D9268C" w14:textId="04049AD7" w:rsidR="001E0E4D" w:rsidRDefault="001E0E4D" w:rsidP="001E0E4D">
      <w:pPr>
        <w:pStyle w:val="FootnoteText"/>
      </w:pPr>
      <w:r w:rsidRPr="008976DC">
        <w:rPr>
          <w:rStyle w:val="FootnoteReference"/>
          <w:vertAlign w:val="superscript"/>
        </w:rPr>
        <w:footnoteRef/>
      </w:r>
      <w:r w:rsidRPr="008976DC">
        <w:rPr>
          <w:vertAlign w:val="superscript"/>
        </w:rPr>
        <w:t xml:space="preserve"> </w:t>
      </w:r>
      <w:r w:rsidR="00030160">
        <w:rPr>
          <w:color w:val="000000"/>
          <w:sz w:val="28"/>
          <w:szCs w:val="28"/>
        </w:rPr>
        <w:t>Like Oregon,</w:t>
      </w:r>
      <w:r w:rsidRPr="008976DC">
        <w:rPr>
          <w:color w:val="000000"/>
          <w:sz w:val="28"/>
          <w:szCs w:val="28"/>
        </w:rPr>
        <w:t xml:space="preserve"> Ohio’s Rule 1.2(d) uses the word “illegal” instead of “criminal</w:t>
      </w:r>
      <w:r>
        <w:rPr>
          <w:color w:val="000000"/>
          <w:sz w:val="28"/>
          <w:szCs w:val="28"/>
        </w:rPr>
        <w:t>.</w:t>
      </w:r>
      <w:r w:rsidRPr="008976DC">
        <w:rPr>
          <w:color w:val="000000"/>
          <w:sz w:val="28"/>
          <w:szCs w:val="28"/>
        </w:rPr>
        <w:t>”</w:t>
      </w:r>
    </w:p>
  </w:footnote>
  <w:footnote w:id="5">
    <w:p w14:paraId="1FEF4AF4" w14:textId="77777777" w:rsidR="00E604AE" w:rsidRPr="00245D8F" w:rsidRDefault="00E604AE" w:rsidP="00E604AE">
      <w:pPr>
        <w:pStyle w:val="FootnoteText"/>
        <w:jc w:val="both"/>
        <w:rPr>
          <w:sz w:val="28"/>
        </w:rPr>
      </w:pPr>
      <w:r w:rsidRPr="00245D8F">
        <w:rPr>
          <w:rStyle w:val="FootnoteReference"/>
          <w:vertAlign w:val="superscript"/>
        </w:rPr>
        <w:footnoteRef/>
      </w:r>
      <w:r w:rsidRPr="00245D8F">
        <w:rPr>
          <w:vertAlign w:val="superscript"/>
        </w:rPr>
        <w:t xml:space="preserve"> </w:t>
      </w:r>
      <w:r w:rsidRPr="00245D8F">
        <w:rPr>
          <w:sz w:val="28"/>
        </w:rPr>
        <w:t xml:space="preserve">This would not be the first time </w:t>
      </w:r>
      <w:r>
        <w:rPr>
          <w:sz w:val="28"/>
        </w:rPr>
        <w:t xml:space="preserve">Arizona adopted ethical-rule language from Connecticut. </w:t>
      </w:r>
      <w:r w:rsidRPr="00245D8F">
        <w:rPr>
          <w:i/>
          <w:sz w:val="28"/>
        </w:rPr>
        <w:t>See</w:t>
      </w:r>
      <w:r>
        <w:rPr>
          <w:sz w:val="28"/>
        </w:rPr>
        <w:t xml:space="preserve"> rule-change petition R-11-004, in which the State Bar proposed (and this Court agreed) to adopt clarifying language for ER 1.5(b).</w:t>
      </w:r>
    </w:p>
  </w:footnote>
  <w:footnote w:id="6">
    <w:p w14:paraId="4D87CD5B" w14:textId="216B5EED" w:rsidR="001E0E4D" w:rsidRPr="00043BF9" w:rsidRDefault="001E0E4D" w:rsidP="001E0E4D">
      <w:pPr>
        <w:pStyle w:val="FootnoteText"/>
        <w:jc w:val="both"/>
        <w:rPr>
          <w:sz w:val="24"/>
        </w:rPr>
      </w:pPr>
      <w:r w:rsidRPr="00043BF9">
        <w:rPr>
          <w:rStyle w:val="FootnoteReference"/>
          <w:sz w:val="28"/>
          <w:vertAlign w:val="superscript"/>
        </w:rPr>
        <w:footnoteRef/>
      </w:r>
      <w:r w:rsidRPr="00043BF9">
        <w:rPr>
          <w:sz w:val="28"/>
          <w:vertAlign w:val="superscript"/>
        </w:rPr>
        <w:t xml:space="preserve"> </w:t>
      </w:r>
      <w:r w:rsidRPr="00043BF9">
        <w:rPr>
          <w:i/>
          <w:sz w:val="28"/>
        </w:rPr>
        <w:t>See</w:t>
      </w:r>
      <w:r w:rsidRPr="00043BF9">
        <w:rPr>
          <w:sz w:val="28"/>
        </w:rPr>
        <w:t xml:space="preserve"> Massachusetts “Board of Bar Overseers/Office of Bar Counsel Policy on Medical Marijuana” (</w:t>
      </w:r>
      <w:r w:rsidR="008D138F">
        <w:rPr>
          <w:sz w:val="28"/>
        </w:rPr>
        <w:t xml:space="preserve">available at </w:t>
      </w:r>
      <w:r w:rsidRPr="008D138F">
        <w:rPr>
          <w:sz w:val="28"/>
        </w:rPr>
        <w:t>http://www.mass.gov/obcbbo/marijuana.pdf</w:t>
      </w:r>
      <w:r w:rsidRPr="00043BF9">
        <w:rPr>
          <w:sz w:val="28"/>
        </w:rPr>
        <w:t>) and, for The Florida Bar, “</w:t>
      </w:r>
      <w:r w:rsidRPr="00043BF9">
        <w:rPr>
          <w:bCs/>
          <w:sz w:val="28"/>
          <w:szCs w:val="36"/>
          <w:lang w:val="en"/>
        </w:rPr>
        <w:t>Board adopts medical marijuana advice policy” (</w:t>
      </w:r>
      <w:r w:rsidR="008D138F">
        <w:rPr>
          <w:bCs/>
          <w:sz w:val="28"/>
          <w:szCs w:val="36"/>
          <w:lang w:val="en"/>
        </w:rPr>
        <w:t xml:space="preserve">available at </w:t>
      </w:r>
      <w:r w:rsidRPr="008D138F">
        <w:rPr>
          <w:bCs/>
          <w:sz w:val="28"/>
          <w:szCs w:val="36"/>
          <w:lang w:val="en"/>
        </w:rPr>
        <w:t>http://www.floridabar.org/DIVCOM/JN/jnnews01.nsf/8c9f13012b96736985256aa900624829/575b2ba3c91f53dd85257cf200481980!OpenDocument</w:t>
      </w:r>
      <w:r w:rsidRPr="00043BF9">
        <w:rPr>
          <w:bCs/>
          <w:sz w:val="28"/>
          <w:szCs w:val="36"/>
          <w:lang w:val="e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1"/>
  </w:num>
  <w:num w:numId="6">
    <w:abstractNumId w:val="0"/>
  </w:num>
  <w:num w:numId="7">
    <w:abstractNumId w:val="4"/>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7A"/>
    <w:rsid w:val="0000412D"/>
    <w:rsid w:val="000129DE"/>
    <w:rsid w:val="00013480"/>
    <w:rsid w:val="00015EF8"/>
    <w:rsid w:val="000165CE"/>
    <w:rsid w:val="00021357"/>
    <w:rsid w:val="0002191D"/>
    <w:rsid w:val="00025175"/>
    <w:rsid w:val="0002675D"/>
    <w:rsid w:val="00027B80"/>
    <w:rsid w:val="00030160"/>
    <w:rsid w:val="0003216B"/>
    <w:rsid w:val="000434D0"/>
    <w:rsid w:val="00043BF9"/>
    <w:rsid w:val="00062D8B"/>
    <w:rsid w:val="00064B3B"/>
    <w:rsid w:val="0007020D"/>
    <w:rsid w:val="00082E05"/>
    <w:rsid w:val="00083D7A"/>
    <w:rsid w:val="0008675F"/>
    <w:rsid w:val="00086A2C"/>
    <w:rsid w:val="00092683"/>
    <w:rsid w:val="000C7860"/>
    <w:rsid w:val="000D1B07"/>
    <w:rsid w:val="000D405F"/>
    <w:rsid w:val="000D6713"/>
    <w:rsid w:val="000D78AB"/>
    <w:rsid w:val="000E5E55"/>
    <w:rsid w:val="000F2721"/>
    <w:rsid w:val="000F340F"/>
    <w:rsid w:val="000F6188"/>
    <w:rsid w:val="000F723D"/>
    <w:rsid w:val="00102ADC"/>
    <w:rsid w:val="00116074"/>
    <w:rsid w:val="00116676"/>
    <w:rsid w:val="00136D96"/>
    <w:rsid w:val="001446C1"/>
    <w:rsid w:val="0015608B"/>
    <w:rsid w:val="00156155"/>
    <w:rsid w:val="00162A9E"/>
    <w:rsid w:val="00162ACF"/>
    <w:rsid w:val="00162BC2"/>
    <w:rsid w:val="00162DA6"/>
    <w:rsid w:val="001709B9"/>
    <w:rsid w:val="00170C01"/>
    <w:rsid w:val="00174886"/>
    <w:rsid w:val="00176991"/>
    <w:rsid w:val="00182572"/>
    <w:rsid w:val="00191B7C"/>
    <w:rsid w:val="00191BFD"/>
    <w:rsid w:val="00197F5E"/>
    <w:rsid w:val="001A7EC9"/>
    <w:rsid w:val="001B509F"/>
    <w:rsid w:val="001B7D2B"/>
    <w:rsid w:val="001C31D0"/>
    <w:rsid w:val="001C45C2"/>
    <w:rsid w:val="001C6E50"/>
    <w:rsid w:val="001D035E"/>
    <w:rsid w:val="001D2E70"/>
    <w:rsid w:val="001D41C2"/>
    <w:rsid w:val="001E0E4D"/>
    <w:rsid w:val="001E12C9"/>
    <w:rsid w:val="001E144F"/>
    <w:rsid w:val="001E1475"/>
    <w:rsid w:val="001E37B7"/>
    <w:rsid w:val="001E3BCF"/>
    <w:rsid w:val="001F1128"/>
    <w:rsid w:val="001F40ED"/>
    <w:rsid w:val="001F7E4A"/>
    <w:rsid w:val="00202DB0"/>
    <w:rsid w:val="00210BDE"/>
    <w:rsid w:val="002110DD"/>
    <w:rsid w:val="002170D3"/>
    <w:rsid w:val="00225A67"/>
    <w:rsid w:val="00230115"/>
    <w:rsid w:val="00237115"/>
    <w:rsid w:val="00240548"/>
    <w:rsid w:val="00240A5E"/>
    <w:rsid w:val="00245D8F"/>
    <w:rsid w:val="00263694"/>
    <w:rsid w:val="0026391D"/>
    <w:rsid w:val="0026653A"/>
    <w:rsid w:val="002665A7"/>
    <w:rsid w:val="002750DF"/>
    <w:rsid w:val="00277FEA"/>
    <w:rsid w:val="00284FBD"/>
    <w:rsid w:val="0028522D"/>
    <w:rsid w:val="00286EC4"/>
    <w:rsid w:val="00287BC0"/>
    <w:rsid w:val="00291C6C"/>
    <w:rsid w:val="002941F1"/>
    <w:rsid w:val="00294AD7"/>
    <w:rsid w:val="00294D35"/>
    <w:rsid w:val="00297270"/>
    <w:rsid w:val="00297E31"/>
    <w:rsid w:val="002A7CE6"/>
    <w:rsid w:val="002B1B1F"/>
    <w:rsid w:val="002B7C7E"/>
    <w:rsid w:val="002C4095"/>
    <w:rsid w:val="002C5711"/>
    <w:rsid w:val="002C7394"/>
    <w:rsid w:val="002C7824"/>
    <w:rsid w:val="002D6DCB"/>
    <w:rsid w:val="002E08D2"/>
    <w:rsid w:val="002E0A67"/>
    <w:rsid w:val="002E5402"/>
    <w:rsid w:val="002F2277"/>
    <w:rsid w:val="002F41E8"/>
    <w:rsid w:val="002F4B26"/>
    <w:rsid w:val="002F5D60"/>
    <w:rsid w:val="002F6B54"/>
    <w:rsid w:val="003115EC"/>
    <w:rsid w:val="00315A15"/>
    <w:rsid w:val="003235E1"/>
    <w:rsid w:val="003267A3"/>
    <w:rsid w:val="00336232"/>
    <w:rsid w:val="0034408B"/>
    <w:rsid w:val="00344655"/>
    <w:rsid w:val="00353DFA"/>
    <w:rsid w:val="003640FD"/>
    <w:rsid w:val="003672AB"/>
    <w:rsid w:val="00372CAE"/>
    <w:rsid w:val="00375B35"/>
    <w:rsid w:val="00376CDD"/>
    <w:rsid w:val="0038135C"/>
    <w:rsid w:val="003816DE"/>
    <w:rsid w:val="00383F5C"/>
    <w:rsid w:val="00386B61"/>
    <w:rsid w:val="0039187B"/>
    <w:rsid w:val="00393BA1"/>
    <w:rsid w:val="003A06CC"/>
    <w:rsid w:val="003A098E"/>
    <w:rsid w:val="003A5D69"/>
    <w:rsid w:val="003C0C10"/>
    <w:rsid w:val="003C22D5"/>
    <w:rsid w:val="003D4469"/>
    <w:rsid w:val="003D4BF2"/>
    <w:rsid w:val="003E093F"/>
    <w:rsid w:val="003E1715"/>
    <w:rsid w:val="003E45D1"/>
    <w:rsid w:val="003F46D6"/>
    <w:rsid w:val="003F63EE"/>
    <w:rsid w:val="00401DCA"/>
    <w:rsid w:val="00402DEF"/>
    <w:rsid w:val="0040695C"/>
    <w:rsid w:val="00410B01"/>
    <w:rsid w:val="00414631"/>
    <w:rsid w:val="0042007C"/>
    <w:rsid w:val="00421B56"/>
    <w:rsid w:val="0042356C"/>
    <w:rsid w:val="00426F92"/>
    <w:rsid w:val="00430DF4"/>
    <w:rsid w:val="0043305D"/>
    <w:rsid w:val="00436459"/>
    <w:rsid w:val="00443BB2"/>
    <w:rsid w:val="00451CC7"/>
    <w:rsid w:val="00461060"/>
    <w:rsid w:val="0046218B"/>
    <w:rsid w:val="00465102"/>
    <w:rsid w:val="00466918"/>
    <w:rsid w:val="00466ECC"/>
    <w:rsid w:val="004673EC"/>
    <w:rsid w:val="00472C18"/>
    <w:rsid w:val="00473A50"/>
    <w:rsid w:val="004805F2"/>
    <w:rsid w:val="00482442"/>
    <w:rsid w:val="00493DA5"/>
    <w:rsid w:val="00494378"/>
    <w:rsid w:val="004A1116"/>
    <w:rsid w:val="004A1DA1"/>
    <w:rsid w:val="004B27F7"/>
    <w:rsid w:val="004C0376"/>
    <w:rsid w:val="004D1F8E"/>
    <w:rsid w:val="004D5309"/>
    <w:rsid w:val="004E4130"/>
    <w:rsid w:val="004E68C8"/>
    <w:rsid w:val="004F084A"/>
    <w:rsid w:val="004F514D"/>
    <w:rsid w:val="005007D4"/>
    <w:rsid w:val="00503987"/>
    <w:rsid w:val="005060AD"/>
    <w:rsid w:val="0050664A"/>
    <w:rsid w:val="00514A65"/>
    <w:rsid w:val="0052680E"/>
    <w:rsid w:val="00526CA6"/>
    <w:rsid w:val="0052767A"/>
    <w:rsid w:val="00541978"/>
    <w:rsid w:val="00542C16"/>
    <w:rsid w:val="005448E7"/>
    <w:rsid w:val="005504F6"/>
    <w:rsid w:val="005509BD"/>
    <w:rsid w:val="005532BA"/>
    <w:rsid w:val="00553568"/>
    <w:rsid w:val="00554BF3"/>
    <w:rsid w:val="00560228"/>
    <w:rsid w:val="00560513"/>
    <w:rsid w:val="00561949"/>
    <w:rsid w:val="00562A43"/>
    <w:rsid w:val="00565EF5"/>
    <w:rsid w:val="00567E2B"/>
    <w:rsid w:val="0057145A"/>
    <w:rsid w:val="00575251"/>
    <w:rsid w:val="00576CAF"/>
    <w:rsid w:val="00577254"/>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F0E0B"/>
    <w:rsid w:val="005F1408"/>
    <w:rsid w:val="00600400"/>
    <w:rsid w:val="0060070E"/>
    <w:rsid w:val="00606348"/>
    <w:rsid w:val="00613C70"/>
    <w:rsid w:val="006153C4"/>
    <w:rsid w:val="00624B14"/>
    <w:rsid w:val="00625535"/>
    <w:rsid w:val="00627CC3"/>
    <w:rsid w:val="00636AE7"/>
    <w:rsid w:val="00637A48"/>
    <w:rsid w:val="00642199"/>
    <w:rsid w:val="00644D09"/>
    <w:rsid w:val="00645C22"/>
    <w:rsid w:val="0065723A"/>
    <w:rsid w:val="00660BA4"/>
    <w:rsid w:val="0066148B"/>
    <w:rsid w:val="006641CF"/>
    <w:rsid w:val="0067351B"/>
    <w:rsid w:val="00675A7F"/>
    <w:rsid w:val="00680C65"/>
    <w:rsid w:val="006826A5"/>
    <w:rsid w:val="00685757"/>
    <w:rsid w:val="006934B4"/>
    <w:rsid w:val="006939DF"/>
    <w:rsid w:val="006A7731"/>
    <w:rsid w:val="006B6CE9"/>
    <w:rsid w:val="006C0082"/>
    <w:rsid w:val="006C0BC5"/>
    <w:rsid w:val="006D3DB7"/>
    <w:rsid w:val="006D55AC"/>
    <w:rsid w:val="006D5736"/>
    <w:rsid w:val="006D6DCA"/>
    <w:rsid w:val="006F27C6"/>
    <w:rsid w:val="006F5418"/>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6ADA"/>
    <w:rsid w:val="007B0DA8"/>
    <w:rsid w:val="007B1902"/>
    <w:rsid w:val="007B6CBC"/>
    <w:rsid w:val="007C1076"/>
    <w:rsid w:val="007C19AF"/>
    <w:rsid w:val="007C3DE0"/>
    <w:rsid w:val="007D40B5"/>
    <w:rsid w:val="007D4FE9"/>
    <w:rsid w:val="007D5E7F"/>
    <w:rsid w:val="007E4483"/>
    <w:rsid w:val="007E4C2B"/>
    <w:rsid w:val="00805406"/>
    <w:rsid w:val="00806384"/>
    <w:rsid w:val="00812C56"/>
    <w:rsid w:val="008158A0"/>
    <w:rsid w:val="00824C39"/>
    <w:rsid w:val="00830A61"/>
    <w:rsid w:val="0083612D"/>
    <w:rsid w:val="008403F6"/>
    <w:rsid w:val="008425DF"/>
    <w:rsid w:val="008523FC"/>
    <w:rsid w:val="00852A3E"/>
    <w:rsid w:val="0085745A"/>
    <w:rsid w:val="00857CE6"/>
    <w:rsid w:val="00857FE8"/>
    <w:rsid w:val="0086011A"/>
    <w:rsid w:val="00862988"/>
    <w:rsid w:val="00862F13"/>
    <w:rsid w:val="00864D75"/>
    <w:rsid w:val="008660F2"/>
    <w:rsid w:val="00866C91"/>
    <w:rsid w:val="0086744D"/>
    <w:rsid w:val="00867C08"/>
    <w:rsid w:val="008712FC"/>
    <w:rsid w:val="00882783"/>
    <w:rsid w:val="00887320"/>
    <w:rsid w:val="00890A6C"/>
    <w:rsid w:val="00893B3D"/>
    <w:rsid w:val="00894678"/>
    <w:rsid w:val="00896428"/>
    <w:rsid w:val="008976DC"/>
    <w:rsid w:val="008B14A9"/>
    <w:rsid w:val="008C61E3"/>
    <w:rsid w:val="008C70B4"/>
    <w:rsid w:val="008D138F"/>
    <w:rsid w:val="008D4B51"/>
    <w:rsid w:val="008E14BB"/>
    <w:rsid w:val="008F475F"/>
    <w:rsid w:val="008F6C85"/>
    <w:rsid w:val="0091254C"/>
    <w:rsid w:val="0091506E"/>
    <w:rsid w:val="0091657E"/>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C78"/>
    <w:rsid w:val="00A1796D"/>
    <w:rsid w:val="00A17C23"/>
    <w:rsid w:val="00A20CC6"/>
    <w:rsid w:val="00A22F0B"/>
    <w:rsid w:val="00A25E68"/>
    <w:rsid w:val="00A325A3"/>
    <w:rsid w:val="00A51367"/>
    <w:rsid w:val="00A51609"/>
    <w:rsid w:val="00A57D87"/>
    <w:rsid w:val="00A60403"/>
    <w:rsid w:val="00A645E3"/>
    <w:rsid w:val="00A65893"/>
    <w:rsid w:val="00A65D0D"/>
    <w:rsid w:val="00A70C62"/>
    <w:rsid w:val="00A77882"/>
    <w:rsid w:val="00A81E4D"/>
    <w:rsid w:val="00A86A58"/>
    <w:rsid w:val="00A928E2"/>
    <w:rsid w:val="00A9296D"/>
    <w:rsid w:val="00AA0A3C"/>
    <w:rsid w:val="00AA0EA9"/>
    <w:rsid w:val="00AA296E"/>
    <w:rsid w:val="00AA2A80"/>
    <w:rsid w:val="00AA32F9"/>
    <w:rsid w:val="00AA5713"/>
    <w:rsid w:val="00AB565A"/>
    <w:rsid w:val="00AB6BBE"/>
    <w:rsid w:val="00AB6FEF"/>
    <w:rsid w:val="00AC0454"/>
    <w:rsid w:val="00AC1F88"/>
    <w:rsid w:val="00AC28A4"/>
    <w:rsid w:val="00AC301D"/>
    <w:rsid w:val="00AC6A09"/>
    <w:rsid w:val="00AD4854"/>
    <w:rsid w:val="00AD4D2B"/>
    <w:rsid w:val="00AE0357"/>
    <w:rsid w:val="00AE1476"/>
    <w:rsid w:val="00AF1656"/>
    <w:rsid w:val="00AF50F7"/>
    <w:rsid w:val="00AF6152"/>
    <w:rsid w:val="00AF689A"/>
    <w:rsid w:val="00B009F0"/>
    <w:rsid w:val="00B00C06"/>
    <w:rsid w:val="00B03E1B"/>
    <w:rsid w:val="00B06220"/>
    <w:rsid w:val="00B07C4C"/>
    <w:rsid w:val="00B10F58"/>
    <w:rsid w:val="00B14106"/>
    <w:rsid w:val="00B204AD"/>
    <w:rsid w:val="00B33FBB"/>
    <w:rsid w:val="00B352CC"/>
    <w:rsid w:val="00B36B55"/>
    <w:rsid w:val="00B371C0"/>
    <w:rsid w:val="00B37428"/>
    <w:rsid w:val="00B40811"/>
    <w:rsid w:val="00B422DB"/>
    <w:rsid w:val="00B43CFC"/>
    <w:rsid w:val="00B510B3"/>
    <w:rsid w:val="00B516D7"/>
    <w:rsid w:val="00B53ACF"/>
    <w:rsid w:val="00B61F99"/>
    <w:rsid w:val="00B654E0"/>
    <w:rsid w:val="00B7220C"/>
    <w:rsid w:val="00B73227"/>
    <w:rsid w:val="00B756B6"/>
    <w:rsid w:val="00B80B00"/>
    <w:rsid w:val="00B86175"/>
    <w:rsid w:val="00B959E9"/>
    <w:rsid w:val="00B95C1A"/>
    <w:rsid w:val="00BB0150"/>
    <w:rsid w:val="00BB46D3"/>
    <w:rsid w:val="00BB51B6"/>
    <w:rsid w:val="00BB6F57"/>
    <w:rsid w:val="00BC1932"/>
    <w:rsid w:val="00BD10EE"/>
    <w:rsid w:val="00BD348F"/>
    <w:rsid w:val="00BD36CE"/>
    <w:rsid w:val="00BE127E"/>
    <w:rsid w:val="00BE1CEA"/>
    <w:rsid w:val="00BE5938"/>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568CC"/>
    <w:rsid w:val="00C60189"/>
    <w:rsid w:val="00C60832"/>
    <w:rsid w:val="00C657AC"/>
    <w:rsid w:val="00C76CE7"/>
    <w:rsid w:val="00C8079B"/>
    <w:rsid w:val="00C83C5D"/>
    <w:rsid w:val="00C855B8"/>
    <w:rsid w:val="00C86DCA"/>
    <w:rsid w:val="00C9779C"/>
    <w:rsid w:val="00CA6109"/>
    <w:rsid w:val="00CB3035"/>
    <w:rsid w:val="00CB59F5"/>
    <w:rsid w:val="00CB5EE5"/>
    <w:rsid w:val="00CB6FDA"/>
    <w:rsid w:val="00CC0B6A"/>
    <w:rsid w:val="00CC21DC"/>
    <w:rsid w:val="00CC4367"/>
    <w:rsid w:val="00CC6986"/>
    <w:rsid w:val="00CD447B"/>
    <w:rsid w:val="00CE16E0"/>
    <w:rsid w:val="00CE3CFC"/>
    <w:rsid w:val="00CE5F8C"/>
    <w:rsid w:val="00CF0FD2"/>
    <w:rsid w:val="00CF18E0"/>
    <w:rsid w:val="00CF2A97"/>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60454"/>
    <w:rsid w:val="00D72698"/>
    <w:rsid w:val="00D734AA"/>
    <w:rsid w:val="00D7508B"/>
    <w:rsid w:val="00D76C58"/>
    <w:rsid w:val="00D85135"/>
    <w:rsid w:val="00D95C50"/>
    <w:rsid w:val="00D95C5A"/>
    <w:rsid w:val="00DA20EB"/>
    <w:rsid w:val="00DA6E0F"/>
    <w:rsid w:val="00DB063A"/>
    <w:rsid w:val="00DB441D"/>
    <w:rsid w:val="00DB7F9D"/>
    <w:rsid w:val="00DC023C"/>
    <w:rsid w:val="00DC0A98"/>
    <w:rsid w:val="00DC61AD"/>
    <w:rsid w:val="00DD17AB"/>
    <w:rsid w:val="00DD24FC"/>
    <w:rsid w:val="00DF4B7C"/>
    <w:rsid w:val="00E1229F"/>
    <w:rsid w:val="00E1592D"/>
    <w:rsid w:val="00E1756C"/>
    <w:rsid w:val="00E2124E"/>
    <w:rsid w:val="00E31A40"/>
    <w:rsid w:val="00E32BC5"/>
    <w:rsid w:val="00E33990"/>
    <w:rsid w:val="00E36A12"/>
    <w:rsid w:val="00E44300"/>
    <w:rsid w:val="00E45DA2"/>
    <w:rsid w:val="00E604AE"/>
    <w:rsid w:val="00E61190"/>
    <w:rsid w:val="00E633CE"/>
    <w:rsid w:val="00E67CB9"/>
    <w:rsid w:val="00E80875"/>
    <w:rsid w:val="00E85DDE"/>
    <w:rsid w:val="00E9248E"/>
    <w:rsid w:val="00EA40DC"/>
    <w:rsid w:val="00EA6B09"/>
    <w:rsid w:val="00EB3C34"/>
    <w:rsid w:val="00EB3F67"/>
    <w:rsid w:val="00EB5B91"/>
    <w:rsid w:val="00EC1ED2"/>
    <w:rsid w:val="00EC4032"/>
    <w:rsid w:val="00EC4763"/>
    <w:rsid w:val="00ED178A"/>
    <w:rsid w:val="00ED2F69"/>
    <w:rsid w:val="00ED3424"/>
    <w:rsid w:val="00ED661D"/>
    <w:rsid w:val="00EE13EB"/>
    <w:rsid w:val="00EE467B"/>
    <w:rsid w:val="00EE7486"/>
    <w:rsid w:val="00EF2330"/>
    <w:rsid w:val="00EF36B1"/>
    <w:rsid w:val="00EF3E5E"/>
    <w:rsid w:val="00EF5554"/>
    <w:rsid w:val="00F0171F"/>
    <w:rsid w:val="00F067EF"/>
    <w:rsid w:val="00F068A8"/>
    <w:rsid w:val="00F07228"/>
    <w:rsid w:val="00F11D1A"/>
    <w:rsid w:val="00F1220B"/>
    <w:rsid w:val="00F16C36"/>
    <w:rsid w:val="00F31451"/>
    <w:rsid w:val="00F31539"/>
    <w:rsid w:val="00F32E10"/>
    <w:rsid w:val="00F43B2D"/>
    <w:rsid w:val="00F56A9B"/>
    <w:rsid w:val="00F65AD4"/>
    <w:rsid w:val="00F66C0C"/>
    <w:rsid w:val="00F70E7B"/>
    <w:rsid w:val="00F7183C"/>
    <w:rsid w:val="00F834EA"/>
    <w:rsid w:val="00F84088"/>
    <w:rsid w:val="00F874AD"/>
    <w:rsid w:val="00F95015"/>
    <w:rsid w:val="00F97434"/>
    <w:rsid w:val="00F9752D"/>
    <w:rsid w:val="00FA280C"/>
    <w:rsid w:val="00FA3F8B"/>
    <w:rsid w:val="00FA462E"/>
    <w:rsid w:val="00FA6DD0"/>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3867E"/>
  <w15:chartTrackingRefBased/>
  <w15:docId w15:val="{FEF5860D-2124-4898-BE99-110418FE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13</Pages>
  <Words>2624</Words>
  <Characters>14963</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Patricia Sallen</cp:lastModifiedBy>
  <cp:revision>20</cp:revision>
  <cp:lastPrinted>2018-01-10T02:34:00Z</cp:lastPrinted>
  <dcterms:created xsi:type="dcterms:W3CDTF">2018-01-09T17:00:00Z</dcterms:created>
  <dcterms:modified xsi:type="dcterms:W3CDTF">2018-01-10T12:47:00Z</dcterms:modified>
</cp:coreProperties>
</file>