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4E80D" w14:textId="77777777" w:rsidR="00B07348" w:rsidRDefault="006E435C">
      <w:pPr>
        <w:spacing w:after="5" w:line="251" w:lineRule="auto"/>
        <w:ind w:left="105" w:right="3849" w:hanging="10"/>
      </w:pPr>
      <w:r>
        <w:rPr>
          <w:rFonts w:ascii="Times New Roman" w:eastAsia="Times New Roman" w:hAnsi="Times New Roman" w:cs="Times New Roman"/>
          <w:sz w:val="28"/>
        </w:rPr>
        <w:t>Kenneth David Eckhauser</w:t>
      </w:r>
    </w:p>
    <w:p w14:paraId="37773CB9" w14:textId="77777777" w:rsidR="00B07348" w:rsidRDefault="006E435C">
      <w:pPr>
        <w:spacing w:after="5" w:line="251" w:lineRule="auto"/>
        <w:ind w:left="105" w:right="3849" w:hanging="10"/>
      </w:pPr>
      <w:r>
        <w:rPr>
          <w:rFonts w:ascii="Times New Roman" w:eastAsia="Times New Roman" w:hAnsi="Times New Roman" w:cs="Times New Roman"/>
          <w:sz w:val="28"/>
        </w:rPr>
        <w:t>12452 N. 145th Way</w:t>
      </w:r>
    </w:p>
    <w:p w14:paraId="746164BD" w14:textId="77777777" w:rsidR="00B07348" w:rsidRDefault="006E435C">
      <w:pPr>
        <w:spacing w:after="5" w:line="251" w:lineRule="auto"/>
        <w:ind w:left="105" w:right="3849" w:hanging="10"/>
      </w:pPr>
      <w:r>
        <w:rPr>
          <w:rFonts w:ascii="Times New Roman" w:eastAsia="Times New Roman" w:hAnsi="Times New Roman" w:cs="Times New Roman"/>
          <w:sz w:val="28"/>
        </w:rPr>
        <w:t>Scottsdale, AZ, 85259</w:t>
      </w:r>
    </w:p>
    <w:p w14:paraId="57629734" w14:textId="77777777" w:rsidR="00B07348" w:rsidRDefault="006E435C">
      <w:pPr>
        <w:spacing w:after="5" w:line="251" w:lineRule="auto"/>
        <w:ind w:left="105" w:right="3849" w:hanging="10"/>
      </w:pPr>
      <w:r>
        <w:rPr>
          <w:rFonts w:ascii="Times New Roman" w:eastAsia="Times New Roman" w:hAnsi="Times New Roman" w:cs="Times New Roman"/>
          <w:sz w:val="28"/>
        </w:rPr>
        <w:t>(773)299-0388</w:t>
      </w:r>
    </w:p>
    <w:p w14:paraId="7C4F7922" w14:textId="77777777" w:rsidR="00B07348" w:rsidRDefault="006E435C">
      <w:pPr>
        <w:spacing w:after="5" w:line="251" w:lineRule="auto"/>
        <w:ind w:left="105" w:right="3849" w:hanging="10"/>
      </w:pPr>
      <w:r>
        <w:rPr>
          <w:rFonts w:ascii="Times New Roman" w:eastAsia="Times New Roman" w:hAnsi="Times New Roman" w:cs="Times New Roman"/>
          <w:sz w:val="28"/>
        </w:rPr>
        <w:t>Bar Number: 69903 (Missouri) keneckhauser@gmail.com</w:t>
      </w:r>
    </w:p>
    <w:p w14:paraId="0FE705FD" w14:textId="77777777" w:rsidR="00B07348" w:rsidRDefault="006E435C">
      <w:pPr>
        <w:pStyle w:val="Heading1"/>
        <w:spacing w:after="277"/>
      </w:pPr>
      <w:r>
        <w:t xml:space="preserve">IN THE SUPREME COURT STATE OF ARIZONA </w:t>
      </w:r>
    </w:p>
    <w:tbl>
      <w:tblPr>
        <w:tblStyle w:val="TableGrid"/>
        <w:tblW w:w="9431" w:type="dxa"/>
        <w:tblInd w:w="110" w:type="dxa"/>
        <w:tblLook w:val="04A0" w:firstRow="1" w:lastRow="0" w:firstColumn="1" w:lastColumn="0" w:noHBand="0" w:noVBand="1"/>
      </w:tblPr>
      <w:tblGrid>
        <w:gridCol w:w="4321"/>
        <w:gridCol w:w="1416"/>
        <w:gridCol w:w="3694"/>
      </w:tblGrid>
      <w:tr w:rsidR="00B07348" w14:paraId="444E29C4" w14:textId="77777777">
        <w:trPr>
          <w:trHeight w:val="290"/>
        </w:trPr>
        <w:tc>
          <w:tcPr>
            <w:tcW w:w="4321" w:type="dxa"/>
            <w:tcBorders>
              <w:top w:val="nil"/>
              <w:left w:val="nil"/>
              <w:bottom w:val="nil"/>
              <w:right w:val="nil"/>
            </w:tcBorders>
          </w:tcPr>
          <w:p w14:paraId="2CDD7F79" w14:textId="77777777" w:rsidR="00B07348" w:rsidRDefault="006E435C">
            <w:r>
              <w:rPr>
                <w:rFonts w:ascii="Times New Roman" w:eastAsia="Times New Roman" w:hAnsi="Times New Roman" w:cs="Times New Roman"/>
                <w:sz w:val="28"/>
              </w:rPr>
              <w:t xml:space="preserve">In the Matter of: </w:t>
            </w:r>
          </w:p>
        </w:tc>
        <w:tc>
          <w:tcPr>
            <w:tcW w:w="1416" w:type="dxa"/>
            <w:tcBorders>
              <w:top w:val="nil"/>
              <w:left w:val="nil"/>
              <w:bottom w:val="nil"/>
              <w:right w:val="nil"/>
            </w:tcBorders>
          </w:tcPr>
          <w:p w14:paraId="48700026" w14:textId="77777777" w:rsidR="00B07348" w:rsidRDefault="006E435C">
            <w:r>
              <w:rPr>
                <w:rFonts w:ascii="Times New Roman" w:eastAsia="Times New Roman" w:hAnsi="Times New Roman" w:cs="Times New Roman"/>
                <w:sz w:val="28"/>
              </w:rPr>
              <w:t xml:space="preserve">) </w:t>
            </w:r>
          </w:p>
        </w:tc>
        <w:tc>
          <w:tcPr>
            <w:tcW w:w="3694" w:type="dxa"/>
            <w:tcBorders>
              <w:top w:val="nil"/>
              <w:left w:val="nil"/>
              <w:bottom w:val="nil"/>
              <w:right w:val="nil"/>
            </w:tcBorders>
          </w:tcPr>
          <w:p w14:paraId="0BC29EAE" w14:textId="77777777" w:rsidR="00B07348" w:rsidRDefault="00B07348"/>
        </w:tc>
      </w:tr>
      <w:tr w:rsidR="00B07348" w14:paraId="43A0CAFF" w14:textId="77777777">
        <w:trPr>
          <w:trHeight w:val="327"/>
        </w:trPr>
        <w:tc>
          <w:tcPr>
            <w:tcW w:w="4321" w:type="dxa"/>
            <w:tcBorders>
              <w:top w:val="nil"/>
              <w:left w:val="nil"/>
              <w:bottom w:val="nil"/>
              <w:right w:val="nil"/>
            </w:tcBorders>
          </w:tcPr>
          <w:p w14:paraId="05A512A8" w14:textId="77777777" w:rsidR="00B07348" w:rsidRDefault="00B07348"/>
        </w:tc>
        <w:tc>
          <w:tcPr>
            <w:tcW w:w="1416" w:type="dxa"/>
            <w:tcBorders>
              <w:top w:val="nil"/>
              <w:left w:val="nil"/>
              <w:bottom w:val="nil"/>
              <w:right w:val="nil"/>
            </w:tcBorders>
          </w:tcPr>
          <w:p w14:paraId="28C97154" w14:textId="77777777" w:rsidR="00B07348" w:rsidRDefault="006E435C">
            <w:r>
              <w:rPr>
                <w:rFonts w:ascii="Times New Roman" w:eastAsia="Times New Roman" w:hAnsi="Times New Roman" w:cs="Times New Roman"/>
                <w:sz w:val="28"/>
              </w:rPr>
              <w:t xml:space="preserve">) </w:t>
            </w:r>
          </w:p>
        </w:tc>
        <w:tc>
          <w:tcPr>
            <w:tcW w:w="3694" w:type="dxa"/>
            <w:tcBorders>
              <w:top w:val="nil"/>
              <w:left w:val="nil"/>
              <w:bottom w:val="nil"/>
              <w:right w:val="nil"/>
            </w:tcBorders>
          </w:tcPr>
          <w:p w14:paraId="530D6321" w14:textId="77777777" w:rsidR="00B07348" w:rsidRDefault="006E435C">
            <w:pPr>
              <w:ind w:left="24"/>
            </w:pPr>
            <w:r>
              <w:rPr>
                <w:rFonts w:ascii="Times New Roman" w:eastAsia="Times New Roman" w:hAnsi="Times New Roman" w:cs="Times New Roman"/>
                <w:sz w:val="28"/>
              </w:rPr>
              <w:t xml:space="preserve">Supreme Court No. R-__-____ </w:t>
            </w:r>
          </w:p>
        </w:tc>
      </w:tr>
      <w:tr w:rsidR="00B07348" w14:paraId="7BF25CFE" w14:textId="77777777">
        <w:trPr>
          <w:trHeight w:val="326"/>
        </w:trPr>
        <w:tc>
          <w:tcPr>
            <w:tcW w:w="4321" w:type="dxa"/>
            <w:tcBorders>
              <w:top w:val="nil"/>
              <w:left w:val="nil"/>
              <w:bottom w:val="nil"/>
              <w:right w:val="nil"/>
            </w:tcBorders>
          </w:tcPr>
          <w:p w14:paraId="0A986298" w14:textId="77777777" w:rsidR="00B07348" w:rsidRDefault="006E435C">
            <w:r>
              <w:rPr>
                <w:rFonts w:ascii="Times New Roman" w:eastAsia="Times New Roman" w:hAnsi="Times New Roman" w:cs="Times New Roman"/>
                <w:sz w:val="28"/>
              </w:rPr>
              <w:t xml:space="preserve">PETITION TO AMEND     </w:t>
            </w:r>
          </w:p>
        </w:tc>
        <w:tc>
          <w:tcPr>
            <w:tcW w:w="1416" w:type="dxa"/>
            <w:tcBorders>
              <w:top w:val="nil"/>
              <w:left w:val="nil"/>
              <w:bottom w:val="nil"/>
              <w:right w:val="nil"/>
            </w:tcBorders>
          </w:tcPr>
          <w:p w14:paraId="130B1F6A" w14:textId="77777777" w:rsidR="00B07348" w:rsidRDefault="006E435C">
            <w:r>
              <w:rPr>
                <w:rFonts w:ascii="Times New Roman" w:eastAsia="Times New Roman" w:hAnsi="Times New Roman" w:cs="Times New Roman"/>
                <w:sz w:val="28"/>
              </w:rPr>
              <w:t xml:space="preserve">) </w:t>
            </w:r>
          </w:p>
        </w:tc>
        <w:tc>
          <w:tcPr>
            <w:tcW w:w="3694" w:type="dxa"/>
            <w:tcBorders>
              <w:top w:val="nil"/>
              <w:left w:val="nil"/>
              <w:bottom w:val="nil"/>
              <w:right w:val="nil"/>
            </w:tcBorders>
          </w:tcPr>
          <w:p w14:paraId="2CC0CFD8" w14:textId="77777777" w:rsidR="00B07348" w:rsidRDefault="006E435C">
            <w:pPr>
              <w:ind w:left="24"/>
              <w:jc w:val="both"/>
            </w:pPr>
            <w:r>
              <w:rPr>
                <w:rFonts w:ascii="Times New Roman" w:eastAsia="Times New Roman" w:hAnsi="Times New Roman" w:cs="Times New Roman"/>
                <w:sz w:val="28"/>
              </w:rPr>
              <w:t xml:space="preserve">[Clerk’s office will assign number] </w:t>
            </w:r>
          </w:p>
        </w:tc>
      </w:tr>
      <w:tr w:rsidR="00B07348" w14:paraId="24C1323F" w14:textId="77777777">
        <w:trPr>
          <w:trHeight w:val="1620"/>
        </w:trPr>
        <w:tc>
          <w:tcPr>
            <w:tcW w:w="4321" w:type="dxa"/>
            <w:tcBorders>
              <w:top w:val="nil"/>
              <w:left w:val="nil"/>
              <w:bottom w:val="nil"/>
              <w:right w:val="nil"/>
            </w:tcBorders>
          </w:tcPr>
          <w:p w14:paraId="1BE68013" w14:textId="77777777" w:rsidR="00B07348" w:rsidRDefault="006E435C">
            <w:r>
              <w:rPr>
                <w:rFonts w:ascii="Times New Roman" w:eastAsia="Times New Roman" w:hAnsi="Times New Roman" w:cs="Times New Roman"/>
                <w:sz w:val="28"/>
              </w:rPr>
              <w:t xml:space="preserve">RULE OF THE SUPREME </w:t>
            </w:r>
          </w:p>
          <w:p w14:paraId="74CC1FDB" w14:textId="77777777" w:rsidR="00B07348" w:rsidRDefault="006E435C">
            <w:r>
              <w:rPr>
                <w:rFonts w:ascii="Times New Roman" w:eastAsia="Times New Roman" w:hAnsi="Times New Roman" w:cs="Times New Roman"/>
                <w:sz w:val="28"/>
              </w:rPr>
              <w:t>COURT 37(d)(1),</w:t>
            </w:r>
          </w:p>
          <w:p w14:paraId="55EF1549" w14:textId="77777777" w:rsidR="00B07348" w:rsidRDefault="006E435C">
            <w:r>
              <w:rPr>
                <w:rFonts w:ascii="Times New Roman" w:eastAsia="Times New Roman" w:hAnsi="Times New Roman" w:cs="Times New Roman"/>
                <w:sz w:val="28"/>
              </w:rPr>
              <w:t xml:space="preserve">REGULATION OF THE </w:t>
            </w:r>
          </w:p>
          <w:p w14:paraId="50106DC1" w14:textId="77777777" w:rsidR="00B07348" w:rsidRDefault="006E435C">
            <w:r>
              <w:rPr>
                <w:rFonts w:ascii="Times New Roman" w:eastAsia="Times New Roman" w:hAnsi="Times New Roman" w:cs="Times New Roman"/>
                <w:sz w:val="28"/>
              </w:rPr>
              <w:t>PRACTICE OF LAW</w:t>
            </w:r>
          </w:p>
        </w:tc>
        <w:tc>
          <w:tcPr>
            <w:tcW w:w="1416" w:type="dxa"/>
            <w:tcBorders>
              <w:top w:val="nil"/>
              <w:left w:val="nil"/>
              <w:bottom w:val="nil"/>
              <w:right w:val="nil"/>
            </w:tcBorders>
          </w:tcPr>
          <w:p w14:paraId="214F75F5" w14:textId="77777777" w:rsidR="00B07348" w:rsidRDefault="006E435C">
            <w:r>
              <w:rPr>
                <w:rFonts w:ascii="Times New Roman" w:eastAsia="Times New Roman" w:hAnsi="Times New Roman" w:cs="Times New Roman"/>
                <w:sz w:val="28"/>
              </w:rPr>
              <w:t xml:space="preserve">) </w:t>
            </w:r>
          </w:p>
          <w:p w14:paraId="006D009D" w14:textId="77777777" w:rsidR="00B07348" w:rsidRDefault="006E435C">
            <w:r>
              <w:rPr>
                <w:rFonts w:ascii="Times New Roman" w:eastAsia="Times New Roman" w:hAnsi="Times New Roman" w:cs="Times New Roman"/>
                <w:sz w:val="28"/>
              </w:rPr>
              <w:t>)</w:t>
            </w:r>
          </w:p>
          <w:p w14:paraId="70BD3AE2" w14:textId="77777777" w:rsidR="00B07348" w:rsidRDefault="006E435C">
            <w:r>
              <w:rPr>
                <w:rFonts w:ascii="Times New Roman" w:eastAsia="Times New Roman" w:hAnsi="Times New Roman" w:cs="Times New Roman"/>
                <w:sz w:val="28"/>
              </w:rPr>
              <w:t xml:space="preserve">) </w:t>
            </w:r>
          </w:p>
          <w:p w14:paraId="2688E49E" w14:textId="77777777" w:rsidR="00B07348" w:rsidRDefault="006E435C">
            <w:r>
              <w:rPr>
                <w:rFonts w:ascii="Times New Roman" w:eastAsia="Times New Roman" w:hAnsi="Times New Roman" w:cs="Times New Roman"/>
                <w:sz w:val="28"/>
              </w:rPr>
              <w:t xml:space="preserve">) </w:t>
            </w:r>
          </w:p>
          <w:p w14:paraId="6CB751CB" w14:textId="77777777" w:rsidR="00B07348" w:rsidRDefault="006E435C">
            <w:r>
              <w:rPr>
                <w:rFonts w:ascii="Times New Roman" w:eastAsia="Times New Roman" w:hAnsi="Times New Roman" w:cs="Times New Roman"/>
                <w:sz w:val="28"/>
              </w:rPr>
              <w:t xml:space="preserve">) </w:t>
            </w:r>
          </w:p>
        </w:tc>
        <w:tc>
          <w:tcPr>
            <w:tcW w:w="3694" w:type="dxa"/>
            <w:vMerge w:val="restart"/>
            <w:tcBorders>
              <w:top w:val="nil"/>
              <w:left w:val="nil"/>
              <w:bottom w:val="nil"/>
              <w:right w:val="nil"/>
            </w:tcBorders>
            <w:vAlign w:val="center"/>
          </w:tcPr>
          <w:p w14:paraId="4FC9D520" w14:textId="77777777" w:rsidR="00B07348" w:rsidRDefault="006E435C">
            <w:pPr>
              <w:spacing w:after="4" w:line="246" w:lineRule="auto"/>
              <w:ind w:right="159"/>
            </w:pPr>
            <w:r>
              <w:rPr>
                <w:rFonts w:ascii="Times New Roman" w:eastAsia="Times New Roman" w:hAnsi="Times New Roman" w:cs="Times New Roman"/>
                <w:b/>
                <w:sz w:val="28"/>
              </w:rPr>
              <w:t xml:space="preserve">Petition to Amend Rule of the Supreme Court 37(d)(1), Regulation of the Practice of </w:t>
            </w:r>
          </w:p>
          <w:p w14:paraId="0D021A8C" w14:textId="77777777" w:rsidR="00B07348" w:rsidRDefault="006E435C">
            <w:r>
              <w:rPr>
                <w:rFonts w:ascii="Times New Roman" w:eastAsia="Times New Roman" w:hAnsi="Times New Roman" w:cs="Times New Roman"/>
                <w:b/>
                <w:sz w:val="28"/>
              </w:rPr>
              <w:t>Law</w:t>
            </w:r>
            <w:r>
              <w:rPr>
                <w:rFonts w:ascii="Times New Roman" w:eastAsia="Times New Roman" w:hAnsi="Times New Roman" w:cs="Times New Roman"/>
                <w:sz w:val="28"/>
              </w:rPr>
              <w:t xml:space="preserve"> </w:t>
            </w:r>
          </w:p>
        </w:tc>
      </w:tr>
      <w:tr w:rsidR="00B07348" w14:paraId="3256EDBE" w14:textId="77777777">
        <w:trPr>
          <w:trHeight w:val="311"/>
        </w:trPr>
        <w:tc>
          <w:tcPr>
            <w:tcW w:w="5737" w:type="dxa"/>
            <w:gridSpan w:val="2"/>
            <w:tcBorders>
              <w:top w:val="nil"/>
              <w:left w:val="nil"/>
              <w:bottom w:val="nil"/>
              <w:right w:val="nil"/>
            </w:tcBorders>
          </w:tcPr>
          <w:p w14:paraId="22B15602" w14:textId="77777777" w:rsidR="00B07348" w:rsidRDefault="006E435C">
            <w:r>
              <w:rPr>
                <w:rFonts w:ascii="Times New Roman" w:eastAsia="Times New Roman" w:hAnsi="Times New Roman" w:cs="Times New Roman"/>
                <w:sz w:val="28"/>
              </w:rPr>
              <w:t xml:space="preserve">_____________________________    ) </w:t>
            </w:r>
          </w:p>
        </w:tc>
        <w:tc>
          <w:tcPr>
            <w:tcW w:w="0" w:type="auto"/>
            <w:vMerge/>
            <w:tcBorders>
              <w:top w:val="nil"/>
              <w:left w:val="nil"/>
              <w:bottom w:val="nil"/>
              <w:right w:val="nil"/>
            </w:tcBorders>
          </w:tcPr>
          <w:p w14:paraId="083D4A45" w14:textId="77777777" w:rsidR="00B07348" w:rsidRDefault="00B07348"/>
        </w:tc>
      </w:tr>
    </w:tbl>
    <w:p w14:paraId="4BEB6019" w14:textId="77777777" w:rsidR="00B07348" w:rsidRDefault="006E435C">
      <w:pPr>
        <w:spacing w:after="74" w:line="496" w:lineRule="auto"/>
        <w:ind w:firstLine="829"/>
      </w:pPr>
      <w:r>
        <w:rPr>
          <w:rFonts w:ascii="Times New Roman" w:eastAsia="Times New Roman" w:hAnsi="Times New Roman" w:cs="Times New Roman"/>
          <w:sz w:val="28"/>
        </w:rPr>
        <w:t>Pursuant to Rule 28, Rules of the Supreme Court, Kenneth David Eckhauser respectfully petitions this Court to adopt amendments to Rule of the Supreme Court 37(d)(1), Regulation of the Practice of Law, governing the Refund of Fees, as provided in Appendix 1.</w:t>
      </w:r>
    </w:p>
    <w:p w14:paraId="1FD28343" w14:textId="77777777" w:rsidR="00B07348" w:rsidRDefault="006E435C">
      <w:pPr>
        <w:tabs>
          <w:tab w:val="center" w:pos="4477"/>
        </w:tabs>
        <w:spacing w:after="343"/>
      </w:pPr>
      <w:r>
        <w:rPr>
          <w:rFonts w:ascii="Times New Roman" w:eastAsia="Times New Roman" w:hAnsi="Times New Roman" w:cs="Times New Roman"/>
          <w:b/>
          <w:sz w:val="28"/>
        </w:rPr>
        <w:t>I.</w:t>
      </w:r>
      <w:r>
        <w:rPr>
          <w:rFonts w:ascii="Arial" w:eastAsia="Arial" w:hAnsi="Arial" w:cs="Arial"/>
          <w:b/>
          <w:sz w:val="28"/>
        </w:rPr>
        <w:t xml:space="preserve"> </w:t>
      </w:r>
      <w:r>
        <w:rPr>
          <w:rFonts w:ascii="Arial" w:eastAsia="Arial" w:hAnsi="Arial" w:cs="Arial"/>
          <w:b/>
          <w:sz w:val="28"/>
        </w:rPr>
        <w:tab/>
      </w:r>
      <w:proofErr w:type="gramStart"/>
      <w:r>
        <w:rPr>
          <w:rFonts w:ascii="Times New Roman" w:eastAsia="Times New Roman" w:hAnsi="Times New Roman" w:cs="Times New Roman"/>
          <w:b/>
          <w:sz w:val="28"/>
        </w:rPr>
        <w:t>Background  and</w:t>
      </w:r>
      <w:proofErr w:type="gramEnd"/>
      <w:r>
        <w:rPr>
          <w:rFonts w:ascii="Times New Roman" w:eastAsia="Times New Roman" w:hAnsi="Times New Roman" w:cs="Times New Roman"/>
          <w:b/>
          <w:sz w:val="28"/>
        </w:rPr>
        <w:t xml:space="preserve"> Purpose of the Proposed Rule Amendments </w:t>
      </w:r>
    </w:p>
    <w:p w14:paraId="6A02758F" w14:textId="77777777" w:rsidR="00B07348" w:rsidRDefault="006E435C">
      <w:pPr>
        <w:spacing w:after="320"/>
        <w:ind w:left="766" w:hanging="10"/>
      </w:pPr>
      <w:r>
        <w:rPr>
          <w:rFonts w:ascii="Times New Roman" w:eastAsia="Times New Roman" w:hAnsi="Times New Roman" w:cs="Times New Roman"/>
          <w:sz w:val="28"/>
        </w:rPr>
        <w:t xml:space="preserve">Pursuant to Arizona Supreme Court Rule 35(c)(3) an applicant seeking to sit for the </w:t>
      </w:r>
    </w:p>
    <w:p w14:paraId="7B64CF14" w14:textId="77777777" w:rsidR="00B07348" w:rsidRDefault="006E435C">
      <w:pPr>
        <w:spacing w:after="320"/>
        <w:ind w:left="228" w:right="356" w:hanging="10"/>
        <w:jc w:val="center"/>
      </w:pPr>
      <w:r>
        <w:rPr>
          <w:rFonts w:ascii="Times New Roman" w:eastAsia="Times New Roman" w:hAnsi="Times New Roman" w:cs="Times New Roman"/>
          <w:sz w:val="28"/>
        </w:rPr>
        <w:t xml:space="preserve">Arizona Bar Exam a fourth time must submit a written request to the Arizona </w:t>
      </w:r>
    </w:p>
    <w:p w14:paraId="65693430" w14:textId="77777777" w:rsidR="00B07348" w:rsidRDefault="006E435C">
      <w:pPr>
        <w:spacing w:after="3" w:line="496" w:lineRule="auto"/>
        <w:ind w:left="766" w:hanging="10"/>
      </w:pPr>
      <w:r>
        <w:rPr>
          <w:rFonts w:ascii="Times New Roman" w:eastAsia="Times New Roman" w:hAnsi="Times New Roman" w:cs="Times New Roman"/>
          <w:sz w:val="28"/>
        </w:rPr>
        <w:t xml:space="preserve">Committee on Examinations to obtain their approval.  Arizona Supreme Court Rule 37(d) governs the Refund of Fees, and requires that an applicant submit a written request to withdraw by the filing deadline in order to receive a partial refund.  Ariz. </w:t>
      </w:r>
    </w:p>
    <w:p w14:paraId="10041472" w14:textId="77777777" w:rsidR="00B07348" w:rsidRDefault="006E435C">
      <w:pPr>
        <w:spacing w:after="76"/>
        <w:ind w:left="228" w:hanging="10"/>
        <w:jc w:val="center"/>
      </w:pPr>
      <w:r>
        <w:rPr>
          <w:rFonts w:ascii="Times New Roman" w:eastAsia="Times New Roman" w:hAnsi="Times New Roman" w:cs="Times New Roman"/>
          <w:sz w:val="28"/>
        </w:rPr>
        <w:t>Sup. Ct. R. 37(d)(1) can be interpreted to suggest that those applicants are sitting</w:t>
      </w:r>
    </w:p>
    <w:p w14:paraId="07910853" w14:textId="77777777" w:rsidR="00B07348" w:rsidRDefault="006E435C">
      <w:pPr>
        <w:spacing w:after="172"/>
        <w:ind w:left="10" w:right="805" w:hanging="10"/>
        <w:jc w:val="center"/>
      </w:pPr>
      <w:r>
        <w:rPr>
          <w:rFonts w:ascii="Times New Roman" w:eastAsia="Times New Roman" w:hAnsi="Times New Roman" w:cs="Times New Roman"/>
          <w:sz w:val="24"/>
        </w:rPr>
        <w:t xml:space="preserve">1 </w:t>
      </w:r>
    </w:p>
    <w:p w14:paraId="61F90063" w14:textId="77777777" w:rsidR="00B07348" w:rsidRDefault="006E435C">
      <w:pPr>
        <w:spacing w:after="3" w:line="496" w:lineRule="auto"/>
        <w:ind w:left="766" w:hanging="10"/>
      </w:pPr>
      <w:r>
        <w:rPr>
          <w:rFonts w:ascii="Times New Roman" w:eastAsia="Times New Roman" w:hAnsi="Times New Roman" w:cs="Times New Roman"/>
          <w:sz w:val="28"/>
        </w:rPr>
        <w:lastRenderedPageBreak/>
        <w:t xml:space="preserve">for the Arizona Bar Exam either for a second or third time, and receive immediate approval upon filing their registration documents.  However, Ariz. Sup. Ct. R. 37(d) (1) does not account for those applicants that must obtain approval from the Committee on Examinations pursuant to Ariz. Sup. Ct. R. 35(c)(3).  An applicant could receive approval two weeks after the registration deadline, </w:t>
      </w:r>
      <w:r w:rsidR="000E3BEC">
        <w:rPr>
          <w:rFonts w:ascii="Times New Roman" w:eastAsia="Times New Roman" w:hAnsi="Times New Roman" w:cs="Times New Roman"/>
          <w:sz w:val="28"/>
        </w:rPr>
        <w:t>subsequently</w:t>
      </w:r>
      <w:r>
        <w:rPr>
          <w:rFonts w:ascii="Times New Roman" w:eastAsia="Times New Roman" w:hAnsi="Times New Roman" w:cs="Times New Roman"/>
          <w:sz w:val="28"/>
        </w:rPr>
        <w:t xml:space="preserve"> choose to withdraw from the examination, and will not be entitled to partial refund</w:t>
      </w:r>
      <w:r w:rsidR="000E3BEC">
        <w:rPr>
          <w:rFonts w:ascii="Times New Roman" w:eastAsia="Times New Roman" w:hAnsi="Times New Roman" w:cs="Times New Roman"/>
          <w:sz w:val="28"/>
        </w:rPr>
        <w:t xml:space="preserve"> because the letter to withdraw</w:t>
      </w:r>
      <w:r>
        <w:rPr>
          <w:rFonts w:ascii="Times New Roman" w:eastAsia="Times New Roman" w:hAnsi="Times New Roman" w:cs="Times New Roman"/>
          <w:sz w:val="28"/>
        </w:rPr>
        <w:t xml:space="preserve"> was not received prior to the registration deadline.  </w:t>
      </w:r>
    </w:p>
    <w:p w14:paraId="2890C490" w14:textId="77777777" w:rsidR="00B07348" w:rsidRDefault="006E435C">
      <w:pPr>
        <w:tabs>
          <w:tab w:val="center" w:pos="3317"/>
        </w:tabs>
        <w:spacing w:after="214"/>
      </w:pPr>
      <w:r>
        <w:rPr>
          <w:rFonts w:ascii="Times New Roman" w:eastAsia="Times New Roman" w:hAnsi="Times New Roman" w:cs="Times New Roman"/>
          <w:b/>
          <w:sz w:val="28"/>
        </w:rPr>
        <w:t>II.</w:t>
      </w:r>
      <w:r>
        <w:rPr>
          <w:rFonts w:ascii="Times New Roman" w:eastAsia="Times New Roman" w:hAnsi="Times New Roman" w:cs="Times New Roman"/>
          <w:b/>
          <w:sz w:val="28"/>
        </w:rPr>
        <w:tab/>
        <w:t>Contents of the Proposed Rule Amendment</w:t>
      </w:r>
    </w:p>
    <w:p w14:paraId="54D17FAF" w14:textId="77777777" w:rsidR="00B07348" w:rsidRDefault="006E435C">
      <w:pPr>
        <w:spacing w:after="258" w:line="496" w:lineRule="auto"/>
        <w:ind w:left="766" w:hanging="10"/>
      </w:pPr>
      <w:r>
        <w:rPr>
          <w:rFonts w:ascii="Times New Roman" w:eastAsia="Times New Roman" w:hAnsi="Times New Roman" w:cs="Times New Roman"/>
          <w:sz w:val="28"/>
        </w:rPr>
        <w:t xml:space="preserve">I respectfully submit the following amendment to Ariz. Sup. Ct. R. 37(d)(1) to include, "...provided the applicant notifies the Committee in writing no later than the filing deadline for that examination as set by the Court. </w:t>
      </w:r>
      <w:r>
        <w:rPr>
          <w:rFonts w:ascii="Times New Roman" w:eastAsia="Times New Roman" w:hAnsi="Times New Roman" w:cs="Times New Roman"/>
          <w:sz w:val="28"/>
          <w:u w:val="single" w:color="000000"/>
        </w:rPr>
        <w:t>If an applicant receives</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approval pursuant to Ariz. Sup. Ct. R. 35(c)(3), the applicant must submit a written</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request to withdraw that is post marked within five calendar days of receipt of</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 xml:space="preserve">approval by the </w:t>
      </w:r>
      <w:r w:rsidR="000E3BEC">
        <w:rPr>
          <w:rFonts w:ascii="Times New Roman" w:eastAsia="Times New Roman" w:hAnsi="Times New Roman" w:cs="Times New Roman"/>
          <w:sz w:val="28"/>
          <w:u w:val="single" w:color="000000"/>
        </w:rPr>
        <w:t>Committee</w:t>
      </w:r>
      <w:bookmarkStart w:id="0" w:name="_GoBack"/>
      <w:bookmarkEnd w:id="0"/>
      <w:r>
        <w:rPr>
          <w:rFonts w:ascii="Times New Roman" w:eastAsia="Times New Roman" w:hAnsi="Times New Roman" w:cs="Times New Roman"/>
          <w:sz w:val="28"/>
          <w:u w:val="single" w:color="000000"/>
        </w:rPr>
        <w:t xml:space="preserve"> to be entitled to a partial refund.</w:t>
      </w:r>
      <w:r>
        <w:rPr>
          <w:rFonts w:ascii="Times New Roman" w:eastAsia="Times New Roman" w:hAnsi="Times New Roman" w:cs="Times New Roman"/>
          <w:sz w:val="28"/>
        </w:rPr>
        <w:t xml:space="preserve"> No part of the fees paid to the National Conference of Bar Examiners is refundable."</w:t>
      </w:r>
    </w:p>
    <w:p w14:paraId="041C3F55" w14:textId="77777777" w:rsidR="00B07348" w:rsidRDefault="006E435C">
      <w:pPr>
        <w:spacing w:after="354"/>
        <w:ind w:left="740"/>
      </w:pPr>
      <w:r>
        <w:rPr>
          <w:rFonts w:ascii="Times New Roman" w:eastAsia="Times New Roman" w:hAnsi="Times New Roman" w:cs="Times New Roman"/>
          <w:sz w:val="28"/>
        </w:rPr>
        <w:t xml:space="preserve">RESPECTFULLY SUBMITTED this ____ day of ___________, 20__. </w:t>
      </w:r>
    </w:p>
    <w:p w14:paraId="4AB662CA" w14:textId="77777777" w:rsidR="00B07348" w:rsidRDefault="006E435C">
      <w:pPr>
        <w:spacing w:after="79"/>
        <w:ind w:left="4341"/>
      </w:pPr>
      <w:r>
        <w:rPr>
          <w:rFonts w:ascii="Times New Roman" w:eastAsia="Times New Roman" w:hAnsi="Times New Roman" w:cs="Times New Roman"/>
          <w:sz w:val="24"/>
        </w:rPr>
        <w:t xml:space="preserve">By_______________________________________ </w:t>
      </w:r>
    </w:p>
    <w:p w14:paraId="51F8C117" w14:textId="77777777" w:rsidR="00B07348" w:rsidRDefault="006E435C">
      <w:pPr>
        <w:spacing w:after="0"/>
        <w:ind w:left="2080" w:right="24" w:hanging="10"/>
        <w:jc w:val="center"/>
      </w:pPr>
      <w:r>
        <w:rPr>
          <w:rFonts w:ascii="Times New Roman" w:eastAsia="Times New Roman" w:hAnsi="Times New Roman" w:cs="Times New Roman"/>
          <w:sz w:val="28"/>
        </w:rPr>
        <w:t>Kenneth David Eckhauser</w:t>
      </w:r>
    </w:p>
    <w:p w14:paraId="4F1463CD" w14:textId="77777777" w:rsidR="00B07348" w:rsidRDefault="006E435C">
      <w:pPr>
        <w:spacing w:after="0"/>
        <w:ind w:left="2080" w:right="541" w:hanging="10"/>
        <w:jc w:val="center"/>
      </w:pPr>
      <w:r>
        <w:rPr>
          <w:rFonts w:ascii="Times New Roman" w:eastAsia="Times New Roman" w:hAnsi="Times New Roman" w:cs="Times New Roman"/>
          <w:sz w:val="28"/>
        </w:rPr>
        <w:t xml:space="preserve">12452 N. 145th Way, </w:t>
      </w:r>
    </w:p>
    <w:p w14:paraId="5C457E25" w14:textId="77777777" w:rsidR="00B07348" w:rsidRDefault="006E435C">
      <w:pPr>
        <w:spacing w:after="0"/>
        <w:ind w:left="2080" w:hanging="10"/>
        <w:jc w:val="center"/>
      </w:pPr>
      <w:r>
        <w:rPr>
          <w:rFonts w:ascii="Times New Roman" w:eastAsia="Times New Roman" w:hAnsi="Times New Roman" w:cs="Times New Roman"/>
          <w:sz w:val="28"/>
        </w:rPr>
        <w:t>Scottsdale, Arizona 85259</w:t>
      </w:r>
    </w:p>
    <w:p w14:paraId="71054700" w14:textId="77777777" w:rsidR="00B07348" w:rsidRDefault="006E435C">
      <w:pPr>
        <w:spacing w:after="393" w:line="249" w:lineRule="auto"/>
        <w:ind w:left="4754" w:right="1076"/>
      </w:pPr>
      <w:r>
        <w:rPr>
          <w:rFonts w:ascii="Times New Roman" w:eastAsia="Times New Roman" w:hAnsi="Times New Roman" w:cs="Times New Roman"/>
          <w:sz w:val="28"/>
        </w:rPr>
        <w:t>Bar Number: 69903 (Missouri) Petitioner</w:t>
      </w:r>
    </w:p>
    <w:p w14:paraId="7281CAFA" w14:textId="77777777" w:rsidR="00B07348" w:rsidRDefault="006E435C">
      <w:pPr>
        <w:spacing w:after="172"/>
        <w:ind w:left="10" w:right="805" w:hanging="10"/>
        <w:jc w:val="center"/>
      </w:pPr>
      <w:r>
        <w:rPr>
          <w:rFonts w:ascii="Times New Roman" w:eastAsia="Times New Roman" w:hAnsi="Times New Roman" w:cs="Times New Roman"/>
          <w:sz w:val="24"/>
        </w:rPr>
        <w:t xml:space="preserve">2 </w:t>
      </w:r>
    </w:p>
    <w:p w14:paraId="7854BBF3" w14:textId="77777777" w:rsidR="00B07348" w:rsidRDefault="006E435C">
      <w:pPr>
        <w:pStyle w:val="Heading1"/>
        <w:spacing w:after="628"/>
        <w:ind w:right="602"/>
      </w:pPr>
      <w:r>
        <w:lastRenderedPageBreak/>
        <w:t>Appendix 1</w:t>
      </w:r>
    </w:p>
    <w:p w14:paraId="65BB3F1A" w14:textId="77777777" w:rsidR="00B07348" w:rsidRDefault="006E435C">
      <w:pPr>
        <w:spacing w:after="5" w:line="254" w:lineRule="auto"/>
        <w:ind w:left="144" w:right="991" w:hanging="10"/>
      </w:pPr>
      <w:r>
        <w:rPr>
          <w:rFonts w:ascii="Times New Roman" w:eastAsia="Times New Roman" w:hAnsi="Times New Roman" w:cs="Times New Roman"/>
          <w:sz w:val="24"/>
        </w:rPr>
        <w:t>Ariz. Sup. Ct. R. 37(d) Refund of fees.</w:t>
      </w:r>
    </w:p>
    <w:p w14:paraId="5B70C2F4" w14:textId="77777777" w:rsidR="00B07348" w:rsidRDefault="006E435C">
      <w:pPr>
        <w:spacing w:after="10361" w:line="254" w:lineRule="auto"/>
        <w:ind w:left="144" w:right="991" w:hanging="10"/>
      </w:pPr>
      <w:r>
        <w:rPr>
          <w:rFonts w:ascii="Times New Roman" w:eastAsia="Times New Roman" w:hAnsi="Times New Roman" w:cs="Times New Roman"/>
          <w:sz w:val="24"/>
        </w:rPr>
        <w:t>1. An applicant who submits an application for admission by Arizona uniform bar examination and who has paid the fees required by these rules and thereafter withdraws the application or fails to appear for the examination applied for, shall be entitled to a partial refund or credit of the fees paid, as established by the Court, provided the applicant notifies the Committee in writing no later than the filing deadline for that examination as set by the Court. No part of the fees paid to the National Conference of Bar Examiners is refundable.</w:t>
      </w:r>
    </w:p>
    <w:p w14:paraId="0FF3E3CF" w14:textId="77777777" w:rsidR="00B07348" w:rsidRDefault="006E435C">
      <w:pPr>
        <w:spacing w:after="172"/>
        <w:ind w:left="10" w:right="805" w:hanging="10"/>
        <w:jc w:val="center"/>
      </w:pPr>
      <w:r>
        <w:rPr>
          <w:rFonts w:ascii="Times New Roman" w:eastAsia="Times New Roman" w:hAnsi="Times New Roman" w:cs="Times New Roman"/>
          <w:sz w:val="24"/>
        </w:rPr>
        <w:t xml:space="preserve">Appendix - 1 </w:t>
      </w:r>
    </w:p>
    <w:sectPr w:rsidR="00B07348">
      <w:pgSz w:w="12240" w:h="15840"/>
      <w:pgMar w:top="1319" w:right="524" w:bottom="719" w:left="13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48"/>
    <w:rsid w:val="000E3BEC"/>
    <w:rsid w:val="006E435C"/>
    <w:rsid w:val="00B0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22F82E"/>
  <w15:docId w15:val="{32BB667A-9DE0-43EA-8498-60DA4809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65" w:lineRule="auto"/>
      <w:ind w:left="10" w:right="804"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2838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xptest3</dc:creator>
  <cp:keywords/>
  <cp:lastModifiedBy>Ken E</cp:lastModifiedBy>
  <cp:revision>2</cp:revision>
  <dcterms:created xsi:type="dcterms:W3CDTF">2017-11-02T16:49:00Z</dcterms:created>
  <dcterms:modified xsi:type="dcterms:W3CDTF">2017-11-02T16:49:00Z</dcterms:modified>
</cp:coreProperties>
</file>