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72" w:type="dxa"/>
        <w:tblLayout w:type="fixed"/>
        <w:tblLook w:val="0000" w:firstRow="0" w:lastRow="0" w:firstColumn="0" w:lastColumn="0" w:noHBand="0" w:noVBand="0"/>
      </w:tblPr>
      <w:tblGrid>
        <w:gridCol w:w="6588"/>
        <w:gridCol w:w="3084"/>
      </w:tblGrid>
      <w:tr w:rsidR="00F02A99" w:rsidRPr="004354D7" w:rsidTr="00775DA5">
        <w:trPr>
          <w:trHeight w:val="2880"/>
        </w:trPr>
        <w:tc>
          <w:tcPr>
            <w:tcW w:w="6588" w:type="dxa"/>
          </w:tcPr>
          <w:p w:rsidR="00775DA5" w:rsidRPr="004354D7" w:rsidRDefault="00830D76" w:rsidP="00716851">
            <w:pPr>
              <w:spacing w:after="120"/>
              <w:rPr>
                <w:rFonts w:ascii="Century" w:hAnsi="Century" w:cs="Times New Roman"/>
                <w:sz w:val="28"/>
                <w:szCs w:val="28"/>
              </w:rPr>
            </w:pPr>
            <w:r w:rsidRPr="004354D7">
              <w:rPr>
                <w:rFonts w:ascii="Century" w:hAnsi="Century" w:cs="Times New Roman"/>
                <w:sz w:val="28"/>
                <w:szCs w:val="28"/>
              </w:rPr>
              <w:t xml:space="preserve">Governor of Arizona Doug </w:t>
            </w:r>
            <w:proofErr w:type="spellStart"/>
            <w:r w:rsidRPr="004354D7">
              <w:rPr>
                <w:rFonts w:ascii="Century" w:hAnsi="Century" w:cs="Times New Roman"/>
                <w:sz w:val="28"/>
                <w:szCs w:val="28"/>
              </w:rPr>
              <w:t>Ducey</w:t>
            </w:r>
            <w:proofErr w:type="spellEnd"/>
          </w:p>
          <w:p w:rsidR="003C2F9D" w:rsidRPr="004354D7" w:rsidRDefault="003C2F9D" w:rsidP="00716851">
            <w:pPr>
              <w:spacing w:after="120"/>
              <w:rPr>
                <w:rFonts w:ascii="Century" w:hAnsi="Century" w:cs="Times New Roman"/>
                <w:sz w:val="28"/>
                <w:szCs w:val="28"/>
              </w:rPr>
            </w:pPr>
            <w:r w:rsidRPr="004354D7">
              <w:rPr>
                <w:rFonts w:ascii="Century" w:hAnsi="Century" w:cs="Times New Roman"/>
                <w:sz w:val="28"/>
                <w:szCs w:val="28"/>
              </w:rPr>
              <w:t>Senate President Steve Yarbrough</w:t>
            </w:r>
          </w:p>
          <w:p w:rsidR="00830D76" w:rsidRPr="004354D7" w:rsidRDefault="00106B65" w:rsidP="00716851">
            <w:pPr>
              <w:spacing w:after="120"/>
              <w:rPr>
                <w:rFonts w:ascii="Century" w:hAnsi="Century" w:cs="Times New Roman"/>
                <w:sz w:val="28"/>
                <w:szCs w:val="28"/>
              </w:rPr>
            </w:pPr>
            <w:r w:rsidRPr="004354D7">
              <w:rPr>
                <w:rFonts w:ascii="Century" w:hAnsi="Century" w:cs="Times New Roman"/>
                <w:sz w:val="28"/>
                <w:szCs w:val="28"/>
              </w:rPr>
              <w:t>House Speaker</w:t>
            </w:r>
            <w:r w:rsidR="00830D76" w:rsidRPr="004354D7">
              <w:rPr>
                <w:rFonts w:ascii="Century" w:hAnsi="Century" w:cs="Times New Roman"/>
                <w:sz w:val="28"/>
                <w:szCs w:val="28"/>
              </w:rPr>
              <w:t xml:space="preserve"> J.D. </w:t>
            </w:r>
            <w:proofErr w:type="spellStart"/>
            <w:r w:rsidR="00830D76" w:rsidRPr="004354D7">
              <w:rPr>
                <w:rFonts w:ascii="Century" w:hAnsi="Century" w:cs="Times New Roman"/>
                <w:sz w:val="28"/>
                <w:szCs w:val="28"/>
              </w:rPr>
              <w:t>Mesnard</w:t>
            </w:r>
            <w:proofErr w:type="spellEnd"/>
          </w:p>
          <w:p w:rsidR="00106B65" w:rsidRPr="004354D7" w:rsidRDefault="00106B65" w:rsidP="00775DA5">
            <w:pPr>
              <w:rPr>
                <w:rFonts w:ascii="Century" w:hAnsi="Century" w:cs="Times New Roman"/>
                <w:sz w:val="28"/>
                <w:szCs w:val="28"/>
              </w:rPr>
            </w:pPr>
            <w:r w:rsidRPr="004354D7">
              <w:rPr>
                <w:rFonts w:ascii="Century" w:hAnsi="Century" w:cs="Times New Roman"/>
                <w:sz w:val="28"/>
                <w:szCs w:val="28"/>
              </w:rPr>
              <w:t xml:space="preserve">1700 W. Washington Street </w:t>
            </w:r>
          </w:p>
          <w:p w:rsidR="00106B65" w:rsidRPr="004354D7" w:rsidRDefault="00106B65" w:rsidP="00106B65">
            <w:pPr>
              <w:spacing w:after="120"/>
              <w:rPr>
                <w:rFonts w:ascii="Century" w:hAnsi="Century" w:cs="Times New Roman"/>
                <w:sz w:val="28"/>
                <w:szCs w:val="28"/>
              </w:rPr>
            </w:pPr>
            <w:r w:rsidRPr="004354D7">
              <w:rPr>
                <w:rFonts w:ascii="Century" w:hAnsi="Century" w:cs="Times New Roman"/>
                <w:sz w:val="28"/>
                <w:szCs w:val="28"/>
              </w:rPr>
              <w:t>Phoenix, Arizona 85007</w:t>
            </w:r>
          </w:p>
          <w:p w:rsidR="00830D76" w:rsidRPr="004354D7" w:rsidRDefault="00830D76" w:rsidP="00716851">
            <w:pPr>
              <w:spacing w:after="120"/>
              <w:rPr>
                <w:rFonts w:ascii="Century" w:hAnsi="Century" w:cs="Times New Roman"/>
                <w:sz w:val="28"/>
                <w:szCs w:val="28"/>
              </w:rPr>
            </w:pPr>
            <w:r w:rsidRPr="004354D7">
              <w:rPr>
                <w:rFonts w:ascii="Century" w:hAnsi="Century" w:cs="Times New Roman"/>
                <w:sz w:val="28"/>
                <w:szCs w:val="28"/>
              </w:rPr>
              <w:t xml:space="preserve">Glenn Hamer, President/Chief Executive Officer, </w:t>
            </w:r>
          </w:p>
          <w:p w:rsidR="00E169F3" w:rsidRPr="004354D7" w:rsidRDefault="00E169F3" w:rsidP="00716851">
            <w:pPr>
              <w:spacing w:after="120"/>
              <w:rPr>
                <w:rFonts w:ascii="Century" w:hAnsi="Century" w:cs="Times New Roman"/>
                <w:sz w:val="28"/>
                <w:szCs w:val="28"/>
              </w:rPr>
            </w:pPr>
            <w:r w:rsidRPr="004354D7">
              <w:rPr>
                <w:rFonts w:ascii="Century" w:hAnsi="Century" w:cs="Times New Roman"/>
                <w:sz w:val="28"/>
                <w:szCs w:val="28"/>
              </w:rPr>
              <w:t>Steven Twist, Chair, Legal, Regulatory, &amp; Financial Services Committee,</w:t>
            </w:r>
          </w:p>
          <w:p w:rsidR="00830D76" w:rsidRPr="004354D7" w:rsidRDefault="00830D76" w:rsidP="00775DA5">
            <w:pPr>
              <w:rPr>
                <w:rFonts w:ascii="Century" w:hAnsi="Century" w:cs="Times New Roman"/>
                <w:sz w:val="28"/>
                <w:szCs w:val="28"/>
              </w:rPr>
            </w:pPr>
            <w:r w:rsidRPr="004354D7">
              <w:rPr>
                <w:rFonts w:ascii="Century" w:hAnsi="Century" w:cs="Times New Roman"/>
                <w:sz w:val="28"/>
                <w:szCs w:val="28"/>
              </w:rPr>
              <w:t>Arizona Chamber of Commerce &amp; Industry</w:t>
            </w:r>
          </w:p>
          <w:p w:rsidR="00106B65" w:rsidRPr="004354D7" w:rsidRDefault="00106B65" w:rsidP="00775DA5">
            <w:pPr>
              <w:rPr>
                <w:rFonts w:ascii="Century" w:hAnsi="Century" w:cs="Times New Roman"/>
                <w:sz w:val="28"/>
                <w:szCs w:val="28"/>
              </w:rPr>
            </w:pPr>
            <w:r w:rsidRPr="004354D7">
              <w:rPr>
                <w:rFonts w:ascii="Century" w:hAnsi="Century" w:cs="Times New Roman"/>
                <w:sz w:val="28"/>
                <w:szCs w:val="28"/>
              </w:rPr>
              <w:t>3200 N. Central Avenue, Suite 1125</w:t>
            </w:r>
          </w:p>
          <w:p w:rsidR="00106B65" w:rsidRPr="004354D7" w:rsidRDefault="00106B65" w:rsidP="00106B65">
            <w:pPr>
              <w:spacing w:after="120"/>
              <w:rPr>
                <w:rFonts w:ascii="Century" w:hAnsi="Century" w:cs="Times New Roman"/>
                <w:sz w:val="28"/>
                <w:szCs w:val="28"/>
              </w:rPr>
            </w:pPr>
            <w:r w:rsidRPr="004354D7">
              <w:rPr>
                <w:rFonts w:ascii="Century" w:hAnsi="Century" w:cs="Times New Roman"/>
                <w:sz w:val="28"/>
                <w:szCs w:val="28"/>
              </w:rPr>
              <w:t>Phoenix, Arizona 85012</w:t>
            </w:r>
          </w:p>
          <w:p w:rsidR="00830D76" w:rsidRPr="004354D7" w:rsidRDefault="00830D76" w:rsidP="00775DA5">
            <w:pPr>
              <w:rPr>
                <w:rFonts w:ascii="Century" w:hAnsi="Century" w:cs="Times New Roman"/>
                <w:i/>
                <w:sz w:val="28"/>
                <w:szCs w:val="28"/>
              </w:rPr>
            </w:pPr>
            <w:r w:rsidRPr="004354D7">
              <w:rPr>
                <w:rFonts w:ascii="Century" w:hAnsi="Century" w:cs="Times New Roman"/>
                <w:i/>
                <w:sz w:val="28"/>
                <w:szCs w:val="28"/>
              </w:rPr>
              <w:t>Petitioners</w:t>
            </w:r>
          </w:p>
          <w:p w:rsidR="00775DA5" w:rsidRPr="004354D7" w:rsidRDefault="00775DA5" w:rsidP="00775DA5">
            <w:pPr>
              <w:rPr>
                <w:rFonts w:ascii="Century" w:hAnsi="Century" w:cs="Times New Roman"/>
                <w:sz w:val="28"/>
                <w:szCs w:val="28"/>
              </w:rPr>
            </w:pPr>
          </w:p>
          <w:p w:rsidR="00775DA5" w:rsidRPr="004354D7" w:rsidRDefault="00775DA5" w:rsidP="00775DA5">
            <w:pPr>
              <w:rPr>
                <w:rFonts w:ascii="Century" w:hAnsi="Century" w:cs="Times New Roman"/>
                <w:sz w:val="28"/>
                <w:szCs w:val="28"/>
              </w:rPr>
            </w:pPr>
          </w:p>
        </w:tc>
        <w:tc>
          <w:tcPr>
            <w:tcW w:w="3084" w:type="dxa"/>
          </w:tcPr>
          <w:p w:rsidR="00775DA5" w:rsidRPr="004354D7" w:rsidRDefault="00775DA5" w:rsidP="00775DA5">
            <w:pPr>
              <w:ind w:left="113" w:right="113"/>
              <w:rPr>
                <w:rFonts w:ascii="Century" w:hAnsi="Century" w:cs="Times New Roman"/>
                <w:sz w:val="28"/>
                <w:szCs w:val="28"/>
              </w:rPr>
            </w:pPr>
          </w:p>
        </w:tc>
      </w:tr>
    </w:tbl>
    <w:p w:rsidR="00775DA5" w:rsidRPr="004354D7" w:rsidRDefault="00775DA5" w:rsidP="00775DA5">
      <w:pPr>
        <w:rPr>
          <w:rFonts w:ascii="Century" w:hAnsi="Century" w:cs="Times New Roman"/>
          <w:sz w:val="28"/>
          <w:szCs w:val="28"/>
        </w:rPr>
      </w:pPr>
    </w:p>
    <w:p w:rsidR="00775DA5" w:rsidRPr="004354D7" w:rsidRDefault="00143D76" w:rsidP="00775DA5">
      <w:pPr>
        <w:jc w:val="center"/>
        <w:rPr>
          <w:rFonts w:ascii="Century" w:hAnsi="Century" w:cs="Times New Roman"/>
          <w:b/>
          <w:sz w:val="28"/>
          <w:szCs w:val="28"/>
        </w:rPr>
      </w:pPr>
      <w:r w:rsidRPr="004354D7">
        <w:rPr>
          <w:rFonts w:ascii="Century" w:hAnsi="Century" w:cs="Times New Roman"/>
          <w:b/>
          <w:sz w:val="28"/>
          <w:szCs w:val="28"/>
        </w:rPr>
        <w:t>IN THE SUPREME COURT</w:t>
      </w:r>
    </w:p>
    <w:p w:rsidR="00775DA5" w:rsidRPr="004354D7" w:rsidRDefault="00143D76" w:rsidP="00775DA5">
      <w:pPr>
        <w:jc w:val="center"/>
        <w:rPr>
          <w:rFonts w:ascii="Century" w:hAnsi="Century" w:cs="Times New Roman"/>
          <w:sz w:val="28"/>
          <w:szCs w:val="28"/>
        </w:rPr>
      </w:pPr>
      <w:r w:rsidRPr="004354D7">
        <w:rPr>
          <w:rFonts w:ascii="Century" w:hAnsi="Century" w:cs="Times New Roman"/>
          <w:b/>
          <w:sz w:val="28"/>
          <w:szCs w:val="28"/>
        </w:rPr>
        <w:t>STATE OF ARIZONA</w:t>
      </w:r>
    </w:p>
    <w:p w:rsidR="00775DA5" w:rsidRPr="004354D7" w:rsidRDefault="00775DA5" w:rsidP="00775DA5">
      <w:pPr>
        <w:rPr>
          <w:rFonts w:ascii="Century" w:hAnsi="Century" w:cs="Times New Roman"/>
          <w:sz w:val="28"/>
          <w:szCs w:val="28"/>
        </w:rPr>
      </w:pPr>
    </w:p>
    <w:tbl>
      <w:tblPr>
        <w:tblW w:w="9672" w:type="dxa"/>
        <w:tblLayout w:type="fixed"/>
        <w:tblLook w:val="0000" w:firstRow="0" w:lastRow="0" w:firstColumn="0" w:lastColumn="0" w:noHBand="0" w:noVBand="0"/>
      </w:tblPr>
      <w:tblGrid>
        <w:gridCol w:w="4608"/>
        <w:gridCol w:w="5064"/>
      </w:tblGrid>
      <w:tr w:rsidR="00F02A99" w:rsidRPr="004354D7" w:rsidTr="00775DA5">
        <w:tc>
          <w:tcPr>
            <w:tcW w:w="4608" w:type="dxa"/>
            <w:tcBorders>
              <w:bottom w:val="single" w:sz="4" w:space="0" w:color="auto"/>
              <w:right w:val="single" w:sz="4" w:space="0" w:color="auto"/>
            </w:tcBorders>
            <w:shd w:val="clear" w:color="auto" w:fill="auto"/>
          </w:tcPr>
          <w:p w:rsidR="00775DA5" w:rsidRPr="004354D7" w:rsidRDefault="00775DA5" w:rsidP="00775DA5">
            <w:pPr>
              <w:ind w:right="144"/>
              <w:rPr>
                <w:rFonts w:ascii="Century" w:hAnsi="Century" w:cs="Times New Roman"/>
                <w:sz w:val="28"/>
                <w:szCs w:val="28"/>
              </w:rPr>
            </w:pPr>
          </w:p>
          <w:p w:rsidR="00775DA5" w:rsidRPr="004354D7" w:rsidRDefault="00143D76" w:rsidP="00775DA5">
            <w:pPr>
              <w:ind w:right="144"/>
              <w:rPr>
                <w:rFonts w:ascii="Century" w:hAnsi="Century" w:cs="Times New Roman"/>
                <w:sz w:val="28"/>
                <w:szCs w:val="28"/>
              </w:rPr>
            </w:pPr>
            <w:r w:rsidRPr="004354D7">
              <w:rPr>
                <w:rFonts w:ascii="Century" w:hAnsi="Century" w:cs="Times New Roman"/>
                <w:sz w:val="28"/>
                <w:szCs w:val="28"/>
              </w:rPr>
              <w:t>In the Matter of:</w:t>
            </w:r>
          </w:p>
          <w:p w:rsidR="00775DA5" w:rsidRPr="004354D7" w:rsidRDefault="00775DA5" w:rsidP="00775DA5">
            <w:pPr>
              <w:ind w:right="144"/>
              <w:rPr>
                <w:rFonts w:ascii="Century" w:hAnsi="Century" w:cs="Times New Roman"/>
                <w:sz w:val="28"/>
                <w:szCs w:val="28"/>
              </w:rPr>
            </w:pPr>
          </w:p>
          <w:p w:rsidR="00775DA5" w:rsidRPr="004354D7" w:rsidRDefault="00143D76" w:rsidP="00775DA5">
            <w:pPr>
              <w:ind w:right="144"/>
              <w:rPr>
                <w:rFonts w:ascii="Century" w:hAnsi="Century" w:cs="Times New Roman"/>
                <w:caps/>
                <w:sz w:val="28"/>
                <w:szCs w:val="28"/>
              </w:rPr>
            </w:pPr>
            <w:r w:rsidRPr="004354D7">
              <w:rPr>
                <w:rFonts w:ascii="Century" w:hAnsi="Century" w:cs="Times New Roman"/>
                <w:sz w:val="28"/>
                <w:szCs w:val="28"/>
              </w:rPr>
              <w:t xml:space="preserve">PETITION FOR AMENDMENTS TO </w:t>
            </w:r>
            <w:r w:rsidR="00830D76" w:rsidRPr="004354D7">
              <w:rPr>
                <w:rFonts w:ascii="Century" w:hAnsi="Century" w:cs="Times New Roman"/>
                <w:sz w:val="28"/>
                <w:szCs w:val="28"/>
              </w:rPr>
              <w:t xml:space="preserve">ARIZONA RULES OF CIVIL </w:t>
            </w:r>
            <w:r w:rsidRPr="004354D7">
              <w:rPr>
                <w:rFonts w:ascii="Century" w:hAnsi="Century" w:cs="Times New Roman"/>
                <w:sz w:val="28"/>
                <w:szCs w:val="28"/>
              </w:rPr>
              <w:t>PROCEDURE</w:t>
            </w:r>
            <w:r w:rsidR="00830D76" w:rsidRPr="004354D7">
              <w:rPr>
                <w:rFonts w:ascii="Century" w:hAnsi="Century" w:cs="Times New Roman"/>
                <w:sz w:val="28"/>
                <w:szCs w:val="28"/>
              </w:rPr>
              <w:t xml:space="preserve"> 11 AND 26</w:t>
            </w:r>
          </w:p>
          <w:p w:rsidR="00775DA5" w:rsidRPr="004354D7" w:rsidRDefault="00775DA5" w:rsidP="00775DA5">
            <w:pPr>
              <w:ind w:right="144"/>
              <w:rPr>
                <w:rFonts w:ascii="Century" w:hAnsi="Century" w:cs="Times New Roman"/>
                <w:sz w:val="28"/>
                <w:szCs w:val="28"/>
              </w:rPr>
            </w:pPr>
          </w:p>
        </w:tc>
        <w:tc>
          <w:tcPr>
            <w:tcW w:w="5064" w:type="dxa"/>
            <w:tcBorders>
              <w:left w:val="nil"/>
            </w:tcBorders>
          </w:tcPr>
          <w:p w:rsidR="00775DA5" w:rsidRPr="004354D7" w:rsidRDefault="00830D76" w:rsidP="00775DA5">
            <w:pPr>
              <w:tabs>
                <w:tab w:val="left" w:pos="1242"/>
              </w:tabs>
              <w:ind w:left="259" w:right="115"/>
              <w:rPr>
                <w:rFonts w:ascii="Century" w:hAnsi="Century" w:cs="Times New Roman"/>
                <w:sz w:val="28"/>
                <w:szCs w:val="28"/>
              </w:rPr>
            </w:pPr>
            <w:r w:rsidRPr="004354D7">
              <w:rPr>
                <w:rFonts w:ascii="Century" w:hAnsi="Century" w:cs="Times New Roman"/>
                <w:sz w:val="28"/>
                <w:szCs w:val="28"/>
              </w:rPr>
              <w:t>Supreme Court No. R-__</w:t>
            </w:r>
            <w:r w:rsidR="00143D76" w:rsidRPr="004354D7">
              <w:rPr>
                <w:rFonts w:ascii="Century" w:hAnsi="Century" w:cs="Times New Roman"/>
                <w:sz w:val="28"/>
                <w:szCs w:val="28"/>
              </w:rPr>
              <w:t>-____</w:t>
            </w:r>
          </w:p>
          <w:p w:rsidR="00775DA5" w:rsidRPr="004354D7" w:rsidRDefault="00775DA5" w:rsidP="00775DA5">
            <w:pPr>
              <w:tabs>
                <w:tab w:val="left" w:pos="1242"/>
              </w:tabs>
              <w:ind w:left="259" w:right="115"/>
              <w:rPr>
                <w:rFonts w:ascii="Century" w:hAnsi="Century" w:cs="Times New Roman"/>
                <w:sz w:val="28"/>
                <w:szCs w:val="28"/>
              </w:rPr>
            </w:pPr>
          </w:p>
          <w:p w:rsidR="00775DA5" w:rsidRPr="004354D7" w:rsidRDefault="00143D76" w:rsidP="00106B65">
            <w:pPr>
              <w:ind w:left="259" w:right="115"/>
              <w:rPr>
                <w:rFonts w:ascii="Century" w:hAnsi="Century" w:cs="Times New Roman"/>
                <w:b/>
                <w:sz w:val="28"/>
                <w:szCs w:val="28"/>
              </w:rPr>
            </w:pPr>
            <w:r w:rsidRPr="004354D7">
              <w:rPr>
                <w:rFonts w:ascii="Century" w:hAnsi="Century" w:cs="Times New Roman"/>
                <w:b/>
                <w:sz w:val="28"/>
                <w:szCs w:val="28"/>
              </w:rPr>
              <w:t xml:space="preserve">Petition to </w:t>
            </w:r>
            <w:r w:rsidR="003C2F9D" w:rsidRPr="004354D7">
              <w:rPr>
                <w:rFonts w:ascii="Century" w:hAnsi="Century" w:cs="Times New Roman"/>
                <w:b/>
                <w:sz w:val="28"/>
                <w:szCs w:val="28"/>
              </w:rPr>
              <w:t xml:space="preserve">Further </w:t>
            </w:r>
            <w:r w:rsidRPr="004354D7">
              <w:rPr>
                <w:rFonts w:ascii="Century" w:hAnsi="Century" w:cs="Times New Roman"/>
                <w:b/>
                <w:sz w:val="28"/>
                <w:szCs w:val="28"/>
              </w:rPr>
              <w:t xml:space="preserve">Amend the Arizona Rules of Civil Procedure to </w:t>
            </w:r>
            <w:r w:rsidR="00106B65" w:rsidRPr="004354D7">
              <w:rPr>
                <w:rFonts w:ascii="Century" w:hAnsi="Century" w:cs="Times New Roman"/>
                <w:b/>
                <w:sz w:val="28"/>
                <w:szCs w:val="28"/>
              </w:rPr>
              <w:t>Modify Rule 11 and Add Rule 26(b)(2)(D)</w:t>
            </w:r>
          </w:p>
          <w:p w:rsidR="0033426B" w:rsidRPr="004354D7" w:rsidRDefault="0033426B" w:rsidP="00106B65">
            <w:pPr>
              <w:ind w:left="259" w:right="115"/>
              <w:rPr>
                <w:rFonts w:ascii="Century" w:hAnsi="Century" w:cs="Times New Roman"/>
                <w:b/>
                <w:sz w:val="28"/>
                <w:szCs w:val="28"/>
              </w:rPr>
            </w:pPr>
          </w:p>
          <w:p w:rsidR="0033426B" w:rsidRPr="004354D7" w:rsidRDefault="0033426B" w:rsidP="00106B65">
            <w:pPr>
              <w:ind w:left="259" w:right="115"/>
              <w:rPr>
                <w:rFonts w:ascii="Century" w:hAnsi="Century" w:cs="Times New Roman"/>
                <w:b/>
                <w:i/>
                <w:sz w:val="28"/>
                <w:szCs w:val="28"/>
              </w:rPr>
            </w:pPr>
            <w:r w:rsidRPr="004354D7">
              <w:rPr>
                <w:rFonts w:ascii="Century" w:hAnsi="Century" w:cs="Times New Roman"/>
                <w:b/>
                <w:sz w:val="28"/>
                <w:szCs w:val="28"/>
              </w:rPr>
              <w:t>(</w:t>
            </w:r>
            <w:r w:rsidRPr="004354D7">
              <w:rPr>
                <w:rFonts w:ascii="Century" w:hAnsi="Century" w:cs="Times New Roman"/>
                <w:b/>
                <w:i/>
                <w:sz w:val="28"/>
                <w:szCs w:val="28"/>
              </w:rPr>
              <w:t>Expedited Consideration Requested</w:t>
            </w:r>
            <w:r w:rsidRPr="004354D7">
              <w:rPr>
                <w:rFonts w:ascii="Century" w:hAnsi="Century" w:cs="Times New Roman"/>
                <w:b/>
                <w:sz w:val="28"/>
                <w:szCs w:val="28"/>
              </w:rPr>
              <w:t>)</w:t>
            </w:r>
          </w:p>
        </w:tc>
      </w:tr>
    </w:tbl>
    <w:p w:rsidR="00775DA5" w:rsidRPr="004354D7" w:rsidRDefault="00775DA5" w:rsidP="00775DA5">
      <w:pPr>
        <w:pStyle w:val="BodyText"/>
        <w:spacing w:after="0"/>
        <w:ind w:firstLine="0"/>
        <w:rPr>
          <w:rFonts w:ascii="Century" w:hAnsi="Century"/>
          <w:sz w:val="28"/>
          <w:szCs w:val="28"/>
        </w:rPr>
      </w:pPr>
    </w:p>
    <w:p w:rsidR="001D1C91" w:rsidRPr="004354D7" w:rsidRDefault="001D1C91" w:rsidP="00775DA5">
      <w:pPr>
        <w:pStyle w:val="BodyText"/>
        <w:spacing w:after="0" w:line="480" w:lineRule="auto"/>
        <w:jc w:val="both"/>
        <w:rPr>
          <w:rFonts w:ascii="Century" w:hAnsi="Century"/>
          <w:sz w:val="28"/>
          <w:szCs w:val="28"/>
        </w:rPr>
      </w:pPr>
    </w:p>
    <w:p w:rsidR="001D1C91" w:rsidRPr="004354D7" w:rsidRDefault="001D1C91" w:rsidP="00775DA5">
      <w:pPr>
        <w:pStyle w:val="BodyText"/>
        <w:spacing w:after="0" w:line="480" w:lineRule="auto"/>
        <w:jc w:val="both"/>
        <w:rPr>
          <w:rFonts w:ascii="Century" w:hAnsi="Century"/>
          <w:sz w:val="28"/>
          <w:szCs w:val="28"/>
        </w:rPr>
      </w:pPr>
      <w:r w:rsidRPr="004354D7">
        <w:rPr>
          <w:rFonts w:ascii="Century" w:hAnsi="Century"/>
          <w:sz w:val="28"/>
          <w:szCs w:val="28"/>
        </w:rPr>
        <w:t>///</w:t>
      </w:r>
    </w:p>
    <w:p w:rsidR="001D1C91" w:rsidRPr="004354D7" w:rsidRDefault="001D1C91" w:rsidP="00775DA5">
      <w:pPr>
        <w:pStyle w:val="BodyText"/>
        <w:spacing w:after="0" w:line="480" w:lineRule="auto"/>
        <w:jc w:val="both"/>
        <w:rPr>
          <w:rFonts w:ascii="Century" w:hAnsi="Century"/>
          <w:sz w:val="28"/>
          <w:szCs w:val="28"/>
        </w:rPr>
      </w:pPr>
      <w:r w:rsidRPr="004354D7">
        <w:rPr>
          <w:rFonts w:ascii="Century" w:hAnsi="Century"/>
          <w:sz w:val="28"/>
          <w:szCs w:val="28"/>
        </w:rPr>
        <w:t>///</w:t>
      </w:r>
    </w:p>
    <w:p w:rsidR="001D1C91" w:rsidRPr="004354D7" w:rsidRDefault="001D1C91" w:rsidP="00775DA5">
      <w:pPr>
        <w:pStyle w:val="BodyText"/>
        <w:spacing w:after="0" w:line="480" w:lineRule="auto"/>
        <w:jc w:val="both"/>
        <w:rPr>
          <w:rFonts w:ascii="Century" w:hAnsi="Century"/>
          <w:sz w:val="28"/>
          <w:szCs w:val="28"/>
        </w:rPr>
      </w:pPr>
      <w:r w:rsidRPr="004354D7">
        <w:rPr>
          <w:rFonts w:ascii="Century" w:hAnsi="Century"/>
          <w:sz w:val="28"/>
          <w:szCs w:val="28"/>
        </w:rPr>
        <w:t>///</w:t>
      </w:r>
    </w:p>
    <w:p w:rsidR="002E11B2" w:rsidRPr="004354D7" w:rsidRDefault="00143D76" w:rsidP="00775DA5">
      <w:pPr>
        <w:pStyle w:val="BodyText"/>
        <w:spacing w:after="0" w:line="480" w:lineRule="auto"/>
        <w:jc w:val="both"/>
        <w:rPr>
          <w:rFonts w:ascii="Century" w:hAnsi="Century"/>
          <w:sz w:val="28"/>
          <w:szCs w:val="28"/>
        </w:rPr>
      </w:pPr>
      <w:r w:rsidRPr="004354D7">
        <w:rPr>
          <w:rFonts w:ascii="Century" w:hAnsi="Century"/>
          <w:sz w:val="28"/>
          <w:szCs w:val="28"/>
        </w:rPr>
        <w:lastRenderedPageBreak/>
        <w:t>Pursuant to Rule 28, Rules of the Arizona Supreme Court, the undersigned respectfully petition this Court to adopt certain necessary amendments to the Arizona Rules of Civil Procedure</w:t>
      </w:r>
      <w:r w:rsidR="003C2F9D" w:rsidRPr="004354D7">
        <w:rPr>
          <w:rFonts w:ascii="Century" w:hAnsi="Century"/>
          <w:sz w:val="28"/>
          <w:szCs w:val="28"/>
        </w:rPr>
        <w:t xml:space="preserve"> on an expedited basis</w:t>
      </w:r>
      <w:r w:rsidRPr="004354D7">
        <w:rPr>
          <w:rFonts w:ascii="Century" w:hAnsi="Century"/>
          <w:sz w:val="28"/>
          <w:szCs w:val="28"/>
        </w:rPr>
        <w:t xml:space="preserve">, as proposed in the attached Appendix A.  </w:t>
      </w:r>
      <w:r w:rsidR="00E56EED" w:rsidRPr="004354D7">
        <w:rPr>
          <w:rFonts w:ascii="Century" w:hAnsi="Century"/>
          <w:sz w:val="28"/>
          <w:szCs w:val="28"/>
        </w:rPr>
        <w:t>These particular amendments were unanimously recommended by this Court’s Committee on Civil Justice Reform</w:t>
      </w:r>
      <w:r w:rsidR="000F5D68" w:rsidRPr="004354D7">
        <w:rPr>
          <w:rFonts w:ascii="Century" w:hAnsi="Century"/>
          <w:sz w:val="28"/>
          <w:szCs w:val="28"/>
        </w:rPr>
        <w:t xml:space="preserve"> (</w:t>
      </w:r>
      <w:proofErr w:type="spellStart"/>
      <w:r w:rsidR="000F5D68" w:rsidRPr="004354D7">
        <w:rPr>
          <w:rFonts w:ascii="Century" w:hAnsi="Century"/>
          <w:sz w:val="28"/>
          <w:szCs w:val="28"/>
        </w:rPr>
        <w:t>CCJR</w:t>
      </w:r>
      <w:proofErr w:type="spellEnd"/>
      <w:r w:rsidR="000F5D68" w:rsidRPr="004354D7">
        <w:rPr>
          <w:rFonts w:ascii="Century" w:hAnsi="Century"/>
          <w:sz w:val="28"/>
          <w:szCs w:val="28"/>
        </w:rPr>
        <w:t>)</w:t>
      </w:r>
      <w:r w:rsidR="00E56EED" w:rsidRPr="004354D7">
        <w:rPr>
          <w:rFonts w:ascii="Century" w:hAnsi="Century"/>
          <w:sz w:val="28"/>
          <w:szCs w:val="28"/>
        </w:rPr>
        <w:t>, but were left out of the Court’s Order</w:t>
      </w:r>
      <w:r w:rsidR="000F5D68" w:rsidRPr="004354D7">
        <w:rPr>
          <w:rFonts w:ascii="Century" w:hAnsi="Century"/>
          <w:sz w:val="28"/>
          <w:szCs w:val="28"/>
        </w:rPr>
        <w:t xml:space="preserve"> on the petition filed by that Committee. Though the amendments</w:t>
      </w:r>
      <w:r w:rsidR="005C443C" w:rsidRPr="004354D7">
        <w:rPr>
          <w:rFonts w:ascii="Century" w:hAnsi="Century"/>
          <w:sz w:val="28"/>
          <w:szCs w:val="28"/>
        </w:rPr>
        <w:t xml:space="preserve">—which were </w:t>
      </w:r>
      <w:proofErr w:type="gramStart"/>
      <w:r w:rsidR="005C443C" w:rsidRPr="004354D7">
        <w:rPr>
          <w:rFonts w:ascii="Century" w:hAnsi="Century"/>
          <w:sz w:val="28"/>
          <w:szCs w:val="28"/>
        </w:rPr>
        <w:t>key</w:t>
      </w:r>
      <w:proofErr w:type="gramEnd"/>
      <w:r w:rsidR="005C443C" w:rsidRPr="004354D7">
        <w:rPr>
          <w:rFonts w:ascii="Century" w:hAnsi="Century"/>
          <w:sz w:val="28"/>
          <w:szCs w:val="28"/>
        </w:rPr>
        <w:t xml:space="preserve"> to the Court’s mission for the </w:t>
      </w:r>
      <w:proofErr w:type="spellStart"/>
      <w:r w:rsidR="005C443C" w:rsidRPr="004354D7">
        <w:rPr>
          <w:rFonts w:ascii="Century" w:hAnsi="Century"/>
          <w:sz w:val="28"/>
          <w:szCs w:val="28"/>
        </w:rPr>
        <w:t>CCJR</w:t>
      </w:r>
      <w:proofErr w:type="spellEnd"/>
      <w:r w:rsidR="005C443C" w:rsidRPr="004354D7">
        <w:rPr>
          <w:rFonts w:ascii="Century" w:hAnsi="Century"/>
          <w:sz w:val="28"/>
          <w:szCs w:val="28"/>
        </w:rPr>
        <w:t>—</w:t>
      </w:r>
      <w:r w:rsidR="000F5D68" w:rsidRPr="004354D7">
        <w:rPr>
          <w:rFonts w:ascii="Century" w:hAnsi="Century"/>
          <w:sz w:val="28"/>
          <w:szCs w:val="28"/>
        </w:rPr>
        <w:t xml:space="preserve"> faced just a single comment in opposition</w:t>
      </w:r>
      <w:r w:rsidR="00051EF7" w:rsidRPr="004354D7">
        <w:rPr>
          <w:rFonts w:ascii="Century" w:hAnsi="Century"/>
          <w:sz w:val="28"/>
          <w:szCs w:val="28"/>
        </w:rPr>
        <w:t xml:space="preserve"> during the entire Rule 28 process</w:t>
      </w:r>
      <w:r w:rsidR="000F5D68" w:rsidRPr="004354D7">
        <w:rPr>
          <w:rFonts w:ascii="Century" w:hAnsi="Century"/>
          <w:sz w:val="28"/>
          <w:szCs w:val="28"/>
        </w:rPr>
        <w:t xml:space="preserve">, </w:t>
      </w:r>
      <w:r w:rsidR="00051EF7" w:rsidRPr="004354D7">
        <w:rPr>
          <w:rFonts w:ascii="Century" w:hAnsi="Century"/>
          <w:sz w:val="28"/>
          <w:szCs w:val="28"/>
        </w:rPr>
        <w:t xml:space="preserve">they were not adopted. </w:t>
      </w:r>
      <w:r w:rsidR="00716851" w:rsidRPr="004354D7">
        <w:rPr>
          <w:rFonts w:ascii="Century" w:hAnsi="Century"/>
          <w:sz w:val="28"/>
          <w:szCs w:val="28"/>
        </w:rPr>
        <w:t xml:space="preserve">These amendments were aimed at, and necessary to, the goal of reducing the time and expense of civil litigation in Arizona’s courts. </w:t>
      </w:r>
      <w:r w:rsidR="0040106D" w:rsidRPr="004354D7">
        <w:rPr>
          <w:rFonts w:ascii="Century" w:hAnsi="Century"/>
          <w:sz w:val="28"/>
          <w:szCs w:val="28"/>
        </w:rPr>
        <w:t>One of them (the addition of Rule 26(b</w:t>
      </w:r>
      <w:proofErr w:type="gramStart"/>
      <w:r w:rsidR="0040106D" w:rsidRPr="004354D7">
        <w:rPr>
          <w:rFonts w:ascii="Century" w:hAnsi="Century"/>
          <w:sz w:val="28"/>
          <w:szCs w:val="28"/>
        </w:rPr>
        <w:t>)(</w:t>
      </w:r>
      <w:proofErr w:type="gramEnd"/>
      <w:r w:rsidR="0040106D" w:rsidRPr="004354D7">
        <w:rPr>
          <w:rFonts w:ascii="Century" w:hAnsi="Century"/>
          <w:sz w:val="28"/>
          <w:szCs w:val="28"/>
        </w:rPr>
        <w:t>2)(D)) will likely reduce or prevent</w:t>
      </w:r>
      <w:r w:rsidR="002F126F" w:rsidRPr="004354D7">
        <w:rPr>
          <w:rFonts w:ascii="Century" w:hAnsi="Century"/>
          <w:sz w:val="28"/>
          <w:szCs w:val="28"/>
        </w:rPr>
        <w:t xml:space="preserve"> needless</w:t>
      </w:r>
      <w:r w:rsidR="0040106D" w:rsidRPr="004354D7">
        <w:rPr>
          <w:rFonts w:ascii="Century" w:hAnsi="Century"/>
          <w:sz w:val="28"/>
          <w:szCs w:val="28"/>
        </w:rPr>
        <w:t xml:space="preserve"> satellite litigation over</w:t>
      </w:r>
      <w:r w:rsidR="00352B9F" w:rsidRPr="004354D7">
        <w:rPr>
          <w:rFonts w:ascii="Century" w:hAnsi="Century"/>
          <w:sz w:val="28"/>
          <w:szCs w:val="28"/>
        </w:rPr>
        <w:t xml:space="preserve"> the enforceability of</w:t>
      </w:r>
      <w:r w:rsidR="0040106D" w:rsidRPr="004354D7">
        <w:rPr>
          <w:rFonts w:ascii="Century" w:hAnsi="Century"/>
          <w:sz w:val="28"/>
          <w:szCs w:val="28"/>
        </w:rPr>
        <w:t xml:space="preserve"> pre-dispute, negotiated discover</w:t>
      </w:r>
      <w:r w:rsidR="002F126F" w:rsidRPr="004354D7">
        <w:rPr>
          <w:rFonts w:ascii="Century" w:hAnsi="Century"/>
          <w:sz w:val="28"/>
          <w:szCs w:val="28"/>
        </w:rPr>
        <w:t>y, disclosure, and preservation</w:t>
      </w:r>
      <w:r w:rsidR="0040106D" w:rsidRPr="004354D7">
        <w:rPr>
          <w:rFonts w:ascii="Century" w:hAnsi="Century"/>
          <w:sz w:val="28"/>
          <w:szCs w:val="28"/>
        </w:rPr>
        <w:t xml:space="preserve"> terms in business contracts and transactions. </w:t>
      </w:r>
    </w:p>
    <w:p w:rsidR="00775DA5" w:rsidRPr="004354D7" w:rsidRDefault="005C443C" w:rsidP="00775DA5">
      <w:pPr>
        <w:pStyle w:val="BodyText"/>
        <w:spacing w:after="0" w:line="480" w:lineRule="auto"/>
        <w:jc w:val="both"/>
        <w:rPr>
          <w:rFonts w:ascii="Century" w:hAnsi="Century"/>
          <w:sz w:val="28"/>
          <w:szCs w:val="28"/>
        </w:rPr>
      </w:pPr>
      <w:r w:rsidRPr="004354D7">
        <w:rPr>
          <w:rFonts w:ascii="Century" w:hAnsi="Century"/>
          <w:sz w:val="28"/>
          <w:szCs w:val="28"/>
        </w:rPr>
        <w:t>For the following reasons, the</w:t>
      </w:r>
      <w:r w:rsidR="00051EF7" w:rsidRPr="004354D7">
        <w:rPr>
          <w:rFonts w:ascii="Century" w:hAnsi="Century"/>
          <w:sz w:val="28"/>
          <w:szCs w:val="28"/>
        </w:rPr>
        <w:t xml:space="preserve"> Court should reconsider these indispensable amendments</w:t>
      </w:r>
      <w:r w:rsidR="001D4D7D" w:rsidRPr="004354D7">
        <w:rPr>
          <w:rFonts w:ascii="Century" w:hAnsi="Century"/>
          <w:sz w:val="28"/>
          <w:szCs w:val="28"/>
        </w:rPr>
        <w:t xml:space="preserve"> before or as part of its December 2017 Rules Agenda</w:t>
      </w:r>
      <w:r w:rsidR="00977C98" w:rsidRPr="004354D7">
        <w:rPr>
          <w:rFonts w:ascii="Century" w:hAnsi="Century"/>
          <w:sz w:val="28"/>
          <w:szCs w:val="28"/>
        </w:rPr>
        <w:t xml:space="preserve"> and adopt them effective July 1, 2018</w:t>
      </w:r>
      <w:r w:rsidR="00EA43D3" w:rsidRPr="004354D7">
        <w:rPr>
          <w:rFonts w:ascii="Century" w:hAnsi="Century"/>
          <w:sz w:val="28"/>
          <w:szCs w:val="28"/>
        </w:rPr>
        <w:t xml:space="preserve">, when most of the rest of </w:t>
      </w:r>
      <w:r w:rsidR="00EA43D3" w:rsidRPr="004354D7">
        <w:rPr>
          <w:rFonts w:ascii="Century" w:hAnsi="Century"/>
          <w:sz w:val="28"/>
          <w:szCs w:val="28"/>
        </w:rPr>
        <w:lastRenderedPageBreak/>
        <w:t xml:space="preserve">the </w:t>
      </w:r>
      <w:proofErr w:type="spellStart"/>
      <w:r w:rsidR="00EA43D3" w:rsidRPr="004354D7">
        <w:rPr>
          <w:rFonts w:ascii="Century" w:hAnsi="Century"/>
          <w:sz w:val="28"/>
          <w:szCs w:val="28"/>
        </w:rPr>
        <w:t>CCJR’s</w:t>
      </w:r>
      <w:proofErr w:type="spellEnd"/>
      <w:r w:rsidR="00EA43D3" w:rsidRPr="004354D7">
        <w:rPr>
          <w:rFonts w:ascii="Century" w:hAnsi="Century"/>
          <w:sz w:val="28"/>
          <w:szCs w:val="28"/>
        </w:rPr>
        <w:t xml:space="preserve"> work takes effect</w:t>
      </w:r>
      <w:r w:rsidR="00051EF7" w:rsidRPr="004354D7">
        <w:rPr>
          <w:rFonts w:ascii="Century" w:hAnsi="Century"/>
          <w:sz w:val="28"/>
          <w:szCs w:val="28"/>
        </w:rPr>
        <w:t>.</w:t>
      </w:r>
      <w:r w:rsidR="002E11B2" w:rsidRPr="004354D7">
        <w:rPr>
          <w:rFonts w:ascii="Century" w:hAnsi="Century"/>
          <w:sz w:val="28"/>
          <w:szCs w:val="28"/>
        </w:rPr>
        <w:t xml:space="preserve"> Petitioners</w:t>
      </w:r>
      <w:r w:rsidR="004354D7" w:rsidRPr="004354D7">
        <w:rPr>
          <w:rStyle w:val="FootnoteReference"/>
          <w:rFonts w:ascii="Century" w:hAnsi="Century"/>
          <w:sz w:val="28"/>
          <w:szCs w:val="28"/>
        </w:rPr>
        <w:footnoteReference w:id="1"/>
      </w:r>
      <w:r w:rsidR="002E11B2" w:rsidRPr="004354D7">
        <w:rPr>
          <w:rFonts w:ascii="Century" w:hAnsi="Century"/>
          <w:sz w:val="28"/>
          <w:szCs w:val="28"/>
        </w:rPr>
        <w:t xml:space="preserve"> and the Arizona public have vested interests in reducing the time and costs involved in resolving litigation in Arizona’s courts. The amendments proposed herein </w:t>
      </w:r>
      <w:r w:rsidR="00CC55B7" w:rsidRPr="004354D7">
        <w:rPr>
          <w:rFonts w:ascii="Century" w:hAnsi="Century"/>
          <w:sz w:val="28"/>
          <w:szCs w:val="28"/>
        </w:rPr>
        <w:t>have</w:t>
      </w:r>
      <w:r w:rsidR="002E11B2" w:rsidRPr="004354D7">
        <w:rPr>
          <w:rFonts w:ascii="Century" w:hAnsi="Century"/>
          <w:sz w:val="28"/>
          <w:szCs w:val="28"/>
        </w:rPr>
        <w:t xml:space="preserve"> that exact aim.</w:t>
      </w:r>
    </w:p>
    <w:p w:rsidR="0088631F" w:rsidRPr="004354D7" w:rsidRDefault="0088631F" w:rsidP="0088631F">
      <w:pPr>
        <w:pStyle w:val="Pleading1L1"/>
        <w:spacing w:after="0" w:line="480" w:lineRule="auto"/>
        <w:rPr>
          <w:rFonts w:ascii="Century" w:hAnsi="Century"/>
          <w:sz w:val="28"/>
          <w:szCs w:val="28"/>
        </w:rPr>
      </w:pPr>
      <w:r w:rsidRPr="004354D7">
        <w:rPr>
          <w:rFonts w:ascii="Century" w:hAnsi="Century"/>
          <w:sz w:val="28"/>
          <w:szCs w:val="28"/>
        </w:rPr>
        <w:t>background of the proposed amendments</w:t>
      </w:r>
    </w:p>
    <w:p w:rsidR="0088631F" w:rsidRPr="004354D7" w:rsidRDefault="0088631F" w:rsidP="0088631F">
      <w:pPr>
        <w:pStyle w:val="BodyText"/>
        <w:spacing w:after="0" w:line="480" w:lineRule="auto"/>
        <w:jc w:val="both"/>
        <w:rPr>
          <w:rFonts w:ascii="Century" w:hAnsi="Century"/>
          <w:sz w:val="28"/>
          <w:szCs w:val="28"/>
        </w:rPr>
      </w:pPr>
      <w:r w:rsidRPr="004354D7">
        <w:rPr>
          <w:rFonts w:ascii="Century" w:hAnsi="Century"/>
          <w:sz w:val="28"/>
          <w:szCs w:val="28"/>
        </w:rPr>
        <w:t xml:space="preserve">The Arizona Rules of Civil Procedure relevant to this Petition (Rules 11 and 26), as modified by this Court during its August 2017 Rules Agenda will take effect on July 1, 2018. Those revised rules </w:t>
      </w:r>
      <w:r w:rsidR="00EA43D3" w:rsidRPr="004354D7">
        <w:rPr>
          <w:rFonts w:ascii="Century" w:hAnsi="Century"/>
          <w:sz w:val="28"/>
          <w:szCs w:val="28"/>
        </w:rPr>
        <w:t xml:space="preserve">were proposed by the </w:t>
      </w:r>
      <w:proofErr w:type="spellStart"/>
      <w:r w:rsidR="00EA43D3" w:rsidRPr="004354D7">
        <w:rPr>
          <w:rFonts w:ascii="Century" w:hAnsi="Century"/>
          <w:sz w:val="28"/>
          <w:szCs w:val="28"/>
        </w:rPr>
        <w:t>CCJR</w:t>
      </w:r>
      <w:proofErr w:type="spellEnd"/>
      <w:r w:rsidR="00EA43D3" w:rsidRPr="004354D7">
        <w:rPr>
          <w:rFonts w:ascii="Century" w:hAnsi="Century"/>
          <w:sz w:val="28"/>
          <w:szCs w:val="28"/>
        </w:rPr>
        <w:t xml:space="preserve"> and adopted </w:t>
      </w:r>
      <w:r w:rsidRPr="004354D7">
        <w:rPr>
          <w:rFonts w:ascii="Century" w:hAnsi="Century"/>
          <w:sz w:val="28"/>
          <w:szCs w:val="28"/>
        </w:rPr>
        <w:t>as modified by this Court’s Order on</w:t>
      </w:r>
      <w:r w:rsidR="00EA43D3" w:rsidRPr="004354D7">
        <w:rPr>
          <w:rFonts w:ascii="Century" w:hAnsi="Century"/>
          <w:sz w:val="28"/>
          <w:szCs w:val="28"/>
        </w:rPr>
        <w:t xml:space="preserve"> the </w:t>
      </w:r>
      <w:proofErr w:type="spellStart"/>
      <w:r w:rsidR="00EA43D3" w:rsidRPr="004354D7">
        <w:rPr>
          <w:rFonts w:ascii="Century" w:hAnsi="Century"/>
          <w:sz w:val="28"/>
          <w:szCs w:val="28"/>
        </w:rPr>
        <w:t>CCJR</w:t>
      </w:r>
      <w:proofErr w:type="spellEnd"/>
      <w:r w:rsidRPr="004354D7">
        <w:rPr>
          <w:rFonts w:ascii="Century" w:hAnsi="Century"/>
          <w:sz w:val="28"/>
          <w:szCs w:val="28"/>
        </w:rPr>
        <w:t xml:space="preserve"> Petition</w:t>
      </w:r>
      <w:r w:rsidR="00EA43D3" w:rsidRPr="004354D7">
        <w:rPr>
          <w:rFonts w:ascii="Century" w:hAnsi="Century"/>
          <w:sz w:val="28"/>
          <w:szCs w:val="28"/>
        </w:rPr>
        <w:t>,</w:t>
      </w:r>
      <w:r w:rsidRPr="004354D7">
        <w:rPr>
          <w:rFonts w:ascii="Century" w:hAnsi="Century"/>
          <w:sz w:val="28"/>
          <w:szCs w:val="28"/>
        </w:rPr>
        <w:t xml:space="preserve"> R-17-0010. This Petition seeks the Court’s </w:t>
      </w:r>
      <w:r w:rsidR="007A507E">
        <w:rPr>
          <w:rFonts w:ascii="Century" w:hAnsi="Century"/>
          <w:sz w:val="28"/>
          <w:szCs w:val="28"/>
        </w:rPr>
        <w:t>re</w:t>
      </w:r>
      <w:r w:rsidRPr="004354D7">
        <w:rPr>
          <w:rFonts w:ascii="Century" w:hAnsi="Century"/>
          <w:sz w:val="28"/>
          <w:szCs w:val="28"/>
        </w:rPr>
        <w:t>consideration of two sets of crucial amendments left out of the Court’s</w:t>
      </w:r>
      <w:r w:rsidR="00EA43D3" w:rsidRPr="004354D7">
        <w:rPr>
          <w:rFonts w:ascii="Century" w:hAnsi="Century"/>
          <w:sz w:val="28"/>
          <w:szCs w:val="28"/>
        </w:rPr>
        <w:t xml:space="preserve"> August 31, 2017,</w:t>
      </w:r>
      <w:r w:rsidRPr="004354D7">
        <w:rPr>
          <w:rFonts w:ascii="Century" w:hAnsi="Century"/>
          <w:sz w:val="28"/>
          <w:szCs w:val="28"/>
        </w:rPr>
        <w:t xml:space="preserve"> Order</w:t>
      </w:r>
      <w:r w:rsidRPr="004354D7">
        <w:rPr>
          <w:rStyle w:val="FootnoteReference"/>
          <w:rFonts w:ascii="Century" w:hAnsi="Century"/>
          <w:sz w:val="28"/>
          <w:szCs w:val="28"/>
        </w:rPr>
        <w:footnoteReference w:id="2"/>
      </w:r>
      <w:r w:rsidRPr="004354D7">
        <w:rPr>
          <w:rFonts w:ascii="Century" w:hAnsi="Century"/>
          <w:sz w:val="28"/>
          <w:szCs w:val="28"/>
        </w:rPr>
        <w:t xml:space="preserve"> on </w:t>
      </w:r>
      <w:r w:rsidR="00EA43D3" w:rsidRPr="004354D7">
        <w:rPr>
          <w:rFonts w:ascii="Century" w:hAnsi="Century"/>
          <w:sz w:val="28"/>
          <w:szCs w:val="28"/>
        </w:rPr>
        <w:t>R-17-0010</w:t>
      </w:r>
      <w:r w:rsidRPr="004354D7">
        <w:rPr>
          <w:rFonts w:ascii="Century" w:hAnsi="Century"/>
          <w:sz w:val="28"/>
          <w:szCs w:val="28"/>
        </w:rPr>
        <w:t xml:space="preserve">. </w:t>
      </w:r>
      <w:r w:rsidR="00650285" w:rsidRPr="004354D7">
        <w:rPr>
          <w:rFonts w:ascii="Century" w:hAnsi="Century"/>
          <w:sz w:val="28"/>
          <w:szCs w:val="28"/>
        </w:rPr>
        <w:t xml:space="preserve">The amendments were omitted despite their unanimous support </w:t>
      </w:r>
      <w:proofErr w:type="gramStart"/>
      <w:r w:rsidR="00650285" w:rsidRPr="004354D7">
        <w:rPr>
          <w:rFonts w:ascii="Century" w:hAnsi="Century"/>
          <w:sz w:val="28"/>
          <w:szCs w:val="28"/>
        </w:rPr>
        <w:t>within</w:t>
      </w:r>
      <w:r w:rsidR="00CC55B7" w:rsidRPr="004354D7">
        <w:rPr>
          <w:rFonts w:ascii="Century" w:hAnsi="Century"/>
          <w:sz w:val="28"/>
          <w:szCs w:val="28"/>
        </w:rPr>
        <w:t>,</w:t>
      </w:r>
      <w:proofErr w:type="gramEnd"/>
      <w:r w:rsidR="00650285" w:rsidRPr="004354D7">
        <w:rPr>
          <w:rFonts w:ascii="Century" w:hAnsi="Century"/>
          <w:sz w:val="28"/>
          <w:szCs w:val="28"/>
        </w:rPr>
        <w:t xml:space="preserve"> and recommendation by</w:t>
      </w:r>
      <w:r w:rsidR="00CC55B7" w:rsidRPr="004354D7">
        <w:rPr>
          <w:rFonts w:ascii="Century" w:hAnsi="Century"/>
          <w:sz w:val="28"/>
          <w:szCs w:val="28"/>
        </w:rPr>
        <w:t>,</w:t>
      </w:r>
      <w:r w:rsidR="00650285" w:rsidRPr="004354D7">
        <w:rPr>
          <w:rFonts w:ascii="Century" w:hAnsi="Century"/>
          <w:sz w:val="28"/>
          <w:szCs w:val="28"/>
        </w:rPr>
        <w:t xml:space="preserve"> the </w:t>
      </w:r>
      <w:proofErr w:type="spellStart"/>
      <w:r w:rsidR="00650285" w:rsidRPr="004354D7">
        <w:rPr>
          <w:rFonts w:ascii="Century" w:hAnsi="Century"/>
          <w:sz w:val="28"/>
          <w:szCs w:val="28"/>
        </w:rPr>
        <w:t>CCJR</w:t>
      </w:r>
      <w:proofErr w:type="spellEnd"/>
      <w:r w:rsidR="00650285" w:rsidRPr="004354D7">
        <w:rPr>
          <w:rFonts w:ascii="Century" w:hAnsi="Century"/>
          <w:sz w:val="28"/>
          <w:szCs w:val="28"/>
        </w:rPr>
        <w:t xml:space="preserve">, which proposed them to make “Arizona litigation more just, speedy, and inexpensive.” </w:t>
      </w:r>
      <w:proofErr w:type="gramStart"/>
      <w:r w:rsidR="004C1E24" w:rsidRPr="004354D7">
        <w:rPr>
          <w:rFonts w:ascii="Century" w:hAnsi="Century"/>
          <w:sz w:val="28"/>
          <w:szCs w:val="28"/>
        </w:rPr>
        <w:t>(</w:t>
      </w:r>
      <w:proofErr w:type="spellStart"/>
      <w:r w:rsidR="004C1E24" w:rsidRPr="004354D7">
        <w:rPr>
          <w:rFonts w:ascii="Century" w:hAnsi="Century"/>
          <w:sz w:val="28"/>
          <w:szCs w:val="28"/>
        </w:rPr>
        <w:t>Pet’n</w:t>
      </w:r>
      <w:proofErr w:type="spellEnd"/>
      <w:r w:rsidR="004C1E24" w:rsidRPr="004354D7">
        <w:rPr>
          <w:rFonts w:ascii="Century" w:hAnsi="Century"/>
          <w:sz w:val="28"/>
          <w:szCs w:val="28"/>
        </w:rPr>
        <w:t xml:space="preserve"> R-17-0010, at 5.</w:t>
      </w:r>
      <w:r w:rsidR="004C1E24" w:rsidRPr="004354D7">
        <w:rPr>
          <w:rStyle w:val="FootnoteReference"/>
          <w:rFonts w:ascii="Century" w:hAnsi="Century"/>
          <w:sz w:val="28"/>
          <w:szCs w:val="28"/>
        </w:rPr>
        <w:footnoteReference w:id="3"/>
      </w:r>
      <w:r w:rsidR="004C1E24" w:rsidRPr="004354D7">
        <w:rPr>
          <w:rFonts w:ascii="Century" w:hAnsi="Century"/>
          <w:sz w:val="28"/>
          <w:szCs w:val="28"/>
        </w:rPr>
        <w:t>)</w:t>
      </w:r>
      <w:proofErr w:type="gramEnd"/>
      <w:r w:rsidR="004C1E24" w:rsidRPr="004354D7">
        <w:rPr>
          <w:rFonts w:ascii="Century" w:hAnsi="Century"/>
          <w:sz w:val="28"/>
          <w:szCs w:val="28"/>
        </w:rPr>
        <w:t xml:space="preserve"> </w:t>
      </w:r>
      <w:r w:rsidR="00650285" w:rsidRPr="004354D7">
        <w:rPr>
          <w:rFonts w:ascii="Century" w:hAnsi="Century"/>
          <w:sz w:val="28"/>
          <w:szCs w:val="28"/>
        </w:rPr>
        <w:t xml:space="preserve">They were also </w:t>
      </w:r>
      <w:r w:rsidR="00650285" w:rsidRPr="004354D7">
        <w:rPr>
          <w:rFonts w:ascii="Century" w:hAnsi="Century"/>
          <w:sz w:val="28"/>
          <w:szCs w:val="28"/>
        </w:rPr>
        <w:lastRenderedPageBreak/>
        <w:t xml:space="preserve">omitted despite the Arizona Judicial Council’s due consideration and unanimous support. </w:t>
      </w:r>
      <w:r w:rsidR="00650285" w:rsidRPr="004354D7">
        <w:rPr>
          <w:rFonts w:ascii="Century" w:hAnsi="Century"/>
          <w:i/>
          <w:sz w:val="28"/>
          <w:szCs w:val="28"/>
        </w:rPr>
        <w:t>Id.</w:t>
      </w:r>
      <w:r w:rsidR="00650285" w:rsidRPr="004354D7">
        <w:rPr>
          <w:rFonts w:ascii="Century" w:hAnsi="Century"/>
          <w:sz w:val="28"/>
          <w:szCs w:val="28"/>
        </w:rPr>
        <w:t xml:space="preserve"> </w:t>
      </w:r>
      <w:r w:rsidRPr="004354D7">
        <w:rPr>
          <w:rFonts w:ascii="Century" w:hAnsi="Century"/>
          <w:sz w:val="28"/>
          <w:szCs w:val="28"/>
        </w:rPr>
        <w:t>These amendments are described below and set forth in</w:t>
      </w:r>
      <w:r w:rsidR="00994603" w:rsidRPr="004354D7">
        <w:rPr>
          <w:rFonts w:ascii="Century" w:hAnsi="Century"/>
          <w:sz w:val="28"/>
          <w:szCs w:val="28"/>
        </w:rPr>
        <w:t xml:space="preserve"> context in</w:t>
      </w:r>
      <w:r w:rsidRPr="004354D7">
        <w:rPr>
          <w:rFonts w:ascii="Century" w:hAnsi="Century"/>
          <w:sz w:val="28"/>
          <w:szCs w:val="28"/>
        </w:rPr>
        <w:t xml:space="preserve"> blackline (Appendix A) and clean (Appendix B) portions of the Rules</w:t>
      </w:r>
      <w:r w:rsidR="00E21692" w:rsidRPr="004354D7">
        <w:rPr>
          <w:rFonts w:ascii="Century" w:hAnsi="Century"/>
          <w:sz w:val="28"/>
          <w:szCs w:val="28"/>
        </w:rPr>
        <w:t xml:space="preserve"> in the appendices filed with this Petition.</w:t>
      </w:r>
    </w:p>
    <w:p w:rsidR="0088631F" w:rsidRPr="004354D7" w:rsidRDefault="0088631F" w:rsidP="0088631F">
      <w:pPr>
        <w:pStyle w:val="Pleading1L2"/>
        <w:rPr>
          <w:rFonts w:ascii="Century" w:hAnsi="Century"/>
          <w:sz w:val="28"/>
          <w:szCs w:val="28"/>
        </w:rPr>
      </w:pPr>
      <w:r w:rsidRPr="004354D7">
        <w:rPr>
          <w:rFonts w:ascii="Century" w:hAnsi="Century"/>
          <w:sz w:val="28"/>
          <w:szCs w:val="28"/>
        </w:rPr>
        <w:t>Small, Yet Crucial, Changes to Rule 11, Ariz. R. Civ. P.</w:t>
      </w:r>
    </w:p>
    <w:p w:rsidR="00C5146C" w:rsidRPr="004354D7" w:rsidRDefault="0088631F" w:rsidP="0088631F">
      <w:pPr>
        <w:pStyle w:val="BodyText"/>
        <w:spacing w:after="0" w:line="480" w:lineRule="auto"/>
        <w:jc w:val="both"/>
        <w:rPr>
          <w:rFonts w:ascii="Century" w:hAnsi="Century"/>
          <w:sz w:val="28"/>
          <w:szCs w:val="28"/>
        </w:rPr>
      </w:pPr>
      <w:r w:rsidRPr="004354D7">
        <w:rPr>
          <w:rFonts w:ascii="Century" w:hAnsi="Century"/>
          <w:sz w:val="28"/>
          <w:szCs w:val="28"/>
        </w:rPr>
        <w:t>As has its counterpart in the federal justice system, Rule 11, Ariz. R. Civ. P., is beginning to have its own</w:t>
      </w:r>
      <w:r w:rsidR="00BC6D75" w:rsidRPr="004354D7">
        <w:rPr>
          <w:rFonts w:ascii="Century" w:hAnsi="Century"/>
          <w:sz w:val="28"/>
          <w:szCs w:val="28"/>
        </w:rPr>
        <w:t xml:space="preserve"> tangled and</w:t>
      </w:r>
      <w:r w:rsidRPr="004354D7">
        <w:rPr>
          <w:rFonts w:ascii="Century" w:hAnsi="Century"/>
          <w:sz w:val="28"/>
          <w:szCs w:val="28"/>
        </w:rPr>
        <w:t xml:space="preserve"> storied history of debated revisions.</w:t>
      </w:r>
      <w:r w:rsidR="00C5146C" w:rsidRPr="004354D7">
        <w:rPr>
          <w:rFonts w:ascii="Century" w:hAnsi="Century"/>
          <w:sz w:val="28"/>
          <w:szCs w:val="28"/>
        </w:rPr>
        <w:t xml:space="preserve"> In Arizona, this has stemmed mostly from removal of the word “shall” from the sanctions provisions of the rule, which change actually only recently occurred on the first day of this year. </w:t>
      </w:r>
      <w:r w:rsidR="00727FB6" w:rsidRPr="004354D7">
        <w:rPr>
          <w:rFonts w:ascii="Century" w:hAnsi="Century"/>
          <w:sz w:val="28"/>
          <w:szCs w:val="28"/>
        </w:rPr>
        <w:t>It has been</w:t>
      </w:r>
      <w:r w:rsidR="00C5146C" w:rsidRPr="004354D7">
        <w:rPr>
          <w:rFonts w:ascii="Century" w:hAnsi="Century"/>
          <w:sz w:val="28"/>
          <w:szCs w:val="28"/>
        </w:rPr>
        <w:t xml:space="preserve"> hotly contested in earlier </w:t>
      </w:r>
      <w:r w:rsidR="009F3B10" w:rsidRPr="004354D7">
        <w:rPr>
          <w:rFonts w:ascii="Century" w:hAnsi="Century"/>
          <w:sz w:val="28"/>
          <w:szCs w:val="28"/>
        </w:rPr>
        <w:t>rules processing cycles</w:t>
      </w:r>
      <w:r w:rsidR="00C5146C" w:rsidRPr="004354D7">
        <w:rPr>
          <w:rFonts w:ascii="Century" w:hAnsi="Century"/>
          <w:sz w:val="28"/>
          <w:szCs w:val="28"/>
        </w:rPr>
        <w:t xml:space="preserve"> </w:t>
      </w:r>
      <w:r w:rsidR="001B23C4" w:rsidRPr="004354D7">
        <w:rPr>
          <w:rFonts w:ascii="Century" w:hAnsi="Century"/>
          <w:sz w:val="28"/>
          <w:szCs w:val="28"/>
        </w:rPr>
        <w:t>whether “may” (a discretionary standard) ought to</w:t>
      </w:r>
      <w:r w:rsidR="00C5146C" w:rsidRPr="004354D7">
        <w:rPr>
          <w:rFonts w:ascii="Century" w:hAnsi="Century"/>
          <w:sz w:val="28"/>
          <w:szCs w:val="28"/>
        </w:rPr>
        <w:t xml:space="preserve"> replace “shall,” or whether </w:t>
      </w:r>
      <w:r w:rsidR="004C1E24" w:rsidRPr="004354D7">
        <w:rPr>
          <w:rFonts w:ascii="Century" w:hAnsi="Century"/>
          <w:sz w:val="28"/>
          <w:szCs w:val="28"/>
        </w:rPr>
        <w:t xml:space="preserve">instead </w:t>
      </w:r>
      <w:r w:rsidR="00C5146C" w:rsidRPr="004354D7">
        <w:rPr>
          <w:rFonts w:ascii="Century" w:hAnsi="Century"/>
          <w:sz w:val="28"/>
          <w:szCs w:val="28"/>
        </w:rPr>
        <w:t xml:space="preserve">mandatory sanctions should </w:t>
      </w:r>
      <w:r w:rsidR="00CC55B7" w:rsidRPr="004354D7">
        <w:rPr>
          <w:rFonts w:ascii="Century" w:hAnsi="Century"/>
          <w:sz w:val="28"/>
          <w:szCs w:val="28"/>
        </w:rPr>
        <w:t xml:space="preserve">responsibly </w:t>
      </w:r>
      <w:r w:rsidR="00C5146C" w:rsidRPr="004354D7">
        <w:rPr>
          <w:rFonts w:ascii="Century" w:hAnsi="Century"/>
          <w:sz w:val="28"/>
          <w:szCs w:val="28"/>
        </w:rPr>
        <w:t>persist via use of the word “must.”</w:t>
      </w:r>
      <w:r w:rsidR="00CC55B7" w:rsidRPr="004354D7">
        <w:rPr>
          <w:rStyle w:val="FootnoteReference"/>
          <w:rFonts w:ascii="Century" w:hAnsi="Century"/>
          <w:sz w:val="28"/>
          <w:szCs w:val="28"/>
        </w:rPr>
        <w:footnoteReference w:id="4"/>
      </w:r>
    </w:p>
    <w:p w:rsidR="0088631F" w:rsidRPr="004354D7" w:rsidRDefault="009F3B10" w:rsidP="00CC55B7">
      <w:pPr>
        <w:pStyle w:val="BodyText"/>
        <w:spacing w:after="0" w:line="480" w:lineRule="auto"/>
        <w:jc w:val="both"/>
        <w:rPr>
          <w:rFonts w:ascii="Century" w:hAnsi="Century"/>
          <w:sz w:val="28"/>
          <w:szCs w:val="28"/>
        </w:rPr>
      </w:pPr>
      <w:r w:rsidRPr="004354D7">
        <w:rPr>
          <w:rFonts w:ascii="Century" w:hAnsi="Century"/>
          <w:sz w:val="28"/>
          <w:szCs w:val="28"/>
        </w:rPr>
        <w:t>Yet, in this immediate past rules processing cycle</w:t>
      </w:r>
      <w:r w:rsidR="008D1DAD" w:rsidRPr="004354D7">
        <w:rPr>
          <w:rFonts w:ascii="Century" w:hAnsi="Century"/>
          <w:sz w:val="28"/>
          <w:szCs w:val="28"/>
        </w:rPr>
        <w:t>,</w:t>
      </w:r>
      <w:r w:rsidRPr="004354D7">
        <w:rPr>
          <w:rFonts w:ascii="Century" w:hAnsi="Century"/>
          <w:sz w:val="28"/>
          <w:szCs w:val="28"/>
        </w:rPr>
        <w:t xml:space="preserve"> the debate over </w:t>
      </w:r>
      <w:r w:rsidRPr="004354D7">
        <w:rPr>
          <w:rFonts w:ascii="Century" w:hAnsi="Century"/>
          <w:sz w:val="28"/>
          <w:szCs w:val="28"/>
        </w:rPr>
        <w:lastRenderedPageBreak/>
        <w:t xml:space="preserve">Rule 11 was </w:t>
      </w:r>
      <w:r w:rsidR="00727FB6" w:rsidRPr="004354D7">
        <w:rPr>
          <w:rFonts w:ascii="Century" w:hAnsi="Century"/>
          <w:sz w:val="28"/>
          <w:szCs w:val="28"/>
        </w:rPr>
        <w:t xml:space="preserve">decidedly </w:t>
      </w:r>
      <w:r w:rsidRPr="004354D7">
        <w:rPr>
          <w:rFonts w:ascii="Century" w:hAnsi="Century"/>
          <w:sz w:val="28"/>
          <w:szCs w:val="28"/>
        </w:rPr>
        <w:t>less raucous, as discussed below</w:t>
      </w:r>
      <w:r w:rsidR="00C5146C" w:rsidRPr="004354D7">
        <w:rPr>
          <w:rFonts w:ascii="Century" w:hAnsi="Century"/>
          <w:sz w:val="28"/>
          <w:szCs w:val="28"/>
        </w:rPr>
        <w:t xml:space="preserve">. Tailored yet incisive revisions like those proposed by the </w:t>
      </w:r>
      <w:proofErr w:type="spellStart"/>
      <w:r w:rsidR="003741F2" w:rsidRPr="004354D7">
        <w:rPr>
          <w:rFonts w:ascii="Century" w:hAnsi="Century"/>
          <w:sz w:val="28"/>
          <w:szCs w:val="28"/>
        </w:rPr>
        <w:t>CCJR</w:t>
      </w:r>
      <w:proofErr w:type="spellEnd"/>
      <w:r w:rsidR="00C5146C" w:rsidRPr="004354D7">
        <w:rPr>
          <w:rFonts w:ascii="Century" w:hAnsi="Century"/>
          <w:sz w:val="28"/>
          <w:szCs w:val="28"/>
        </w:rPr>
        <w:t xml:space="preserve"> would cement Arizona’s model</w:t>
      </w:r>
      <w:r w:rsidR="00727FB6" w:rsidRPr="004354D7">
        <w:rPr>
          <w:rFonts w:ascii="Century" w:hAnsi="Century"/>
          <w:sz w:val="28"/>
          <w:szCs w:val="28"/>
        </w:rPr>
        <w:t xml:space="preserve"> of Rule 11</w:t>
      </w:r>
      <w:r w:rsidR="00C5146C" w:rsidRPr="004354D7">
        <w:rPr>
          <w:rFonts w:ascii="Century" w:hAnsi="Century"/>
          <w:sz w:val="28"/>
          <w:szCs w:val="28"/>
        </w:rPr>
        <w:t xml:space="preserve"> as a leader </w:t>
      </w:r>
      <w:r w:rsidRPr="004354D7">
        <w:rPr>
          <w:rFonts w:ascii="Century" w:hAnsi="Century"/>
          <w:sz w:val="28"/>
          <w:szCs w:val="28"/>
        </w:rPr>
        <w:t xml:space="preserve">in civil justice reform. Those </w:t>
      </w:r>
      <w:proofErr w:type="spellStart"/>
      <w:r w:rsidR="003741F2" w:rsidRPr="004354D7">
        <w:rPr>
          <w:rFonts w:ascii="Century" w:hAnsi="Century"/>
          <w:sz w:val="28"/>
          <w:szCs w:val="28"/>
        </w:rPr>
        <w:t>CCJR</w:t>
      </w:r>
      <w:proofErr w:type="spellEnd"/>
      <w:r w:rsidRPr="004354D7">
        <w:rPr>
          <w:rFonts w:ascii="Century" w:hAnsi="Century"/>
          <w:sz w:val="28"/>
          <w:szCs w:val="28"/>
        </w:rPr>
        <w:t xml:space="preserve"> proposals for Rule 11 that were not adopted should be.</w:t>
      </w:r>
      <w:r w:rsidR="00CC55B7" w:rsidRPr="004354D7">
        <w:rPr>
          <w:rFonts w:ascii="Century" w:hAnsi="Century"/>
          <w:sz w:val="28"/>
          <w:szCs w:val="28"/>
        </w:rPr>
        <w:t xml:space="preserve"> They include</w:t>
      </w:r>
      <w:r w:rsidR="00327841" w:rsidRPr="004354D7">
        <w:rPr>
          <w:rFonts w:ascii="Century" w:hAnsi="Century"/>
          <w:sz w:val="28"/>
          <w:szCs w:val="28"/>
        </w:rPr>
        <w:t xml:space="preserve"> (1)</w:t>
      </w:r>
      <w:r w:rsidR="00CC55B7" w:rsidRPr="004354D7">
        <w:rPr>
          <w:rFonts w:ascii="Century" w:hAnsi="Century"/>
          <w:sz w:val="28"/>
          <w:szCs w:val="28"/>
        </w:rPr>
        <w:t xml:space="preserve"> m</w:t>
      </w:r>
      <w:r w:rsidR="00226F1C" w:rsidRPr="004354D7">
        <w:rPr>
          <w:rFonts w:ascii="Century" w:hAnsi="Century"/>
          <w:sz w:val="28"/>
          <w:szCs w:val="28"/>
        </w:rPr>
        <w:t>odifications to the federal Rule 11(b) standards that are unique to Arizona but</w:t>
      </w:r>
      <w:r w:rsidR="00327841" w:rsidRPr="004354D7">
        <w:rPr>
          <w:rFonts w:ascii="Century" w:hAnsi="Century"/>
          <w:sz w:val="28"/>
          <w:szCs w:val="28"/>
        </w:rPr>
        <w:t xml:space="preserve"> that</w:t>
      </w:r>
      <w:r w:rsidR="00226F1C" w:rsidRPr="004354D7">
        <w:rPr>
          <w:rFonts w:ascii="Century" w:hAnsi="Century"/>
          <w:sz w:val="28"/>
          <w:szCs w:val="28"/>
        </w:rPr>
        <w:t xml:space="preserve"> better represent Arizona Rule 11 case </w:t>
      </w:r>
      <w:proofErr w:type="gramStart"/>
      <w:r w:rsidR="00226F1C" w:rsidRPr="004354D7">
        <w:rPr>
          <w:rFonts w:ascii="Century" w:hAnsi="Century"/>
          <w:sz w:val="28"/>
          <w:szCs w:val="28"/>
        </w:rPr>
        <w:t>law</w:t>
      </w:r>
      <w:r w:rsidR="00327841" w:rsidRPr="004354D7">
        <w:rPr>
          <w:rFonts w:ascii="Century" w:hAnsi="Century"/>
          <w:sz w:val="28"/>
          <w:szCs w:val="28"/>
        </w:rPr>
        <w:t>,</w:t>
      </w:r>
      <w:proofErr w:type="gramEnd"/>
      <w:r w:rsidR="00327841" w:rsidRPr="004354D7">
        <w:rPr>
          <w:rFonts w:ascii="Century" w:hAnsi="Century"/>
          <w:sz w:val="28"/>
          <w:szCs w:val="28"/>
        </w:rPr>
        <w:t xml:space="preserve"> and (2) </w:t>
      </w:r>
      <w:r w:rsidR="00AB54CD" w:rsidRPr="004354D7">
        <w:rPr>
          <w:rFonts w:ascii="Century" w:hAnsi="Century"/>
          <w:sz w:val="28"/>
          <w:szCs w:val="28"/>
        </w:rPr>
        <w:t xml:space="preserve">a change </w:t>
      </w:r>
      <w:r w:rsidR="00327841" w:rsidRPr="004354D7">
        <w:rPr>
          <w:rFonts w:ascii="Century" w:hAnsi="Century"/>
          <w:sz w:val="28"/>
          <w:szCs w:val="28"/>
        </w:rPr>
        <w:t>making Rule 11 sanctions mandatory, rather</w:t>
      </w:r>
      <w:r w:rsidR="004354D7">
        <w:rPr>
          <w:rFonts w:ascii="Century" w:hAnsi="Century"/>
          <w:sz w:val="28"/>
          <w:szCs w:val="28"/>
        </w:rPr>
        <w:t xml:space="preserve"> than</w:t>
      </w:r>
      <w:r w:rsidR="00327841" w:rsidRPr="004354D7">
        <w:rPr>
          <w:rFonts w:ascii="Century" w:hAnsi="Century"/>
          <w:sz w:val="28"/>
          <w:szCs w:val="28"/>
        </w:rPr>
        <w:t xml:space="preserve"> discretionary, when a violation is found</w:t>
      </w:r>
      <w:r w:rsidR="00AB54CD" w:rsidRPr="004354D7">
        <w:rPr>
          <w:rFonts w:ascii="Century" w:hAnsi="Century"/>
          <w:sz w:val="28"/>
          <w:szCs w:val="28"/>
        </w:rPr>
        <w:t xml:space="preserve">, via use of the word “must” </w:t>
      </w:r>
      <w:r w:rsidR="00327841" w:rsidRPr="004354D7">
        <w:rPr>
          <w:rFonts w:ascii="Century" w:hAnsi="Century"/>
          <w:sz w:val="28"/>
          <w:szCs w:val="28"/>
        </w:rPr>
        <w:t>in Rule 11(c)</w:t>
      </w:r>
      <w:r w:rsidR="00226F1C" w:rsidRPr="004354D7">
        <w:rPr>
          <w:rFonts w:ascii="Century" w:hAnsi="Century"/>
          <w:sz w:val="28"/>
          <w:szCs w:val="28"/>
        </w:rPr>
        <w:t>.</w:t>
      </w:r>
      <w:r w:rsidR="00327841" w:rsidRPr="004354D7">
        <w:rPr>
          <w:rFonts w:ascii="Century" w:hAnsi="Century"/>
          <w:sz w:val="28"/>
          <w:szCs w:val="28"/>
        </w:rPr>
        <w:t xml:space="preserve"> The amendments</w:t>
      </w:r>
      <w:r w:rsidR="003741F2" w:rsidRPr="004354D7">
        <w:rPr>
          <w:rFonts w:ascii="Century" w:hAnsi="Century"/>
          <w:sz w:val="28"/>
          <w:szCs w:val="28"/>
        </w:rPr>
        <w:t xml:space="preserve"> are</w:t>
      </w:r>
      <w:r w:rsidR="00EF3FDF" w:rsidRPr="004354D7">
        <w:rPr>
          <w:rFonts w:ascii="Century" w:hAnsi="Century"/>
          <w:sz w:val="28"/>
          <w:szCs w:val="28"/>
        </w:rPr>
        <w:t xml:space="preserve"> blacklined as follows, against the Rule 11 that will take effect on July 1, 2018, for ease of reference</w:t>
      </w:r>
      <w:r w:rsidR="003741F2" w:rsidRPr="004354D7">
        <w:rPr>
          <w:rFonts w:ascii="Century" w:hAnsi="Century"/>
          <w:sz w:val="28"/>
          <w:szCs w:val="28"/>
        </w:rPr>
        <w:t>:</w:t>
      </w:r>
    </w:p>
    <w:p w:rsidR="003741F2" w:rsidRPr="004354D7" w:rsidRDefault="003741F2" w:rsidP="00EF3FDF">
      <w:pPr>
        <w:tabs>
          <w:tab w:val="left" w:pos="389"/>
          <w:tab w:val="left" w:pos="605"/>
          <w:tab w:val="left" w:pos="778"/>
          <w:tab w:val="left" w:pos="1037"/>
          <w:tab w:val="left" w:pos="1368"/>
        </w:tabs>
        <w:spacing w:after="120"/>
        <w:ind w:left="1230" w:right="1440" w:firstLine="210"/>
        <w:jc w:val="both"/>
        <w:rPr>
          <w:rFonts w:ascii="Century" w:eastAsia="Times New Roman" w:hAnsi="Century" w:cs="Times New Roman"/>
          <w:bCs/>
          <w:sz w:val="28"/>
          <w:szCs w:val="28"/>
        </w:rPr>
      </w:pPr>
      <w:r w:rsidRPr="004354D7">
        <w:rPr>
          <w:rFonts w:ascii="Century" w:eastAsia="Times New Roman" w:hAnsi="Century" w:cs="Times New Roman"/>
          <w:b/>
          <w:bCs/>
          <w:sz w:val="28"/>
          <w:szCs w:val="28"/>
        </w:rPr>
        <w:t>(b)</w:t>
      </w:r>
      <w:r w:rsidRPr="004354D7">
        <w:rPr>
          <w:rFonts w:ascii="Century" w:eastAsia="Times New Roman" w:hAnsi="Century" w:cs="Times New Roman"/>
          <w:b/>
          <w:bCs/>
          <w:sz w:val="28"/>
          <w:szCs w:val="28"/>
        </w:rPr>
        <w:tab/>
        <w:t xml:space="preserve">Representations to the Court.  </w:t>
      </w:r>
      <w:r w:rsidRPr="004354D7">
        <w:rPr>
          <w:rFonts w:ascii="Century" w:eastAsia="Times New Roman" w:hAnsi="Century" w:cs="Times New Roman"/>
          <w:bCs/>
          <w:sz w:val="28"/>
          <w:szCs w:val="28"/>
        </w:rPr>
        <w:t>By signing a pleading, motion, or other document, the attorney or party certifies that to the best of the person’s knowledge, information, and belief formed after reasonable inquiry:</w:t>
      </w:r>
    </w:p>
    <w:p w:rsidR="003741F2" w:rsidRPr="004354D7" w:rsidRDefault="003741F2" w:rsidP="00EF3FDF">
      <w:pPr>
        <w:tabs>
          <w:tab w:val="left" w:pos="389"/>
          <w:tab w:val="left" w:pos="605"/>
          <w:tab w:val="left" w:pos="778"/>
          <w:tab w:val="left" w:pos="1037"/>
          <w:tab w:val="left" w:pos="1368"/>
        </w:tabs>
        <w:spacing w:after="120"/>
        <w:ind w:left="1230" w:right="1440" w:firstLine="210"/>
        <w:jc w:val="both"/>
        <w:rPr>
          <w:rFonts w:ascii="Century" w:eastAsia="Times New Roman" w:hAnsi="Century" w:cs="Times New Roman"/>
          <w:bCs/>
          <w:sz w:val="28"/>
          <w:szCs w:val="28"/>
        </w:rPr>
      </w:pPr>
      <w:r w:rsidRPr="004354D7">
        <w:rPr>
          <w:rFonts w:ascii="Century" w:eastAsia="Times New Roman" w:hAnsi="Century" w:cs="Times New Roman"/>
          <w:b/>
          <w:bCs/>
          <w:sz w:val="28"/>
          <w:szCs w:val="28"/>
        </w:rPr>
        <w:t>(1)</w:t>
      </w:r>
      <w:r w:rsidRPr="004354D7">
        <w:rPr>
          <w:rFonts w:ascii="Century" w:eastAsia="Times New Roman" w:hAnsi="Century" w:cs="Times New Roman"/>
          <w:b/>
          <w:bCs/>
          <w:sz w:val="28"/>
          <w:szCs w:val="28"/>
        </w:rPr>
        <w:tab/>
      </w:r>
      <w:proofErr w:type="gramStart"/>
      <w:r w:rsidRPr="004354D7">
        <w:rPr>
          <w:rFonts w:ascii="Century" w:eastAsia="Times New Roman" w:hAnsi="Century" w:cs="Times New Roman"/>
          <w:bCs/>
          <w:sz w:val="28"/>
          <w:szCs w:val="28"/>
        </w:rPr>
        <w:t>it</w:t>
      </w:r>
      <w:proofErr w:type="gramEnd"/>
      <w:r w:rsidRPr="004354D7">
        <w:rPr>
          <w:rFonts w:ascii="Century" w:eastAsia="Times New Roman" w:hAnsi="Century" w:cs="Times New Roman"/>
          <w:bCs/>
          <w:sz w:val="28"/>
          <w:szCs w:val="28"/>
        </w:rPr>
        <w:t xml:space="preserve"> is not being presented for any improper purpose, such as to harass, cause unnecessary delay, or needlessly increase the cost of litigation;</w:t>
      </w:r>
    </w:p>
    <w:p w:rsidR="003741F2" w:rsidRPr="004354D7" w:rsidRDefault="003741F2" w:rsidP="00EF3FDF">
      <w:pPr>
        <w:tabs>
          <w:tab w:val="left" w:pos="389"/>
          <w:tab w:val="left" w:pos="605"/>
          <w:tab w:val="left" w:pos="778"/>
          <w:tab w:val="left" w:pos="1037"/>
          <w:tab w:val="left" w:pos="1368"/>
        </w:tabs>
        <w:spacing w:after="120"/>
        <w:ind w:left="1230" w:right="1440" w:firstLine="210"/>
        <w:jc w:val="both"/>
        <w:rPr>
          <w:rFonts w:ascii="Century" w:eastAsia="Times New Roman" w:hAnsi="Century" w:cs="Times New Roman"/>
          <w:bCs/>
          <w:sz w:val="28"/>
          <w:szCs w:val="28"/>
          <w:u w:val="double"/>
        </w:rPr>
      </w:pPr>
      <w:r w:rsidRPr="004354D7">
        <w:rPr>
          <w:rFonts w:ascii="Century" w:eastAsia="Times New Roman" w:hAnsi="Century" w:cs="Times New Roman"/>
          <w:b/>
          <w:bCs/>
          <w:sz w:val="28"/>
          <w:szCs w:val="28"/>
        </w:rPr>
        <w:t>(2)</w:t>
      </w:r>
      <w:r w:rsidRPr="004354D7">
        <w:rPr>
          <w:rFonts w:ascii="Century" w:eastAsia="Times New Roman" w:hAnsi="Century" w:cs="Times New Roman"/>
          <w:b/>
          <w:bCs/>
          <w:sz w:val="28"/>
          <w:szCs w:val="28"/>
          <w:u w:val="single"/>
        </w:rPr>
        <w:tab/>
      </w:r>
      <w:proofErr w:type="gramStart"/>
      <w:r w:rsidRPr="004354D7">
        <w:rPr>
          <w:rFonts w:ascii="Century" w:eastAsia="Times New Roman" w:hAnsi="Century" w:cs="Times New Roman"/>
          <w:bCs/>
          <w:sz w:val="28"/>
          <w:szCs w:val="28"/>
          <w:u w:val="single"/>
        </w:rPr>
        <w:t>the</w:t>
      </w:r>
      <w:proofErr w:type="gramEnd"/>
      <w:r w:rsidRPr="004354D7">
        <w:rPr>
          <w:rFonts w:ascii="Century" w:eastAsia="Times New Roman" w:hAnsi="Century" w:cs="Times New Roman"/>
          <w:bCs/>
          <w:sz w:val="28"/>
          <w:szCs w:val="28"/>
          <w:u w:val="single"/>
        </w:rPr>
        <w:t xml:space="preserve"> factual contentions are well grounded in fact;</w:t>
      </w:r>
    </w:p>
    <w:p w:rsidR="003741F2" w:rsidRPr="004354D7" w:rsidRDefault="003741F2" w:rsidP="00EF3FDF">
      <w:pPr>
        <w:tabs>
          <w:tab w:val="left" w:pos="389"/>
          <w:tab w:val="left" w:pos="605"/>
          <w:tab w:val="left" w:pos="778"/>
          <w:tab w:val="left" w:pos="1037"/>
          <w:tab w:val="left" w:pos="1368"/>
        </w:tabs>
        <w:spacing w:after="120"/>
        <w:ind w:left="1230" w:right="1440" w:firstLine="210"/>
        <w:jc w:val="both"/>
        <w:rPr>
          <w:rFonts w:ascii="Century" w:eastAsia="Times New Roman" w:hAnsi="Century" w:cs="Times New Roman"/>
          <w:bCs/>
          <w:sz w:val="28"/>
          <w:szCs w:val="28"/>
          <w:u w:val="single"/>
        </w:rPr>
      </w:pPr>
      <w:r w:rsidRPr="004354D7">
        <w:rPr>
          <w:rFonts w:ascii="Century" w:eastAsia="Times New Roman" w:hAnsi="Century" w:cs="Times New Roman"/>
          <w:b/>
          <w:bCs/>
          <w:sz w:val="28"/>
          <w:szCs w:val="28"/>
          <w:u w:val="single"/>
        </w:rPr>
        <w:t>(3)</w:t>
      </w:r>
      <w:r w:rsidRPr="004354D7">
        <w:rPr>
          <w:rFonts w:ascii="Century" w:eastAsia="Times New Roman" w:hAnsi="Century" w:cs="Times New Roman"/>
          <w:bCs/>
          <w:sz w:val="28"/>
          <w:szCs w:val="28"/>
          <w:u w:val="single"/>
        </w:rPr>
        <w:t xml:space="preserve"> </w:t>
      </w:r>
      <w:proofErr w:type="gramStart"/>
      <w:r w:rsidRPr="004354D7">
        <w:rPr>
          <w:rFonts w:ascii="Century" w:eastAsia="Times New Roman" w:hAnsi="Century" w:cs="Times New Roman"/>
          <w:bCs/>
          <w:sz w:val="28"/>
          <w:szCs w:val="28"/>
          <w:u w:val="single"/>
        </w:rPr>
        <w:t>the</w:t>
      </w:r>
      <w:proofErr w:type="gramEnd"/>
      <w:r w:rsidRPr="004354D7">
        <w:rPr>
          <w:rFonts w:ascii="Century" w:eastAsia="Times New Roman" w:hAnsi="Century" w:cs="Times New Roman"/>
          <w:bCs/>
          <w:sz w:val="28"/>
          <w:szCs w:val="28"/>
          <w:u w:val="single"/>
        </w:rPr>
        <w:t xml:space="preserve"> denials of factual contentions are well grounded in fact or, if specifically so identified, are reasonably based on lack of knowledge or information sufficient to form a belief.</w:t>
      </w:r>
    </w:p>
    <w:p w:rsidR="003741F2" w:rsidRPr="004354D7" w:rsidRDefault="003741F2" w:rsidP="00EF3FDF">
      <w:pPr>
        <w:tabs>
          <w:tab w:val="left" w:pos="389"/>
          <w:tab w:val="left" w:pos="605"/>
          <w:tab w:val="left" w:pos="778"/>
          <w:tab w:val="left" w:pos="1037"/>
          <w:tab w:val="left" w:pos="1368"/>
        </w:tabs>
        <w:spacing w:after="120"/>
        <w:ind w:left="1230" w:right="1440" w:firstLine="210"/>
        <w:jc w:val="both"/>
        <w:rPr>
          <w:rFonts w:ascii="Century" w:eastAsia="Times New Roman" w:hAnsi="Century" w:cs="Times New Roman"/>
          <w:bCs/>
          <w:sz w:val="28"/>
          <w:szCs w:val="28"/>
          <w:u w:val="single"/>
        </w:rPr>
      </w:pPr>
      <w:r w:rsidRPr="004354D7">
        <w:rPr>
          <w:rFonts w:ascii="Century" w:eastAsia="Times New Roman" w:hAnsi="Century" w:cs="Times New Roman"/>
          <w:b/>
          <w:bCs/>
          <w:sz w:val="28"/>
          <w:szCs w:val="28"/>
          <w:u w:val="single"/>
        </w:rPr>
        <w:t>(4)</w:t>
      </w:r>
      <w:r w:rsidRPr="004354D7">
        <w:rPr>
          <w:rFonts w:ascii="Century" w:eastAsia="Times New Roman" w:hAnsi="Century" w:cs="Times New Roman"/>
          <w:bCs/>
          <w:sz w:val="28"/>
          <w:szCs w:val="28"/>
          <w:u w:val="single"/>
        </w:rPr>
        <w:t xml:space="preserve"> </w:t>
      </w:r>
      <w:proofErr w:type="gramStart"/>
      <w:r w:rsidRPr="004354D7">
        <w:rPr>
          <w:rFonts w:ascii="Century" w:eastAsia="Times New Roman" w:hAnsi="Century" w:cs="Times New Roman"/>
          <w:bCs/>
          <w:sz w:val="28"/>
          <w:szCs w:val="28"/>
        </w:rPr>
        <w:t>the</w:t>
      </w:r>
      <w:proofErr w:type="gramEnd"/>
      <w:r w:rsidRPr="004354D7">
        <w:rPr>
          <w:rFonts w:ascii="Century" w:eastAsia="Times New Roman" w:hAnsi="Century" w:cs="Times New Roman"/>
          <w:bCs/>
          <w:sz w:val="28"/>
          <w:szCs w:val="28"/>
        </w:rPr>
        <w:t xml:space="preserve"> claims, defenses, and other legal contentions are warranted by existing law or by a </w:t>
      </w:r>
      <w:proofErr w:type="spellStart"/>
      <w:r w:rsidRPr="004354D7">
        <w:rPr>
          <w:rFonts w:ascii="Century" w:eastAsia="Times New Roman" w:hAnsi="Century" w:cs="Times New Roman"/>
          <w:bCs/>
          <w:strike/>
          <w:sz w:val="28"/>
          <w:szCs w:val="28"/>
        </w:rPr>
        <w:t>nonfrivolous</w:t>
      </w:r>
      <w:r w:rsidRPr="004354D7">
        <w:rPr>
          <w:rFonts w:ascii="Century" w:eastAsia="Times New Roman" w:hAnsi="Century" w:cs="Times New Roman"/>
          <w:bCs/>
          <w:sz w:val="28"/>
          <w:szCs w:val="28"/>
          <w:u w:val="single"/>
        </w:rPr>
        <w:t>colorable</w:t>
      </w:r>
      <w:proofErr w:type="spellEnd"/>
      <w:r w:rsidRPr="004354D7">
        <w:rPr>
          <w:rFonts w:ascii="Century" w:eastAsia="Times New Roman" w:hAnsi="Century" w:cs="Times New Roman"/>
          <w:bCs/>
          <w:sz w:val="28"/>
          <w:szCs w:val="28"/>
          <w:u w:val="single"/>
        </w:rPr>
        <w:t xml:space="preserve"> </w:t>
      </w:r>
      <w:r w:rsidRPr="004354D7">
        <w:rPr>
          <w:rFonts w:ascii="Century" w:eastAsia="Times New Roman" w:hAnsi="Century" w:cs="Times New Roman"/>
          <w:bCs/>
          <w:sz w:val="28"/>
          <w:szCs w:val="28"/>
        </w:rPr>
        <w:t xml:space="preserve">argument for extending, </w:t>
      </w:r>
      <w:r w:rsidRPr="004354D7">
        <w:rPr>
          <w:rFonts w:ascii="Century" w:eastAsia="Times New Roman" w:hAnsi="Century" w:cs="Times New Roman"/>
          <w:bCs/>
          <w:sz w:val="28"/>
          <w:szCs w:val="28"/>
        </w:rPr>
        <w:lastRenderedPageBreak/>
        <w:t>modifying, or reversing existing law or for establishing new law</w:t>
      </w:r>
      <w:r w:rsidRPr="004354D7">
        <w:rPr>
          <w:rFonts w:ascii="Century" w:eastAsia="Times New Roman" w:hAnsi="Century" w:cs="Times New Roman"/>
          <w:bCs/>
          <w:sz w:val="28"/>
          <w:szCs w:val="28"/>
          <w:u w:val="single"/>
        </w:rPr>
        <w:t>. A legal contention may be colorable even if it does not succeed on the merits.</w:t>
      </w:r>
    </w:p>
    <w:p w:rsidR="003741F2" w:rsidRPr="004354D7" w:rsidRDefault="003741F2" w:rsidP="00EF3FDF">
      <w:pPr>
        <w:tabs>
          <w:tab w:val="left" w:pos="389"/>
          <w:tab w:val="left" w:pos="605"/>
          <w:tab w:val="left" w:pos="778"/>
          <w:tab w:val="left" w:pos="1037"/>
          <w:tab w:val="left" w:pos="1368"/>
        </w:tabs>
        <w:spacing w:after="120"/>
        <w:ind w:left="1230" w:right="1440" w:firstLine="210"/>
        <w:jc w:val="both"/>
        <w:rPr>
          <w:rFonts w:ascii="Century" w:eastAsia="Times New Roman" w:hAnsi="Century" w:cs="Times New Roman"/>
          <w:bCs/>
          <w:strike/>
          <w:sz w:val="28"/>
          <w:szCs w:val="28"/>
        </w:rPr>
      </w:pPr>
      <w:r w:rsidRPr="004354D7">
        <w:rPr>
          <w:rFonts w:ascii="Century" w:eastAsia="Times New Roman" w:hAnsi="Century" w:cs="Times New Roman"/>
          <w:b/>
          <w:bCs/>
          <w:strike/>
          <w:sz w:val="28"/>
          <w:szCs w:val="28"/>
        </w:rPr>
        <w:t>(3)</w:t>
      </w:r>
      <w:r w:rsidRPr="004354D7">
        <w:rPr>
          <w:rFonts w:ascii="Century" w:eastAsia="Times New Roman" w:hAnsi="Century" w:cs="Times New Roman"/>
          <w:b/>
          <w:bCs/>
          <w:strike/>
          <w:sz w:val="28"/>
          <w:szCs w:val="28"/>
        </w:rPr>
        <w:tab/>
      </w:r>
      <w:proofErr w:type="gramStart"/>
      <w:r w:rsidRPr="004354D7">
        <w:rPr>
          <w:rFonts w:ascii="Century" w:eastAsia="Times New Roman" w:hAnsi="Century" w:cs="Times New Roman"/>
          <w:bCs/>
          <w:strike/>
          <w:sz w:val="28"/>
          <w:szCs w:val="28"/>
        </w:rPr>
        <w:t>the</w:t>
      </w:r>
      <w:proofErr w:type="gramEnd"/>
      <w:r w:rsidRPr="004354D7">
        <w:rPr>
          <w:rFonts w:ascii="Century" w:eastAsia="Times New Roman" w:hAnsi="Century" w:cs="Times New Roman"/>
          <w:bCs/>
          <w:strike/>
          <w:sz w:val="28"/>
          <w:szCs w:val="28"/>
        </w:rPr>
        <w:t xml:space="preserve"> factual contentions have evidentiary support or, if specifically so identified, will likely have evidentiary support after a reasonable opportunity for further investigation or discovery; and</w:t>
      </w:r>
    </w:p>
    <w:p w:rsidR="003741F2" w:rsidRPr="004354D7" w:rsidRDefault="003741F2" w:rsidP="00327841">
      <w:pPr>
        <w:tabs>
          <w:tab w:val="left" w:pos="389"/>
          <w:tab w:val="left" w:pos="605"/>
          <w:tab w:val="left" w:pos="778"/>
          <w:tab w:val="left" w:pos="1037"/>
          <w:tab w:val="left" w:pos="1368"/>
        </w:tabs>
        <w:spacing w:after="240"/>
        <w:ind w:left="1224" w:right="1440" w:firstLine="216"/>
        <w:jc w:val="both"/>
        <w:rPr>
          <w:rFonts w:ascii="Century" w:eastAsia="Times New Roman" w:hAnsi="Century" w:cs="Times New Roman"/>
          <w:bCs/>
          <w:strike/>
          <w:sz w:val="28"/>
          <w:szCs w:val="28"/>
        </w:rPr>
      </w:pPr>
      <w:r w:rsidRPr="004354D7">
        <w:rPr>
          <w:rFonts w:ascii="Century" w:eastAsia="Times New Roman" w:hAnsi="Century" w:cs="Times New Roman"/>
          <w:b/>
          <w:bCs/>
          <w:strike/>
          <w:sz w:val="28"/>
          <w:szCs w:val="28"/>
        </w:rPr>
        <w:t>(4)</w:t>
      </w:r>
      <w:r w:rsidRPr="004354D7">
        <w:rPr>
          <w:rFonts w:ascii="Century" w:eastAsia="Times New Roman" w:hAnsi="Century" w:cs="Times New Roman"/>
          <w:bCs/>
          <w:strike/>
          <w:sz w:val="28"/>
          <w:szCs w:val="28"/>
        </w:rPr>
        <w:t xml:space="preserve"> </w:t>
      </w:r>
      <w:proofErr w:type="gramStart"/>
      <w:r w:rsidRPr="004354D7">
        <w:rPr>
          <w:rFonts w:ascii="Century" w:eastAsia="Times New Roman" w:hAnsi="Century" w:cs="Times New Roman"/>
          <w:bCs/>
          <w:strike/>
          <w:sz w:val="28"/>
          <w:szCs w:val="28"/>
        </w:rPr>
        <w:t>the</w:t>
      </w:r>
      <w:proofErr w:type="gramEnd"/>
      <w:r w:rsidRPr="004354D7">
        <w:rPr>
          <w:rFonts w:ascii="Century" w:eastAsia="Times New Roman" w:hAnsi="Century" w:cs="Times New Roman"/>
          <w:bCs/>
          <w:strike/>
          <w:sz w:val="28"/>
          <w:szCs w:val="28"/>
        </w:rPr>
        <w:t xml:space="preserve"> denials of factual contentions are warranted on the evidence or, if specifically so identified, are reasonably based on belief or a lack of information. </w:t>
      </w:r>
    </w:p>
    <w:p w:rsidR="00EF3FDF" w:rsidRPr="004354D7" w:rsidRDefault="00EF3FDF" w:rsidP="00327841">
      <w:pPr>
        <w:keepNext/>
        <w:tabs>
          <w:tab w:val="left" w:pos="389"/>
          <w:tab w:val="left" w:pos="605"/>
          <w:tab w:val="left" w:pos="778"/>
          <w:tab w:val="left" w:pos="1037"/>
          <w:tab w:val="left" w:pos="1368"/>
        </w:tabs>
        <w:spacing w:after="120"/>
        <w:ind w:left="1440" w:right="1440" w:hanging="360"/>
        <w:jc w:val="both"/>
        <w:rPr>
          <w:rFonts w:ascii="Century" w:eastAsia="Times New Roman" w:hAnsi="Century" w:cs="Times New Roman"/>
          <w:bCs/>
          <w:sz w:val="28"/>
          <w:szCs w:val="28"/>
        </w:rPr>
      </w:pPr>
      <w:r w:rsidRPr="004354D7">
        <w:rPr>
          <w:rFonts w:ascii="Century" w:eastAsia="Times New Roman" w:hAnsi="Century" w:cs="Times New Roman"/>
          <w:b/>
          <w:sz w:val="28"/>
          <w:szCs w:val="28"/>
        </w:rPr>
        <w:t>(c)</w:t>
      </w:r>
      <w:r w:rsidR="00994603" w:rsidRPr="004354D7">
        <w:rPr>
          <w:rFonts w:ascii="Century" w:eastAsia="Times New Roman" w:hAnsi="Century" w:cs="Times New Roman"/>
          <w:b/>
          <w:sz w:val="28"/>
          <w:szCs w:val="28"/>
        </w:rPr>
        <w:t xml:space="preserve"> </w:t>
      </w:r>
      <w:r w:rsidRPr="004354D7">
        <w:rPr>
          <w:rFonts w:ascii="Century" w:eastAsia="Times New Roman" w:hAnsi="Century" w:cs="Times New Roman"/>
          <w:b/>
          <w:sz w:val="28"/>
          <w:szCs w:val="28"/>
        </w:rPr>
        <w:t>Sanctions.</w:t>
      </w:r>
      <w:r w:rsidRPr="004354D7">
        <w:rPr>
          <w:rFonts w:ascii="Century" w:eastAsia="Times New Roman" w:hAnsi="Century" w:cs="Times New Roman"/>
          <w:bCs/>
          <w:sz w:val="28"/>
          <w:szCs w:val="28"/>
        </w:rPr>
        <w:t xml:space="preserve"> </w:t>
      </w:r>
    </w:p>
    <w:p w:rsidR="00EF3FDF" w:rsidRPr="004354D7" w:rsidRDefault="00994603" w:rsidP="00994603">
      <w:pPr>
        <w:pStyle w:val="BodyText"/>
        <w:ind w:left="1440" w:right="1440" w:hanging="180"/>
        <w:jc w:val="both"/>
        <w:rPr>
          <w:rFonts w:ascii="Century" w:hAnsi="Century"/>
          <w:sz w:val="28"/>
          <w:szCs w:val="28"/>
        </w:rPr>
      </w:pPr>
      <w:r w:rsidRPr="004354D7">
        <w:rPr>
          <w:rFonts w:ascii="Century" w:hAnsi="Century"/>
          <w:b/>
          <w:bCs/>
          <w:sz w:val="28"/>
          <w:szCs w:val="28"/>
        </w:rPr>
        <w:t xml:space="preserve">(1) </w:t>
      </w:r>
      <w:r w:rsidR="00EF3FDF" w:rsidRPr="004354D7">
        <w:rPr>
          <w:rFonts w:ascii="Century" w:hAnsi="Century"/>
          <w:b/>
          <w:bCs/>
          <w:i/>
          <w:sz w:val="28"/>
          <w:szCs w:val="28"/>
        </w:rPr>
        <w:t>Generally.</w:t>
      </w:r>
      <w:r w:rsidR="00EF3FDF" w:rsidRPr="004354D7">
        <w:rPr>
          <w:rFonts w:ascii="Century" w:hAnsi="Century"/>
          <w:b/>
          <w:bCs/>
          <w:sz w:val="28"/>
          <w:szCs w:val="28"/>
        </w:rPr>
        <w:t xml:space="preserve">  </w:t>
      </w:r>
      <w:r w:rsidR="00EF3FDF" w:rsidRPr="004354D7">
        <w:rPr>
          <w:rFonts w:ascii="Century" w:hAnsi="Century"/>
          <w:bCs/>
          <w:sz w:val="28"/>
          <w:szCs w:val="28"/>
        </w:rPr>
        <w:t>If a pleading, motion, or other document is signed in violation of this rule, or if a party fails to participate in good faith in the consultation required under Rule 11(c)(2), the court—on motion or on its own—</w:t>
      </w:r>
      <w:r w:rsidR="00EF3FDF" w:rsidRPr="004354D7">
        <w:rPr>
          <w:rFonts w:ascii="Century" w:hAnsi="Century"/>
          <w:bCs/>
          <w:strike/>
          <w:sz w:val="28"/>
          <w:szCs w:val="28"/>
          <w:u w:val="single"/>
        </w:rPr>
        <w:t>may</w:t>
      </w:r>
      <w:r w:rsidR="00EF3FDF" w:rsidRPr="004354D7">
        <w:rPr>
          <w:rFonts w:ascii="Century" w:hAnsi="Century"/>
          <w:bCs/>
          <w:sz w:val="28"/>
          <w:szCs w:val="28"/>
          <w:u w:val="single"/>
        </w:rPr>
        <w:t xml:space="preserve"> must </w:t>
      </w:r>
      <w:r w:rsidR="00EF3FDF" w:rsidRPr="004354D7">
        <w:rPr>
          <w:rFonts w:ascii="Century" w:hAnsi="Century"/>
          <w:bCs/>
          <w:sz w:val="28"/>
          <w:szCs w:val="28"/>
        </w:rPr>
        <w:t>impose on the person who signed it, a represented party, or both, an appropriate sanction.</w:t>
      </w:r>
    </w:p>
    <w:p w:rsidR="00860A35" w:rsidRPr="004354D7" w:rsidRDefault="004C1E24" w:rsidP="0088631F">
      <w:pPr>
        <w:pStyle w:val="BodyText"/>
        <w:spacing w:after="0" w:line="480" w:lineRule="auto"/>
        <w:jc w:val="both"/>
        <w:rPr>
          <w:rFonts w:ascii="Century" w:hAnsi="Century"/>
          <w:sz w:val="28"/>
          <w:szCs w:val="28"/>
        </w:rPr>
      </w:pPr>
      <w:r w:rsidRPr="004354D7">
        <w:rPr>
          <w:rFonts w:ascii="Century" w:hAnsi="Century"/>
          <w:sz w:val="28"/>
          <w:szCs w:val="28"/>
        </w:rPr>
        <w:t>For the good cause of reducing frivolous litigation, which is repugnant to civil justice reform, Petitioners ask that the Court reconsider and adopt the proposed Rule 11 amendments</w:t>
      </w:r>
      <w:r w:rsidR="008D1DAD" w:rsidRPr="004354D7">
        <w:rPr>
          <w:rFonts w:ascii="Century" w:hAnsi="Century"/>
          <w:sz w:val="28"/>
          <w:szCs w:val="28"/>
        </w:rPr>
        <w:t xml:space="preserve"> above</w:t>
      </w:r>
      <w:r w:rsidRPr="004354D7">
        <w:rPr>
          <w:rFonts w:ascii="Century" w:hAnsi="Century"/>
          <w:sz w:val="28"/>
          <w:szCs w:val="28"/>
        </w:rPr>
        <w:t>.</w:t>
      </w:r>
    </w:p>
    <w:p w:rsidR="00775DA5" w:rsidRPr="004354D7" w:rsidRDefault="0088631F" w:rsidP="0088631F">
      <w:pPr>
        <w:pStyle w:val="Pleading1L2"/>
        <w:rPr>
          <w:rFonts w:ascii="Century" w:hAnsi="Century"/>
          <w:sz w:val="28"/>
          <w:szCs w:val="28"/>
        </w:rPr>
      </w:pPr>
      <w:r w:rsidRPr="004354D7">
        <w:rPr>
          <w:rFonts w:ascii="Century" w:hAnsi="Century"/>
          <w:sz w:val="28"/>
          <w:szCs w:val="28"/>
        </w:rPr>
        <w:t>The Important Addition of Rule 26(b)(2)(D)</w:t>
      </w:r>
    </w:p>
    <w:p w:rsidR="0088631F" w:rsidRPr="004354D7" w:rsidRDefault="004354D7" w:rsidP="00CC5A21">
      <w:pPr>
        <w:pStyle w:val="BodyText"/>
        <w:spacing w:after="0" w:line="480" w:lineRule="auto"/>
        <w:jc w:val="both"/>
        <w:rPr>
          <w:rFonts w:ascii="Century" w:hAnsi="Century"/>
          <w:sz w:val="28"/>
          <w:szCs w:val="28"/>
        </w:rPr>
      </w:pPr>
      <w:r>
        <w:rPr>
          <w:rFonts w:ascii="Century" w:hAnsi="Century"/>
          <w:sz w:val="28"/>
          <w:szCs w:val="28"/>
        </w:rPr>
        <w:t xml:space="preserve">Proposed </w:t>
      </w:r>
      <w:r w:rsidR="00E21692" w:rsidRPr="004354D7">
        <w:rPr>
          <w:rFonts w:ascii="Century" w:hAnsi="Century"/>
          <w:sz w:val="28"/>
          <w:szCs w:val="28"/>
        </w:rPr>
        <w:t>Rule 26(b</w:t>
      </w:r>
      <w:proofErr w:type="gramStart"/>
      <w:r w:rsidR="00E21692" w:rsidRPr="004354D7">
        <w:rPr>
          <w:rFonts w:ascii="Century" w:hAnsi="Century"/>
          <w:sz w:val="28"/>
          <w:szCs w:val="28"/>
        </w:rPr>
        <w:t>)(</w:t>
      </w:r>
      <w:proofErr w:type="gramEnd"/>
      <w:r w:rsidR="00E21692" w:rsidRPr="004354D7">
        <w:rPr>
          <w:rFonts w:ascii="Century" w:hAnsi="Century"/>
          <w:sz w:val="28"/>
          <w:szCs w:val="28"/>
        </w:rPr>
        <w:t xml:space="preserve">2)(D) </w:t>
      </w:r>
      <w:r>
        <w:rPr>
          <w:rFonts w:ascii="Century" w:hAnsi="Century"/>
          <w:sz w:val="28"/>
          <w:szCs w:val="28"/>
        </w:rPr>
        <w:t>would</w:t>
      </w:r>
      <w:r w:rsidR="007B4789" w:rsidRPr="004354D7">
        <w:rPr>
          <w:rFonts w:ascii="Century" w:hAnsi="Century"/>
          <w:sz w:val="28"/>
          <w:szCs w:val="28"/>
        </w:rPr>
        <w:t xml:space="preserve"> note</w:t>
      </w:r>
      <w:r w:rsidR="00E21692" w:rsidRPr="004354D7">
        <w:rPr>
          <w:rFonts w:ascii="Century" w:hAnsi="Century"/>
          <w:sz w:val="28"/>
          <w:szCs w:val="28"/>
        </w:rPr>
        <w:t xml:space="preserve"> the requirement that courts enforce pre-litigation contractual agreements “mutually and freely negotiated” between business organizations. </w:t>
      </w:r>
      <w:r w:rsidR="006A1D13" w:rsidRPr="004354D7">
        <w:rPr>
          <w:rFonts w:ascii="Century" w:hAnsi="Century"/>
          <w:sz w:val="28"/>
          <w:szCs w:val="28"/>
        </w:rPr>
        <w:t xml:space="preserve">The final language </w:t>
      </w:r>
      <w:r w:rsidR="006A1D13" w:rsidRPr="004354D7">
        <w:rPr>
          <w:rFonts w:ascii="Century" w:hAnsi="Century"/>
          <w:sz w:val="28"/>
          <w:szCs w:val="28"/>
        </w:rPr>
        <w:lastRenderedPageBreak/>
        <w:t xml:space="preserve">proposed by the </w:t>
      </w:r>
      <w:proofErr w:type="spellStart"/>
      <w:r w:rsidR="006A1D13" w:rsidRPr="004354D7">
        <w:rPr>
          <w:rFonts w:ascii="Century" w:hAnsi="Century"/>
          <w:sz w:val="28"/>
          <w:szCs w:val="28"/>
        </w:rPr>
        <w:t>CCJR</w:t>
      </w:r>
      <w:proofErr w:type="spellEnd"/>
      <w:r w:rsidR="00271872" w:rsidRPr="004354D7">
        <w:rPr>
          <w:rStyle w:val="FootnoteReference"/>
          <w:rFonts w:ascii="Century" w:hAnsi="Century"/>
          <w:sz w:val="28"/>
          <w:szCs w:val="28"/>
        </w:rPr>
        <w:footnoteReference w:id="5"/>
      </w:r>
      <w:r w:rsidR="006A1D13" w:rsidRPr="004354D7">
        <w:rPr>
          <w:rFonts w:ascii="Century" w:hAnsi="Century"/>
          <w:sz w:val="28"/>
          <w:szCs w:val="28"/>
        </w:rPr>
        <w:t xml:space="preserve"> in the Rule 28 process provided the following to be inserted into the “Limitations on Frequency and Extent” portion of Rule 26(b), which deals with “Discovery Scope and Limits”:</w:t>
      </w:r>
    </w:p>
    <w:p w:rsidR="006A1D13" w:rsidRPr="004354D7" w:rsidRDefault="00994603" w:rsidP="00994603">
      <w:pPr>
        <w:shd w:val="clear" w:color="auto" w:fill="FFFFFF"/>
        <w:tabs>
          <w:tab w:val="left" w:pos="389"/>
          <w:tab w:val="left" w:pos="605"/>
          <w:tab w:val="left" w:pos="778"/>
          <w:tab w:val="left" w:pos="1368"/>
        </w:tabs>
        <w:spacing w:after="240"/>
        <w:ind w:left="1440" w:right="1440" w:hanging="180"/>
        <w:jc w:val="both"/>
        <w:rPr>
          <w:rFonts w:ascii="Century" w:eastAsia="Times New Roman" w:hAnsi="Century" w:cs="Times New Roman"/>
          <w:b/>
          <w:sz w:val="28"/>
          <w:szCs w:val="28"/>
          <w:u w:val="single"/>
        </w:rPr>
      </w:pPr>
      <w:r w:rsidRPr="004354D7">
        <w:rPr>
          <w:rFonts w:ascii="Century" w:eastAsia="Times New Roman" w:hAnsi="Century" w:cs="Times New Roman"/>
          <w:b/>
          <w:sz w:val="28"/>
          <w:szCs w:val="28"/>
          <w:u w:val="single"/>
        </w:rPr>
        <w:t xml:space="preserve">(D) </w:t>
      </w:r>
      <w:r w:rsidR="006A1D13" w:rsidRPr="004354D7">
        <w:rPr>
          <w:rFonts w:ascii="Century" w:eastAsia="Times New Roman" w:hAnsi="Century" w:cs="Times New Roman"/>
          <w:i/>
          <w:sz w:val="28"/>
          <w:szCs w:val="28"/>
          <w:u w:val="single"/>
        </w:rPr>
        <w:t xml:space="preserve">Contractual Limits.   </w:t>
      </w:r>
      <w:r w:rsidR="006A1D13" w:rsidRPr="004354D7">
        <w:rPr>
          <w:rFonts w:ascii="Century" w:eastAsia="Times New Roman" w:hAnsi="Century" w:cs="Times New Roman"/>
          <w:sz w:val="28"/>
          <w:szCs w:val="28"/>
          <w:u w:val="single"/>
        </w:rPr>
        <w:t>In determining the permissible scope of discovery, the court must enforce any mutually and freely negotiated pre-litigation contract between business organizations (as defined in Experimental Rule 8.1(a)(3))</w:t>
      </w:r>
      <w:r w:rsidR="007D6348" w:rsidRPr="004354D7">
        <w:rPr>
          <w:rStyle w:val="FootnoteReference"/>
          <w:rFonts w:ascii="Century" w:eastAsia="Times New Roman" w:hAnsi="Century" w:cs="Times New Roman"/>
          <w:sz w:val="28"/>
          <w:szCs w:val="28"/>
          <w:u w:val="single"/>
        </w:rPr>
        <w:footnoteReference w:id="6"/>
      </w:r>
      <w:r w:rsidR="006A1D13" w:rsidRPr="004354D7">
        <w:rPr>
          <w:rFonts w:ascii="Century" w:eastAsia="Times New Roman" w:hAnsi="Century" w:cs="Times New Roman"/>
          <w:sz w:val="28"/>
          <w:szCs w:val="28"/>
          <w:u w:val="single"/>
        </w:rPr>
        <w:t xml:space="preserve"> limiting the obligations of the contracting parties to preserve information, or to provide disclosure or discovery. Nothing in this subdivision impairs the rights of non-parties to the contract.</w:t>
      </w:r>
      <w:r w:rsidR="006A1D13" w:rsidRPr="004354D7">
        <w:rPr>
          <w:rFonts w:ascii="Century" w:eastAsia="Times New Roman" w:hAnsi="Century" w:cs="Times New Roman"/>
          <w:i/>
          <w:sz w:val="28"/>
          <w:szCs w:val="28"/>
          <w:u w:val="single"/>
        </w:rPr>
        <w:t xml:space="preserve"> </w:t>
      </w:r>
    </w:p>
    <w:p w:rsidR="003D67B0" w:rsidRDefault="00CC5A21" w:rsidP="00815302">
      <w:pPr>
        <w:pStyle w:val="BodyText"/>
        <w:spacing w:after="0" w:line="480" w:lineRule="auto"/>
        <w:ind w:firstLine="0"/>
        <w:jc w:val="both"/>
        <w:rPr>
          <w:rFonts w:ascii="Century" w:hAnsi="Century"/>
          <w:sz w:val="28"/>
          <w:szCs w:val="28"/>
        </w:rPr>
      </w:pPr>
      <w:r w:rsidRPr="004354D7">
        <w:rPr>
          <w:rFonts w:ascii="Century" w:hAnsi="Century"/>
          <w:sz w:val="28"/>
          <w:szCs w:val="28"/>
        </w:rPr>
        <w:lastRenderedPageBreak/>
        <w:t>Just as the trial court must give effect to pre-litigation jury trial waivers</w:t>
      </w:r>
      <w:r w:rsidR="002D063E" w:rsidRPr="004354D7">
        <w:rPr>
          <w:rFonts w:ascii="Century" w:hAnsi="Century"/>
          <w:sz w:val="28"/>
          <w:szCs w:val="28"/>
        </w:rPr>
        <w:t xml:space="preserve"> contained in business contracts or transactions,</w:t>
      </w:r>
      <w:r w:rsidR="003D67B0">
        <w:rPr>
          <w:rFonts w:ascii="Century" w:hAnsi="Century"/>
          <w:sz w:val="28"/>
          <w:szCs w:val="28"/>
        </w:rPr>
        <w:t xml:space="preserve"> </w:t>
      </w:r>
      <w:r w:rsidR="003D67B0">
        <w:rPr>
          <w:rFonts w:ascii="Century" w:hAnsi="Century"/>
          <w:i/>
          <w:sz w:val="28"/>
          <w:szCs w:val="28"/>
        </w:rPr>
        <w:t>s</w:t>
      </w:r>
      <w:r w:rsidR="003D67B0" w:rsidRPr="004354D7">
        <w:rPr>
          <w:rFonts w:ascii="Century" w:hAnsi="Century"/>
          <w:i/>
          <w:sz w:val="28"/>
          <w:szCs w:val="28"/>
        </w:rPr>
        <w:t>ee, e.g.</w:t>
      </w:r>
      <w:r w:rsidR="003D67B0" w:rsidRPr="004354D7">
        <w:rPr>
          <w:rFonts w:ascii="Century" w:hAnsi="Century"/>
          <w:sz w:val="28"/>
          <w:szCs w:val="28"/>
        </w:rPr>
        <w:t xml:space="preserve">, </w:t>
      </w:r>
      <w:proofErr w:type="spellStart"/>
      <w:r w:rsidR="003D67B0" w:rsidRPr="004354D7">
        <w:rPr>
          <w:rFonts w:ascii="Century" w:hAnsi="Century"/>
          <w:i/>
          <w:sz w:val="28"/>
          <w:szCs w:val="28"/>
        </w:rPr>
        <w:t>BNCCORP</w:t>
      </w:r>
      <w:proofErr w:type="spellEnd"/>
      <w:r w:rsidR="003D67B0" w:rsidRPr="004354D7">
        <w:rPr>
          <w:rFonts w:ascii="Century" w:hAnsi="Century"/>
          <w:i/>
          <w:sz w:val="28"/>
          <w:szCs w:val="28"/>
        </w:rPr>
        <w:t>, Inc. v. HUB Int’l Ltd.</w:t>
      </w:r>
      <w:r w:rsidR="003D67B0" w:rsidRPr="004354D7">
        <w:rPr>
          <w:rFonts w:ascii="Century" w:hAnsi="Century"/>
          <w:sz w:val="28"/>
          <w:szCs w:val="28"/>
        </w:rPr>
        <w:t xml:space="preserve">, 769 Ariz. Adv. Rep. 4, 400 </w:t>
      </w:r>
      <w:proofErr w:type="spellStart"/>
      <w:r w:rsidR="003D67B0" w:rsidRPr="004354D7">
        <w:rPr>
          <w:rFonts w:ascii="Century" w:hAnsi="Century"/>
          <w:sz w:val="28"/>
          <w:szCs w:val="28"/>
        </w:rPr>
        <w:t>P.3d</w:t>
      </w:r>
      <w:proofErr w:type="spellEnd"/>
      <w:r w:rsidR="003D67B0" w:rsidRPr="004354D7">
        <w:rPr>
          <w:rFonts w:ascii="Century" w:hAnsi="Century"/>
          <w:sz w:val="28"/>
          <w:szCs w:val="28"/>
        </w:rPr>
        <w:t xml:space="preserve"> 157, 160, 162-64 (App. 2017) (affirming trial court ruling striking jury demand due to jury trial waiver in purchase and sale agreement that preceded litigation by more than five years)</w:t>
      </w:r>
      <w:r w:rsidR="003D67B0">
        <w:rPr>
          <w:rFonts w:ascii="Century" w:hAnsi="Century"/>
          <w:sz w:val="28"/>
          <w:szCs w:val="28"/>
        </w:rPr>
        <w:t>,</w:t>
      </w:r>
      <w:r w:rsidR="002D063E" w:rsidRPr="004354D7">
        <w:rPr>
          <w:rFonts w:ascii="Century" w:hAnsi="Century"/>
          <w:sz w:val="28"/>
          <w:szCs w:val="28"/>
        </w:rPr>
        <w:t xml:space="preserve"> so </w:t>
      </w:r>
      <w:r w:rsidR="003D67B0">
        <w:rPr>
          <w:rFonts w:ascii="Century" w:hAnsi="Century"/>
          <w:sz w:val="28"/>
          <w:szCs w:val="28"/>
        </w:rPr>
        <w:t>should</w:t>
      </w:r>
      <w:r w:rsidR="002D063E" w:rsidRPr="004354D7">
        <w:rPr>
          <w:rFonts w:ascii="Century" w:hAnsi="Century"/>
          <w:sz w:val="28"/>
          <w:szCs w:val="28"/>
        </w:rPr>
        <w:t xml:space="preserve"> it enforce provisions in those same agreements that limit the scope of discovery or</w:t>
      </w:r>
      <w:r w:rsidR="00327841" w:rsidRPr="004354D7">
        <w:rPr>
          <w:rFonts w:ascii="Century" w:hAnsi="Century"/>
          <w:sz w:val="28"/>
          <w:szCs w:val="28"/>
        </w:rPr>
        <w:t xml:space="preserve"> the</w:t>
      </w:r>
      <w:r w:rsidR="002D063E" w:rsidRPr="004354D7">
        <w:rPr>
          <w:rFonts w:ascii="Century" w:hAnsi="Century"/>
          <w:sz w:val="28"/>
          <w:szCs w:val="28"/>
        </w:rPr>
        <w:t xml:space="preserve"> duties </w:t>
      </w:r>
      <w:r w:rsidR="00327841" w:rsidRPr="004354D7">
        <w:rPr>
          <w:rFonts w:ascii="Century" w:hAnsi="Century"/>
          <w:sz w:val="28"/>
          <w:szCs w:val="28"/>
        </w:rPr>
        <w:t>to preserve</w:t>
      </w:r>
      <w:r w:rsidR="00BD1256">
        <w:rPr>
          <w:rFonts w:ascii="Century" w:hAnsi="Century"/>
          <w:sz w:val="28"/>
          <w:szCs w:val="28"/>
        </w:rPr>
        <w:t xml:space="preserve"> information</w:t>
      </w:r>
      <w:r w:rsidR="002D063E" w:rsidRPr="004354D7">
        <w:rPr>
          <w:rFonts w:ascii="Century" w:hAnsi="Century"/>
          <w:sz w:val="28"/>
          <w:szCs w:val="28"/>
        </w:rPr>
        <w:t>.</w:t>
      </w:r>
      <w:r w:rsidR="00BA0231" w:rsidRPr="004354D7">
        <w:rPr>
          <w:rFonts w:ascii="Century" w:hAnsi="Century"/>
          <w:sz w:val="28"/>
          <w:szCs w:val="28"/>
        </w:rPr>
        <w:t xml:space="preserve"> </w:t>
      </w:r>
      <w:r w:rsidR="003D67B0">
        <w:rPr>
          <w:rFonts w:ascii="Century" w:hAnsi="Century"/>
          <w:sz w:val="28"/>
          <w:szCs w:val="28"/>
        </w:rPr>
        <w:t xml:space="preserve">Regrettably, there remain significant questions about whether courts will do so. </w:t>
      </w:r>
      <w:r w:rsidR="003D67B0">
        <w:rPr>
          <w:rFonts w:ascii="Century" w:hAnsi="Century"/>
          <w:i/>
          <w:sz w:val="28"/>
          <w:szCs w:val="28"/>
        </w:rPr>
        <w:t xml:space="preserve">See Dobson Bay Club II DD, LLC v. La </w:t>
      </w:r>
      <w:proofErr w:type="spellStart"/>
      <w:r w:rsidR="003D67B0">
        <w:rPr>
          <w:rFonts w:ascii="Century" w:hAnsi="Century"/>
          <w:i/>
          <w:sz w:val="28"/>
          <w:szCs w:val="28"/>
        </w:rPr>
        <w:t>Sonrisa</w:t>
      </w:r>
      <w:proofErr w:type="spellEnd"/>
      <w:r w:rsidR="003D67B0">
        <w:rPr>
          <w:rFonts w:ascii="Century" w:hAnsi="Century"/>
          <w:i/>
          <w:sz w:val="28"/>
          <w:szCs w:val="28"/>
        </w:rPr>
        <w:t xml:space="preserve"> de Siena, LLC</w:t>
      </w:r>
      <w:r w:rsidR="003D67B0">
        <w:rPr>
          <w:rFonts w:ascii="Century" w:hAnsi="Century"/>
          <w:sz w:val="28"/>
          <w:szCs w:val="28"/>
        </w:rPr>
        <w:t xml:space="preserve">, 242 Ariz. 108, 393 </w:t>
      </w:r>
      <w:proofErr w:type="spellStart"/>
      <w:r w:rsidR="003D67B0">
        <w:rPr>
          <w:rFonts w:ascii="Century" w:hAnsi="Century"/>
          <w:sz w:val="28"/>
          <w:szCs w:val="28"/>
        </w:rPr>
        <w:t>P.3d</w:t>
      </w:r>
      <w:proofErr w:type="spellEnd"/>
      <w:r w:rsidR="003D67B0">
        <w:rPr>
          <w:rFonts w:ascii="Century" w:hAnsi="Century"/>
          <w:sz w:val="28"/>
          <w:szCs w:val="28"/>
        </w:rPr>
        <w:t xml:space="preserve"> 449, 461 ¶65 (2017) (</w:t>
      </w:r>
      <w:proofErr w:type="spellStart"/>
      <w:r w:rsidR="003D67B0">
        <w:rPr>
          <w:rFonts w:ascii="Century" w:hAnsi="Century"/>
          <w:sz w:val="28"/>
          <w:szCs w:val="28"/>
        </w:rPr>
        <w:t>Bolick</w:t>
      </w:r>
      <w:proofErr w:type="spellEnd"/>
      <w:r w:rsidR="003D67B0">
        <w:rPr>
          <w:rFonts w:ascii="Century" w:hAnsi="Century"/>
          <w:sz w:val="28"/>
          <w:szCs w:val="28"/>
        </w:rPr>
        <w:t>, J., dissenting) (noting that “notwithstanding that freedom of contract is enshrined in our organic law,” questions still arise regarding the enforceability of pre-litigation contracts between business organizations); (</w:t>
      </w:r>
      <w:r w:rsidR="003D67B0">
        <w:rPr>
          <w:rFonts w:ascii="Century" w:hAnsi="Century"/>
          <w:i/>
          <w:sz w:val="28"/>
          <w:szCs w:val="28"/>
        </w:rPr>
        <w:t xml:space="preserve">see also </w:t>
      </w:r>
      <w:proofErr w:type="spellStart"/>
      <w:r w:rsidR="003D67B0">
        <w:rPr>
          <w:rFonts w:ascii="Century" w:hAnsi="Century"/>
          <w:sz w:val="28"/>
          <w:szCs w:val="28"/>
        </w:rPr>
        <w:t>CCJR</w:t>
      </w:r>
      <w:proofErr w:type="spellEnd"/>
      <w:r w:rsidR="003D67B0">
        <w:rPr>
          <w:rFonts w:ascii="Century" w:hAnsi="Century"/>
          <w:sz w:val="28"/>
          <w:szCs w:val="28"/>
        </w:rPr>
        <w:t xml:space="preserve"> Reply in Support of R-17-0010, at 13)</w:t>
      </w:r>
      <w:r w:rsidR="003D67B0">
        <w:rPr>
          <w:rStyle w:val="FootnoteReference"/>
          <w:rFonts w:ascii="Century" w:hAnsi="Century"/>
          <w:sz w:val="28"/>
          <w:szCs w:val="28"/>
        </w:rPr>
        <w:footnoteReference w:id="7"/>
      </w:r>
      <w:r w:rsidR="003D67B0">
        <w:rPr>
          <w:rFonts w:ascii="Century" w:hAnsi="Century"/>
          <w:sz w:val="28"/>
          <w:szCs w:val="28"/>
        </w:rPr>
        <w:t>.</w:t>
      </w:r>
    </w:p>
    <w:p w:rsidR="0088631F" w:rsidRPr="004C3CFF" w:rsidRDefault="003D67B0" w:rsidP="003D67B0">
      <w:pPr>
        <w:pStyle w:val="BodyText"/>
        <w:spacing w:after="0" w:line="480" w:lineRule="auto"/>
        <w:jc w:val="both"/>
        <w:rPr>
          <w:rFonts w:ascii="Century" w:hAnsi="Century"/>
          <w:sz w:val="28"/>
          <w:szCs w:val="28"/>
        </w:rPr>
      </w:pPr>
      <w:r>
        <w:rPr>
          <w:rFonts w:ascii="Century" w:hAnsi="Century"/>
          <w:sz w:val="28"/>
          <w:szCs w:val="28"/>
        </w:rPr>
        <w:t xml:space="preserve">Thus, </w:t>
      </w:r>
      <w:r w:rsidR="00BA0231" w:rsidRPr="004354D7">
        <w:rPr>
          <w:rFonts w:ascii="Century" w:hAnsi="Century"/>
          <w:sz w:val="28"/>
          <w:szCs w:val="28"/>
        </w:rPr>
        <w:t>Petitioners al</w:t>
      </w:r>
      <w:r w:rsidR="001E1EBF">
        <w:rPr>
          <w:rFonts w:ascii="Century" w:hAnsi="Century"/>
          <w:sz w:val="28"/>
          <w:szCs w:val="28"/>
        </w:rPr>
        <w:t>so ask that the Court adopt the</w:t>
      </w:r>
      <w:r w:rsidR="00BA0231" w:rsidRPr="004354D7">
        <w:rPr>
          <w:rFonts w:ascii="Century" w:hAnsi="Century"/>
          <w:sz w:val="28"/>
          <w:szCs w:val="28"/>
        </w:rPr>
        <w:t xml:space="preserve"> natural yet innovative provision</w:t>
      </w:r>
      <w:r w:rsidR="004C3CFF">
        <w:rPr>
          <w:rFonts w:ascii="Century" w:hAnsi="Century"/>
          <w:sz w:val="28"/>
          <w:szCs w:val="28"/>
        </w:rPr>
        <w:t xml:space="preserve"> that is Rule 26(b</w:t>
      </w:r>
      <w:proofErr w:type="gramStart"/>
      <w:r w:rsidR="004C3CFF">
        <w:rPr>
          <w:rFonts w:ascii="Century" w:hAnsi="Century"/>
          <w:sz w:val="28"/>
          <w:szCs w:val="28"/>
        </w:rPr>
        <w:t>)(</w:t>
      </w:r>
      <w:proofErr w:type="gramEnd"/>
      <w:r w:rsidR="004C3CFF">
        <w:rPr>
          <w:rFonts w:ascii="Century" w:hAnsi="Century"/>
          <w:sz w:val="28"/>
          <w:szCs w:val="28"/>
        </w:rPr>
        <w:t>2)(D)</w:t>
      </w:r>
      <w:r w:rsidR="00CD0095" w:rsidRPr="004354D7">
        <w:rPr>
          <w:rFonts w:ascii="Century" w:hAnsi="Century"/>
          <w:sz w:val="28"/>
          <w:szCs w:val="28"/>
        </w:rPr>
        <w:t>, which</w:t>
      </w:r>
      <w:r w:rsidR="008D1DAD" w:rsidRPr="004354D7">
        <w:rPr>
          <w:rFonts w:ascii="Century" w:hAnsi="Century"/>
          <w:sz w:val="28"/>
          <w:szCs w:val="28"/>
        </w:rPr>
        <w:t xml:space="preserve">—like all </w:t>
      </w:r>
      <w:r w:rsidR="008D1DAD" w:rsidRPr="004354D7">
        <w:rPr>
          <w:rFonts w:ascii="Century" w:hAnsi="Century"/>
          <w:sz w:val="28"/>
          <w:szCs w:val="28"/>
        </w:rPr>
        <w:lastRenderedPageBreak/>
        <w:t>amendments proposed herein—</w:t>
      </w:r>
      <w:r w:rsidR="00CD0095" w:rsidRPr="004354D7">
        <w:rPr>
          <w:rFonts w:ascii="Century" w:hAnsi="Century"/>
          <w:sz w:val="28"/>
          <w:szCs w:val="28"/>
        </w:rPr>
        <w:t>only a single comment opposed</w:t>
      </w:r>
      <w:r w:rsidR="00BA0231" w:rsidRPr="004354D7">
        <w:rPr>
          <w:rFonts w:ascii="Century" w:hAnsi="Century"/>
          <w:sz w:val="28"/>
          <w:szCs w:val="28"/>
        </w:rPr>
        <w:t>.</w:t>
      </w:r>
      <w:r w:rsidR="00512047" w:rsidRPr="004354D7">
        <w:rPr>
          <w:rFonts w:ascii="Century" w:hAnsi="Century"/>
          <w:sz w:val="28"/>
          <w:szCs w:val="28"/>
        </w:rPr>
        <w:t xml:space="preserve"> Without it, satellite litigation may arise over whether the parties’ mutually and freely negotiated agreements control, or whether</w:t>
      </w:r>
      <w:r w:rsidR="00352B9F" w:rsidRPr="004354D7">
        <w:rPr>
          <w:rFonts w:ascii="Century" w:hAnsi="Century"/>
          <w:sz w:val="28"/>
          <w:szCs w:val="28"/>
        </w:rPr>
        <w:t xml:space="preserve"> the </w:t>
      </w:r>
      <w:r w:rsidR="008D6274">
        <w:rPr>
          <w:rFonts w:ascii="Century" w:hAnsi="Century"/>
          <w:sz w:val="28"/>
          <w:szCs w:val="28"/>
        </w:rPr>
        <w:t xml:space="preserve">newly </w:t>
      </w:r>
      <w:r w:rsidR="00352B9F" w:rsidRPr="004354D7">
        <w:rPr>
          <w:rFonts w:ascii="Century" w:hAnsi="Century"/>
          <w:sz w:val="28"/>
          <w:szCs w:val="28"/>
        </w:rPr>
        <w:t>revised</w:t>
      </w:r>
      <w:r w:rsidR="00512047" w:rsidRPr="004354D7">
        <w:rPr>
          <w:rFonts w:ascii="Century" w:hAnsi="Century"/>
          <w:sz w:val="28"/>
          <w:szCs w:val="28"/>
        </w:rPr>
        <w:t xml:space="preserve"> court rule</w:t>
      </w:r>
      <w:r w:rsidR="00352B9F" w:rsidRPr="004354D7">
        <w:rPr>
          <w:rFonts w:ascii="Century" w:hAnsi="Century"/>
          <w:sz w:val="28"/>
          <w:szCs w:val="28"/>
        </w:rPr>
        <w:t>s’ commanding</w:t>
      </w:r>
      <w:r w:rsidR="00512047" w:rsidRPr="004354D7">
        <w:rPr>
          <w:rFonts w:ascii="Century" w:hAnsi="Century"/>
          <w:sz w:val="28"/>
          <w:szCs w:val="28"/>
        </w:rPr>
        <w:t xml:space="preserve"> limits on discovery and preservation trump the way business organizations have chosen to arrange their affairs.</w:t>
      </w:r>
      <w:r w:rsidR="004C3CFF">
        <w:rPr>
          <w:rFonts w:ascii="Century" w:hAnsi="Century"/>
          <w:sz w:val="28"/>
          <w:szCs w:val="28"/>
        </w:rPr>
        <w:t xml:space="preserve"> </w:t>
      </w:r>
    </w:p>
    <w:p w:rsidR="0098204D" w:rsidRPr="004354D7" w:rsidRDefault="0098204D" w:rsidP="00327841">
      <w:pPr>
        <w:pStyle w:val="Pleading1L1"/>
        <w:spacing w:after="120"/>
        <w:rPr>
          <w:rFonts w:ascii="Century" w:hAnsi="Century"/>
          <w:sz w:val="28"/>
          <w:szCs w:val="28"/>
        </w:rPr>
      </w:pPr>
      <w:r w:rsidRPr="004354D7">
        <w:rPr>
          <w:rFonts w:ascii="Century" w:hAnsi="Century"/>
          <w:sz w:val="28"/>
          <w:szCs w:val="28"/>
        </w:rPr>
        <w:t>only a single comment opposed the proposed amendments</w:t>
      </w:r>
      <w:r w:rsidR="00BC6D75" w:rsidRPr="004354D7">
        <w:rPr>
          <w:rFonts w:ascii="Century" w:hAnsi="Century"/>
          <w:sz w:val="28"/>
          <w:szCs w:val="28"/>
        </w:rPr>
        <w:t>, Which were unanimously recommended and duly petitioned by this court’s committee on civil justice reform.</w:t>
      </w:r>
    </w:p>
    <w:p w:rsidR="0098204D" w:rsidRPr="004354D7" w:rsidRDefault="00CD0095" w:rsidP="00994603">
      <w:pPr>
        <w:pStyle w:val="BodyText"/>
        <w:spacing w:after="0" w:line="480" w:lineRule="auto"/>
        <w:jc w:val="both"/>
        <w:rPr>
          <w:rFonts w:ascii="Century" w:hAnsi="Century"/>
          <w:sz w:val="28"/>
          <w:szCs w:val="28"/>
        </w:rPr>
      </w:pPr>
      <w:r w:rsidRPr="004354D7">
        <w:rPr>
          <w:rFonts w:ascii="Century" w:hAnsi="Century"/>
          <w:sz w:val="28"/>
          <w:szCs w:val="28"/>
        </w:rPr>
        <w:t>T</w:t>
      </w:r>
      <w:r w:rsidR="0098204D" w:rsidRPr="004354D7">
        <w:rPr>
          <w:rFonts w:ascii="Century" w:hAnsi="Century"/>
          <w:sz w:val="28"/>
          <w:szCs w:val="28"/>
        </w:rPr>
        <w:t xml:space="preserve">he </w:t>
      </w:r>
      <w:r w:rsidR="00827690" w:rsidRPr="004354D7">
        <w:rPr>
          <w:rFonts w:ascii="Century" w:hAnsi="Century"/>
          <w:sz w:val="28"/>
          <w:szCs w:val="28"/>
        </w:rPr>
        <w:t>State Bar of Arizona</w:t>
      </w:r>
      <w:r w:rsidR="006D0F43">
        <w:rPr>
          <w:rFonts w:ascii="Century" w:hAnsi="Century"/>
          <w:sz w:val="28"/>
          <w:szCs w:val="28"/>
        </w:rPr>
        <w:t xml:space="preserve"> (SBA or State Bar)</w:t>
      </w:r>
      <w:r w:rsidR="00827690" w:rsidRPr="004354D7">
        <w:rPr>
          <w:rFonts w:ascii="Century" w:hAnsi="Century"/>
          <w:sz w:val="28"/>
          <w:szCs w:val="28"/>
        </w:rPr>
        <w:t xml:space="preserve"> filed a comment opposing the two </w:t>
      </w:r>
      <w:r w:rsidR="00327841" w:rsidRPr="004354D7">
        <w:rPr>
          <w:rFonts w:ascii="Century" w:hAnsi="Century"/>
          <w:sz w:val="28"/>
          <w:szCs w:val="28"/>
        </w:rPr>
        <w:t>sets of amendments above</w:t>
      </w:r>
      <w:r w:rsidR="00827690" w:rsidRPr="004354D7">
        <w:rPr>
          <w:rFonts w:ascii="Century" w:hAnsi="Century"/>
          <w:sz w:val="28"/>
          <w:szCs w:val="28"/>
        </w:rPr>
        <w:t xml:space="preserve">, as well as other portions of the </w:t>
      </w:r>
      <w:proofErr w:type="spellStart"/>
      <w:r w:rsidR="003741F2" w:rsidRPr="004354D7">
        <w:rPr>
          <w:rFonts w:ascii="Century" w:hAnsi="Century"/>
          <w:sz w:val="28"/>
          <w:szCs w:val="28"/>
        </w:rPr>
        <w:t>CCJR</w:t>
      </w:r>
      <w:r w:rsidR="00827690" w:rsidRPr="004354D7">
        <w:rPr>
          <w:rFonts w:ascii="Century" w:hAnsi="Century"/>
          <w:sz w:val="28"/>
          <w:szCs w:val="28"/>
        </w:rPr>
        <w:t>’s</w:t>
      </w:r>
      <w:proofErr w:type="spellEnd"/>
      <w:r w:rsidR="00827690" w:rsidRPr="004354D7">
        <w:rPr>
          <w:rFonts w:ascii="Century" w:hAnsi="Century"/>
          <w:sz w:val="28"/>
          <w:szCs w:val="28"/>
        </w:rPr>
        <w:t xml:space="preserve"> work.</w:t>
      </w:r>
      <w:r w:rsidR="00827690" w:rsidRPr="004354D7">
        <w:rPr>
          <w:rStyle w:val="FootnoteReference"/>
          <w:rFonts w:ascii="Century" w:hAnsi="Century"/>
          <w:sz w:val="28"/>
          <w:szCs w:val="28"/>
        </w:rPr>
        <w:footnoteReference w:id="8"/>
      </w:r>
      <w:r w:rsidR="00994603" w:rsidRPr="004354D7">
        <w:rPr>
          <w:rFonts w:ascii="Century" w:hAnsi="Century"/>
          <w:sz w:val="28"/>
          <w:szCs w:val="28"/>
        </w:rPr>
        <w:t xml:space="preserve"> The </w:t>
      </w:r>
      <w:proofErr w:type="spellStart"/>
      <w:r w:rsidR="00994603" w:rsidRPr="004354D7">
        <w:rPr>
          <w:rFonts w:ascii="Century" w:hAnsi="Century"/>
          <w:sz w:val="28"/>
          <w:szCs w:val="28"/>
        </w:rPr>
        <w:t>CCJR</w:t>
      </w:r>
      <w:proofErr w:type="spellEnd"/>
      <w:r w:rsidR="00994603" w:rsidRPr="004354D7">
        <w:rPr>
          <w:rFonts w:ascii="Century" w:hAnsi="Century"/>
          <w:sz w:val="28"/>
          <w:szCs w:val="28"/>
        </w:rPr>
        <w:t xml:space="preserve"> was the first to propose something like the addition of Rule 26(b</w:t>
      </w:r>
      <w:proofErr w:type="gramStart"/>
      <w:r w:rsidR="00994603" w:rsidRPr="004354D7">
        <w:rPr>
          <w:rFonts w:ascii="Century" w:hAnsi="Century"/>
          <w:sz w:val="28"/>
          <w:szCs w:val="28"/>
        </w:rPr>
        <w:t>)(</w:t>
      </w:r>
      <w:proofErr w:type="gramEnd"/>
      <w:r w:rsidR="00994603" w:rsidRPr="004354D7">
        <w:rPr>
          <w:rFonts w:ascii="Century" w:hAnsi="Century"/>
          <w:sz w:val="28"/>
          <w:szCs w:val="28"/>
        </w:rPr>
        <w:t xml:space="preserve">2)(D), but for the Rule 11 amendments, the Bar’s sole </w:t>
      </w:r>
      <w:r w:rsidR="00327841" w:rsidRPr="004354D7">
        <w:rPr>
          <w:rFonts w:ascii="Century" w:hAnsi="Century"/>
          <w:sz w:val="28"/>
          <w:szCs w:val="28"/>
        </w:rPr>
        <w:t>comment</w:t>
      </w:r>
      <w:r w:rsidR="00994603" w:rsidRPr="004354D7">
        <w:rPr>
          <w:rFonts w:ascii="Century" w:hAnsi="Century"/>
          <w:sz w:val="28"/>
          <w:szCs w:val="28"/>
        </w:rPr>
        <w:t xml:space="preserve"> actually represented a decrease in</w:t>
      </w:r>
      <w:r w:rsidR="008D6274">
        <w:rPr>
          <w:rFonts w:ascii="Century" w:hAnsi="Century"/>
          <w:sz w:val="28"/>
          <w:szCs w:val="28"/>
        </w:rPr>
        <w:t xml:space="preserve"> the</w:t>
      </w:r>
      <w:r w:rsidR="00994603" w:rsidRPr="004354D7">
        <w:rPr>
          <w:rFonts w:ascii="Century" w:hAnsi="Century"/>
          <w:sz w:val="28"/>
          <w:szCs w:val="28"/>
        </w:rPr>
        <w:t xml:space="preserve"> volume of </w:t>
      </w:r>
      <w:r w:rsidR="00327841" w:rsidRPr="004354D7">
        <w:rPr>
          <w:rFonts w:ascii="Century" w:hAnsi="Century"/>
          <w:sz w:val="28"/>
          <w:szCs w:val="28"/>
        </w:rPr>
        <w:t>opposition</w:t>
      </w:r>
      <w:r w:rsidR="008D6274">
        <w:rPr>
          <w:rFonts w:ascii="Century" w:hAnsi="Century"/>
          <w:sz w:val="28"/>
          <w:szCs w:val="28"/>
        </w:rPr>
        <w:t xml:space="preserve"> to prior similar proposals</w:t>
      </w:r>
      <w:r w:rsidR="00994603" w:rsidRPr="004354D7">
        <w:rPr>
          <w:rFonts w:ascii="Century" w:hAnsi="Century"/>
          <w:sz w:val="28"/>
          <w:szCs w:val="28"/>
        </w:rPr>
        <w:t xml:space="preserve">. In recent years, oft-proposed and </w:t>
      </w:r>
      <w:r w:rsidR="00994603" w:rsidRPr="004354D7">
        <w:rPr>
          <w:rFonts w:ascii="Century" w:hAnsi="Century"/>
          <w:sz w:val="28"/>
          <w:szCs w:val="28"/>
        </w:rPr>
        <w:lastRenderedPageBreak/>
        <w:t>oft-denied rule amendmen</w:t>
      </w:r>
      <w:r w:rsidR="00327841" w:rsidRPr="004354D7">
        <w:rPr>
          <w:rFonts w:ascii="Century" w:hAnsi="Century"/>
          <w:sz w:val="28"/>
          <w:szCs w:val="28"/>
        </w:rPr>
        <w:t>ts have eventually been adopted</w:t>
      </w:r>
      <w:r w:rsidR="00643159" w:rsidRPr="004354D7">
        <w:rPr>
          <w:rStyle w:val="FootnoteReference"/>
          <w:rFonts w:ascii="Century" w:hAnsi="Century"/>
          <w:sz w:val="28"/>
          <w:szCs w:val="28"/>
        </w:rPr>
        <w:footnoteReference w:id="9"/>
      </w:r>
      <w:r w:rsidR="00327841" w:rsidRPr="004354D7">
        <w:rPr>
          <w:rFonts w:ascii="Century" w:hAnsi="Century"/>
          <w:sz w:val="28"/>
          <w:szCs w:val="28"/>
        </w:rPr>
        <w:t>—</w:t>
      </w:r>
      <w:r w:rsidR="00994603" w:rsidRPr="004354D7">
        <w:rPr>
          <w:rFonts w:ascii="Century" w:hAnsi="Century"/>
          <w:sz w:val="28"/>
          <w:szCs w:val="28"/>
        </w:rPr>
        <w:t>once opposition has lessened or been mollified by</w:t>
      </w:r>
      <w:r w:rsidR="008C7442" w:rsidRPr="004354D7">
        <w:rPr>
          <w:rFonts w:ascii="Century" w:hAnsi="Century"/>
          <w:sz w:val="28"/>
          <w:szCs w:val="28"/>
        </w:rPr>
        <w:t xml:space="preserve"> revisions to proposed revisions.</w:t>
      </w:r>
      <w:r w:rsidR="00994603" w:rsidRPr="004354D7">
        <w:rPr>
          <w:rFonts w:ascii="Century" w:hAnsi="Century"/>
          <w:sz w:val="28"/>
          <w:szCs w:val="28"/>
        </w:rPr>
        <w:t xml:space="preserve"> </w:t>
      </w:r>
      <w:r w:rsidR="008C7442" w:rsidRPr="004354D7">
        <w:rPr>
          <w:rFonts w:ascii="Century" w:hAnsi="Century"/>
          <w:sz w:val="28"/>
          <w:szCs w:val="28"/>
        </w:rPr>
        <w:t xml:space="preserve">Petitioners </w:t>
      </w:r>
      <w:proofErr w:type="gramStart"/>
      <w:r w:rsidR="008C7442" w:rsidRPr="004354D7">
        <w:rPr>
          <w:rFonts w:ascii="Century" w:hAnsi="Century"/>
          <w:sz w:val="28"/>
          <w:szCs w:val="28"/>
        </w:rPr>
        <w:t>submit</w:t>
      </w:r>
      <w:r w:rsidR="00327841" w:rsidRPr="004354D7">
        <w:rPr>
          <w:rFonts w:ascii="Century" w:hAnsi="Century"/>
          <w:sz w:val="28"/>
          <w:szCs w:val="28"/>
        </w:rPr>
        <w:t>,</w:t>
      </w:r>
      <w:proofErr w:type="gramEnd"/>
      <w:r w:rsidR="008C7442" w:rsidRPr="004354D7">
        <w:rPr>
          <w:rFonts w:ascii="Century" w:hAnsi="Century"/>
          <w:sz w:val="28"/>
          <w:szCs w:val="28"/>
        </w:rPr>
        <w:t xml:space="preserve"> that for the Rule 11 amendments proposed herein</w:t>
      </w:r>
      <w:r w:rsidR="00327841" w:rsidRPr="004354D7">
        <w:rPr>
          <w:rFonts w:ascii="Century" w:hAnsi="Century"/>
          <w:sz w:val="28"/>
          <w:szCs w:val="28"/>
        </w:rPr>
        <w:t>, the time for adoption has come</w:t>
      </w:r>
      <w:r w:rsidR="008C7442" w:rsidRPr="004354D7">
        <w:rPr>
          <w:rFonts w:ascii="Century" w:hAnsi="Century"/>
          <w:sz w:val="28"/>
          <w:szCs w:val="28"/>
        </w:rPr>
        <w:t>.</w:t>
      </w:r>
    </w:p>
    <w:p w:rsidR="0098204D" w:rsidRPr="004354D7" w:rsidRDefault="0098204D" w:rsidP="0098204D">
      <w:pPr>
        <w:pStyle w:val="Pleading1L2"/>
        <w:rPr>
          <w:rFonts w:ascii="Century" w:hAnsi="Century"/>
          <w:sz w:val="28"/>
          <w:szCs w:val="28"/>
        </w:rPr>
      </w:pPr>
      <w:r w:rsidRPr="004354D7">
        <w:rPr>
          <w:rFonts w:ascii="Century" w:hAnsi="Century"/>
          <w:sz w:val="28"/>
          <w:szCs w:val="28"/>
        </w:rPr>
        <w:t xml:space="preserve">Any Opposition to the Proposed Changes to Rule 11 Only Appears to Have Lessened. </w:t>
      </w:r>
    </w:p>
    <w:p w:rsidR="00FA2C21" w:rsidRPr="004354D7" w:rsidRDefault="0098204D" w:rsidP="00FA2C21">
      <w:pPr>
        <w:pStyle w:val="BodyText"/>
        <w:spacing w:after="0" w:line="480" w:lineRule="auto"/>
        <w:jc w:val="both"/>
        <w:rPr>
          <w:rFonts w:ascii="Century" w:hAnsi="Century"/>
          <w:sz w:val="28"/>
          <w:szCs w:val="28"/>
        </w:rPr>
      </w:pPr>
      <w:r w:rsidRPr="004354D7">
        <w:rPr>
          <w:rFonts w:ascii="Century" w:hAnsi="Century"/>
          <w:sz w:val="28"/>
          <w:szCs w:val="28"/>
        </w:rPr>
        <w:t xml:space="preserve">The </w:t>
      </w:r>
      <w:r w:rsidR="002E11B2" w:rsidRPr="004354D7">
        <w:rPr>
          <w:rFonts w:ascii="Century" w:hAnsi="Century"/>
          <w:sz w:val="28"/>
          <w:szCs w:val="28"/>
        </w:rPr>
        <w:t xml:space="preserve">State Bar petitioned for changes to Rule 11 in early 2015, seeking revisions including </w:t>
      </w:r>
      <w:r w:rsidR="00FA2C21" w:rsidRPr="004354D7">
        <w:rPr>
          <w:rFonts w:ascii="Century" w:hAnsi="Century"/>
          <w:sz w:val="28"/>
          <w:szCs w:val="28"/>
        </w:rPr>
        <w:t>the use of “must” to impose</w:t>
      </w:r>
      <w:r w:rsidR="002E11B2" w:rsidRPr="004354D7">
        <w:rPr>
          <w:rFonts w:ascii="Century" w:hAnsi="Century"/>
          <w:sz w:val="28"/>
          <w:szCs w:val="28"/>
        </w:rPr>
        <w:t xml:space="preserve"> mandatory sanctions for violations (</w:t>
      </w:r>
      <w:r w:rsidR="002E11B2" w:rsidRPr="004354D7">
        <w:rPr>
          <w:rFonts w:ascii="Century" w:hAnsi="Century"/>
          <w:i/>
          <w:sz w:val="28"/>
          <w:szCs w:val="28"/>
        </w:rPr>
        <w:t>See</w:t>
      </w:r>
      <w:r w:rsidR="002E11B2" w:rsidRPr="004354D7">
        <w:rPr>
          <w:rFonts w:ascii="Century" w:hAnsi="Century"/>
          <w:sz w:val="28"/>
          <w:szCs w:val="28"/>
        </w:rPr>
        <w:t xml:space="preserve"> R-15-0004). The Pima County Bar Association </w:t>
      </w:r>
      <w:r w:rsidR="00D77251">
        <w:rPr>
          <w:rFonts w:ascii="Century" w:hAnsi="Century"/>
          <w:sz w:val="28"/>
          <w:szCs w:val="28"/>
        </w:rPr>
        <w:t xml:space="preserve">later </w:t>
      </w:r>
      <w:r w:rsidR="002E11B2" w:rsidRPr="004354D7">
        <w:rPr>
          <w:rFonts w:ascii="Century" w:hAnsi="Century"/>
          <w:sz w:val="28"/>
          <w:szCs w:val="28"/>
        </w:rPr>
        <w:t>responded with its own petition (R-15-0043), seeking</w:t>
      </w:r>
      <w:r w:rsidR="00207B85" w:rsidRPr="004354D7">
        <w:rPr>
          <w:rFonts w:ascii="Century" w:hAnsi="Century"/>
          <w:sz w:val="28"/>
          <w:szCs w:val="28"/>
        </w:rPr>
        <w:t xml:space="preserve"> instead</w:t>
      </w:r>
      <w:r w:rsidR="002E11B2" w:rsidRPr="004354D7">
        <w:rPr>
          <w:rFonts w:ascii="Century" w:hAnsi="Century"/>
          <w:sz w:val="28"/>
          <w:szCs w:val="28"/>
        </w:rPr>
        <w:t xml:space="preserve"> the use of “may” and permissive sanctions</w:t>
      </w:r>
      <w:r w:rsidR="00BC6D75" w:rsidRPr="004354D7">
        <w:rPr>
          <w:rFonts w:ascii="Century" w:hAnsi="Century"/>
          <w:sz w:val="28"/>
          <w:szCs w:val="28"/>
        </w:rPr>
        <w:t>—which the State Bar eventually supported</w:t>
      </w:r>
      <w:r w:rsidR="002E11B2" w:rsidRPr="004354D7">
        <w:rPr>
          <w:rFonts w:ascii="Century" w:hAnsi="Century"/>
          <w:sz w:val="28"/>
          <w:szCs w:val="28"/>
        </w:rPr>
        <w:t>.</w:t>
      </w:r>
      <w:r w:rsidR="00FA2C21" w:rsidRPr="004354D7">
        <w:rPr>
          <w:rFonts w:ascii="Century" w:hAnsi="Century"/>
          <w:sz w:val="28"/>
          <w:szCs w:val="28"/>
        </w:rPr>
        <w:t xml:space="preserve"> Ultimately, this Court’s Task Force on the Arizona Rules of Civil Procedure weighed in and also</w:t>
      </w:r>
      <w:r w:rsidR="00BC6D75" w:rsidRPr="004354D7">
        <w:rPr>
          <w:rFonts w:ascii="Century" w:hAnsi="Century"/>
          <w:sz w:val="28"/>
          <w:szCs w:val="28"/>
        </w:rPr>
        <w:t xml:space="preserve"> (initially)</w:t>
      </w:r>
      <w:r w:rsidR="00FA2C21" w:rsidRPr="004354D7">
        <w:rPr>
          <w:rFonts w:ascii="Century" w:hAnsi="Century"/>
          <w:sz w:val="28"/>
          <w:szCs w:val="28"/>
        </w:rPr>
        <w:t xml:space="preserve"> sought “must” and mandatory sanctions (R-16-0010).</w:t>
      </w:r>
      <w:r w:rsidR="00BC6D75" w:rsidRPr="004354D7">
        <w:rPr>
          <w:rStyle w:val="FootnoteReference"/>
          <w:rFonts w:ascii="Century" w:hAnsi="Century"/>
          <w:sz w:val="28"/>
          <w:szCs w:val="28"/>
        </w:rPr>
        <w:footnoteReference w:id="10"/>
      </w:r>
      <w:r w:rsidR="00FA2C21" w:rsidRPr="004354D7">
        <w:rPr>
          <w:rFonts w:ascii="Century" w:hAnsi="Century"/>
          <w:sz w:val="28"/>
          <w:szCs w:val="28"/>
        </w:rPr>
        <w:t xml:space="preserve"> </w:t>
      </w:r>
      <w:r w:rsidR="00BC6D75" w:rsidRPr="004354D7">
        <w:rPr>
          <w:rFonts w:ascii="Century" w:hAnsi="Century"/>
          <w:sz w:val="28"/>
          <w:szCs w:val="28"/>
        </w:rPr>
        <w:t>In the end, this Court</w:t>
      </w:r>
      <w:r w:rsidR="00FA2C21" w:rsidRPr="004354D7">
        <w:rPr>
          <w:rFonts w:ascii="Century" w:hAnsi="Century"/>
          <w:sz w:val="28"/>
          <w:szCs w:val="28"/>
        </w:rPr>
        <w:t xml:space="preserve"> </w:t>
      </w:r>
      <w:r w:rsidR="00FA2C21" w:rsidRPr="004354D7">
        <w:rPr>
          <w:rFonts w:ascii="Century" w:hAnsi="Century"/>
          <w:sz w:val="28"/>
          <w:szCs w:val="28"/>
        </w:rPr>
        <w:lastRenderedPageBreak/>
        <w:t>went with “may” in its orders on those petitions</w:t>
      </w:r>
      <w:r w:rsidR="00BC6D75" w:rsidRPr="004354D7">
        <w:rPr>
          <w:rFonts w:ascii="Century" w:hAnsi="Century"/>
          <w:sz w:val="28"/>
          <w:szCs w:val="28"/>
        </w:rPr>
        <w:t>, leading to discretionary sanctions becoming the rule in Arizona this year</w:t>
      </w:r>
      <w:r w:rsidR="00FA2C21" w:rsidRPr="004354D7">
        <w:rPr>
          <w:rFonts w:ascii="Century" w:hAnsi="Century"/>
          <w:sz w:val="28"/>
          <w:szCs w:val="28"/>
        </w:rPr>
        <w:t xml:space="preserve">. </w:t>
      </w:r>
    </w:p>
    <w:p w:rsidR="0098204D" w:rsidRPr="004354D7" w:rsidRDefault="00BC6D75" w:rsidP="00FA2C21">
      <w:pPr>
        <w:pStyle w:val="BodyText"/>
        <w:spacing w:after="0" w:line="480" w:lineRule="auto"/>
        <w:jc w:val="both"/>
        <w:rPr>
          <w:rFonts w:ascii="Century" w:hAnsi="Century"/>
          <w:sz w:val="28"/>
          <w:szCs w:val="28"/>
        </w:rPr>
      </w:pPr>
      <w:r w:rsidRPr="004354D7">
        <w:rPr>
          <w:rFonts w:ascii="Century" w:hAnsi="Century"/>
          <w:sz w:val="28"/>
          <w:szCs w:val="28"/>
        </w:rPr>
        <w:t>However, w</w:t>
      </w:r>
      <w:r w:rsidR="00FA2C21" w:rsidRPr="004354D7">
        <w:rPr>
          <w:rFonts w:ascii="Century" w:hAnsi="Century"/>
          <w:sz w:val="28"/>
          <w:szCs w:val="28"/>
        </w:rPr>
        <w:t xml:space="preserve">hen the </w:t>
      </w:r>
      <w:proofErr w:type="spellStart"/>
      <w:r w:rsidR="00FA2C21" w:rsidRPr="004354D7">
        <w:rPr>
          <w:rFonts w:ascii="Century" w:hAnsi="Century"/>
          <w:sz w:val="28"/>
          <w:szCs w:val="28"/>
        </w:rPr>
        <w:t>CCJR</w:t>
      </w:r>
      <w:proofErr w:type="spellEnd"/>
      <w:r w:rsidR="00FA2C21" w:rsidRPr="004354D7">
        <w:rPr>
          <w:rFonts w:ascii="Century" w:hAnsi="Century"/>
          <w:sz w:val="28"/>
          <w:szCs w:val="28"/>
        </w:rPr>
        <w:t xml:space="preserve"> weighed in this year and recommended “must,” </w:t>
      </w:r>
      <w:r w:rsidR="00FA2C21" w:rsidRPr="004354D7">
        <w:rPr>
          <w:rFonts w:ascii="Century" w:hAnsi="Century"/>
          <w:i/>
          <w:sz w:val="28"/>
          <w:szCs w:val="28"/>
        </w:rPr>
        <w:t>only the</w:t>
      </w:r>
      <w:r w:rsidR="008D1DAD" w:rsidRPr="004354D7">
        <w:rPr>
          <w:rFonts w:ascii="Century" w:hAnsi="Century"/>
          <w:i/>
          <w:sz w:val="28"/>
          <w:szCs w:val="28"/>
        </w:rPr>
        <w:t xml:space="preserve"> State</w:t>
      </w:r>
      <w:r w:rsidR="00FA2C21" w:rsidRPr="004354D7">
        <w:rPr>
          <w:rFonts w:ascii="Century" w:hAnsi="Century"/>
          <w:i/>
          <w:sz w:val="28"/>
          <w:szCs w:val="28"/>
        </w:rPr>
        <w:t xml:space="preserve"> Bar</w:t>
      </w:r>
      <w:r w:rsidR="00FA2C21" w:rsidRPr="004354D7">
        <w:rPr>
          <w:rFonts w:ascii="Century" w:hAnsi="Century"/>
          <w:sz w:val="28"/>
          <w:szCs w:val="28"/>
        </w:rPr>
        <w:t xml:space="preserve"> commented in opposition. The Pima County Bar Association did not defend “</w:t>
      </w:r>
      <w:proofErr w:type="gramStart"/>
      <w:r w:rsidR="00FA2C21" w:rsidRPr="004354D7">
        <w:rPr>
          <w:rFonts w:ascii="Century" w:hAnsi="Century"/>
          <w:sz w:val="28"/>
          <w:szCs w:val="28"/>
        </w:rPr>
        <w:t>may</w:t>
      </w:r>
      <w:proofErr w:type="gramEnd"/>
      <w:r w:rsidR="00FA2C21" w:rsidRPr="004354D7">
        <w:rPr>
          <w:rFonts w:ascii="Century" w:hAnsi="Century"/>
          <w:sz w:val="28"/>
          <w:szCs w:val="28"/>
        </w:rPr>
        <w:t xml:space="preserve">” in the comments on the </w:t>
      </w:r>
      <w:proofErr w:type="spellStart"/>
      <w:r w:rsidR="00FA2C21" w:rsidRPr="004354D7">
        <w:rPr>
          <w:rFonts w:ascii="Century" w:hAnsi="Century"/>
          <w:sz w:val="28"/>
          <w:szCs w:val="28"/>
        </w:rPr>
        <w:t>CCJR’s</w:t>
      </w:r>
      <w:proofErr w:type="spellEnd"/>
      <w:r w:rsidR="00FA2C21" w:rsidRPr="004354D7">
        <w:rPr>
          <w:rFonts w:ascii="Century" w:hAnsi="Century"/>
          <w:sz w:val="28"/>
          <w:szCs w:val="28"/>
        </w:rPr>
        <w:t xml:space="preserve"> petition, nor did any other commenters rush to its aid. </w:t>
      </w:r>
      <w:r w:rsidR="00327841" w:rsidRPr="004354D7">
        <w:rPr>
          <w:rFonts w:ascii="Century" w:hAnsi="Century"/>
          <w:sz w:val="28"/>
          <w:szCs w:val="28"/>
        </w:rPr>
        <w:t>Thus,</w:t>
      </w:r>
      <w:r w:rsidR="00FA2C21" w:rsidRPr="004354D7">
        <w:rPr>
          <w:rFonts w:ascii="Century" w:hAnsi="Century"/>
          <w:sz w:val="28"/>
          <w:szCs w:val="28"/>
        </w:rPr>
        <w:t xml:space="preserve"> two of this Court’s appointed bodies</w:t>
      </w:r>
      <w:r w:rsidR="00327841" w:rsidRPr="004354D7">
        <w:rPr>
          <w:rFonts w:ascii="Century" w:hAnsi="Century"/>
          <w:sz w:val="28"/>
          <w:szCs w:val="28"/>
        </w:rPr>
        <w:t xml:space="preserve"> and the State Bar</w:t>
      </w:r>
      <w:r w:rsidR="00FA2C21" w:rsidRPr="004354D7">
        <w:rPr>
          <w:rFonts w:ascii="Century" w:hAnsi="Century"/>
          <w:sz w:val="28"/>
          <w:szCs w:val="28"/>
        </w:rPr>
        <w:t xml:space="preserve"> have</w:t>
      </w:r>
      <w:r w:rsidR="00327841" w:rsidRPr="004354D7">
        <w:rPr>
          <w:rFonts w:ascii="Century" w:hAnsi="Century"/>
          <w:sz w:val="28"/>
          <w:szCs w:val="28"/>
        </w:rPr>
        <w:t>, at least at one point,</w:t>
      </w:r>
      <w:r w:rsidR="00FA2C21" w:rsidRPr="004354D7">
        <w:rPr>
          <w:rFonts w:ascii="Century" w:hAnsi="Century"/>
          <w:sz w:val="28"/>
          <w:szCs w:val="28"/>
        </w:rPr>
        <w:t xml:space="preserve"> carefully considered and recommended mandatory sanctions</w:t>
      </w:r>
      <w:r w:rsidR="00327841" w:rsidRPr="004354D7">
        <w:rPr>
          <w:rFonts w:ascii="Century" w:hAnsi="Century"/>
          <w:sz w:val="28"/>
          <w:szCs w:val="28"/>
        </w:rPr>
        <w:t>. G</w:t>
      </w:r>
      <w:r w:rsidR="00FA2C21" w:rsidRPr="004354D7">
        <w:rPr>
          <w:rFonts w:ascii="Century" w:hAnsi="Century"/>
          <w:sz w:val="28"/>
          <w:szCs w:val="28"/>
        </w:rPr>
        <w:t>iven that</w:t>
      </w:r>
      <w:r w:rsidR="00327841" w:rsidRPr="004354D7">
        <w:rPr>
          <w:rFonts w:ascii="Century" w:hAnsi="Century"/>
          <w:sz w:val="28"/>
          <w:szCs w:val="28"/>
        </w:rPr>
        <w:t xml:space="preserve"> and given that</w:t>
      </w:r>
      <w:r w:rsidR="00FA2C21" w:rsidRPr="004354D7">
        <w:rPr>
          <w:rFonts w:ascii="Century" w:hAnsi="Century"/>
          <w:sz w:val="28"/>
          <w:szCs w:val="28"/>
        </w:rPr>
        <w:t xml:space="preserve"> opposition to mandatory sanctions has certainly been tempered, if not withered, by sufficient time and </w:t>
      </w:r>
      <w:proofErr w:type="gramStart"/>
      <w:r w:rsidR="00FA2C21" w:rsidRPr="004354D7">
        <w:rPr>
          <w:rFonts w:ascii="Century" w:hAnsi="Century"/>
          <w:sz w:val="28"/>
          <w:szCs w:val="28"/>
        </w:rPr>
        <w:t>though</w:t>
      </w:r>
      <w:r w:rsidR="00D77251">
        <w:rPr>
          <w:rFonts w:ascii="Century" w:hAnsi="Century"/>
          <w:sz w:val="28"/>
          <w:szCs w:val="28"/>
        </w:rPr>
        <w:t>t,</w:t>
      </w:r>
      <w:proofErr w:type="gramEnd"/>
      <w:r w:rsidR="00D77251">
        <w:rPr>
          <w:rFonts w:ascii="Century" w:hAnsi="Century"/>
          <w:sz w:val="28"/>
          <w:szCs w:val="28"/>
        </w:rPr>
        <w:t xml:space="preserve"> Petitioners respectfully submi</w:t>
      </w:r>
      <w:r w:rsidR="00FA2C21" w:rsidRPr="004354D7">
        <w:rPr>
          <w:rFonts w:ascii="Century" w:hAnsi="Century"/>
          <w:sz w:val="28"/>
          <w:szCs w:val="28"/>
        </w:rPr>
        <w:t>t that the time has come to use “must.”</w:t>
      </w:r>
    </w:p>
    <w:p w:rsidR="00775DA5" w:rsidRPr="004354D7" w:rsidRDefault="0098204D" w:rsidP="0098204D">
      <w:pPr>
        <w:pStyle w:val="Pleading1L2"/>
        <w:rPr>
          <w:rFonts w:ascii="Century" w:hAnsi="Century"/>
          <w:sz w:val="28"/>
          <w:szCs w:val="28"/>
        </w:rPr>
      </w:pPr>
      <w:r w:rsidRPr="004354D7">
        <w:rPr>
          <w:rFonts w:ascii="Century" w:hAnsi="Century"/>
          <w:sz w:val="28"/>
          <w:szCs w:val="28"/>
        </w:rPr>
        <w:t>The Single Comment in Opposition to the Addition of Rule 26(b</w:t>
      </w:r>
      <w:proofErr w:type="gramStart"/>
      <w:r w:rsidRPr="004354D7">
        <w:rPr>
          <w:rFonts w:ascii="Century" w:hAnsi="Century"/>
          <w:sz w:val="28"/>
          <w:szCs w:val="28"/>
        </w:rPr>
        <w:t>)(</w:t>
      </w:r>
      <w:proofErr w:type="gramEnd"/>
      <w:r w:rsidRPr="004354D7">
        <w:rPr>
          <w:rFonts w:ascii="Century" w:hAnsi="Century"/>
          <w:sz w:val="28"/>
          <w:szCs w:val="28"/>
        </w:rPr>
        <w:t>2)(D) Oppo</w:t>
      </w:r>
      <w:r w:rsidR="008D1DAD" w:rsidRPr="004354D7">
        <w:rPr>
          <w:rFonts w:ascii="Century" w:hAnsi="Century"/>
          <w:sz w:val="28"/>
          <w:szCs w:val="28"/>
        </w:rPr>
        <w:t>sed it Summarily and Without</w:t>
      </w:r>
      <w:r w:rsidR="001E1EBF">
        <w:rPr>
          <w:rFonts w:ascii="Century" w:hAnsi="Century"/>
          <w:sz w:val="28"/>
          <w:szCs w:val="28"/>
        </w:rPr>
        <w:t xml:space="preserve"> </w:t>
      </w:r>
      <w:r w:rsidRPr="004354D7">
        <w:rPr>
          <w:rFonts w:ascii="Century" w:hAnsi="Century"/>
          <w:sz w:val="28"/>
          <w:szCs w:val="28"/>
        </w:rPr>
        <w:t>Support.</w:t>
      </w:r>
    </w:p>
    <w:p w:rsidR="00685CA6" w:rsidRPr="004354D7" w:rsidRDefault="006D0F43" w:rsidP="00775DA5">
      <w:pPr>
        <w:pStyle w:val="BodyText"/>
        <w:spacing w:after="0" w:line="480" w:lineRule="auto"/>
        <w:jc w:val="both"/>
        <w:rPr>
          <w:rFonts w:ascii="Century" w:hAnsi="Century"/>
          <w:sz w:val="28"/>
          <w:szCs w:val="28"/>
        </w:rPr>
      </w:pPr>
      <w:r>
        <w:rPr>
          <w:rFonts w:ascii="Century" w:hAnsi="Century"/>
          <w:sz w:val="28"/>
          <w:szCs w:val="28"/>
        </w:rPr>
        <w:t>The State Bar</w:t>
      </w:r>
      <w:r w:rsidR="00EB5620" w:rsidRPr="004354D7">
        <w:rPr>
          <w:rFonts w:ascii="Century" w:hAnsi="Century"/>
          <w:sz w:val="28"/>
          <w:szCs w:val="28"/>
        </w:rPr>
        <w:t xml:space="preserve"> </w:t>
      </w:r>
      <w:r w:rsidR="00AE135A" w:rsidRPr="004354D7">
        <w:rPr>
          <w:rFonts w:ascii="Century" w:hAnsi="Century"/>
          <w:sz w:val="28"/>
          <w:szCs w:val="28"/>
        </w:rPr>
        <w:t>was also the sole comment opposing the addition of Rule 26(b</w:t>
      </w:r>
      <w:proofErr w:type="gramStart"/>
      <w:r w:rsidR="00AE135A" w:rsidRPr="004354D7">
        <w:rPr>
          <w:rFonts w:ascii="Century" w:hAnsi="Century"/>
          <w:sz w:val="28"/>
          <w:szCs w:val="28"/>
        </w:rPr>
        <w:t>)(</w:t>
      </w:r>
      <w:proofErr w:type="gramEnd"/>
      <w:r w:rsidR="00AE135A" w:rsidRPr="004354D7">
        <w:rPr>
          <w:rFonts w:ascii="Century" w:hAnsi="Century"/>
          <w:sz w:val="28"/>
          <w:szCs w:val="28"/>
        </w:rPr>
        <w:t xml:space="preserve">2)(D)’s subparagraph on the enforcement of pre-litigation contracts between business organizations that allocate the parties’ preservation, discovery, and disclosure obligations. The State Bar did so cursorily, however, and without citation to </w:t>
      </w:r>
      <w:r w:rsidR="008D1DAD" w:rsidRPr="004354D7">
        <w:rPr>
          <w:rFonts w:ascii="Century" w:hAnsi="Century"/>
          <w:sz w:val="28"/>
          <w:szCs w:val="28"/>
        </w:rPr>
        <w:t>supporting authority</w:t>
      </w:r>
      <w:r w:rsidR="00AE135A" w:rsidRPr="004354D7">
        <w:rPr>
          <w:rFonts w:ascii="Century" w:hAnsi="Century"/>
          <w:sz w:val="28"/>
          <w:szCs w:val="28"/>
        </w:rPr>
        <w:t xml:space="preserve">. </w:t>
      </w:r>
      <w:r w:rsidR="00327841" w:rsidRPr="004354D7">
        <w:rPr>
          <w:rFonts w:ascii="Century" w:hAnsi="Century"/>
          <w:sz w:val="28"/>
          <w:szCs w:val="28"/>
        </w:rPr>
        <w:t>Instead, t</w:t>
      </w:r>
      <w:r w:rsidR="00536617" w:rsidRPr="004354D7">
        <w:rPr>
          <w:rFonts w:ascii="Century" w:hAnsi="Century"/>
          <w:sz w:val="28"/>
          <w:szCs w:val="28"/>
        </w:rPr>
        <w:t>he commenter</w:t>
      </w:r>
      <w:r w:rsidR="00327841" w:rsidRPr="004354D7">
        <w:rPr>
          <w:rFonts w:ascii="Century" w:hAnsi="Century"/>
          <w:sz w:val="28"/>
          <w:szCs w:val="28"/>
        </w:rPr>
        <w:t xml:space="preserve"> merely</w:t>
      </w:r>
      <w:r w:rsidR="00536617" w:rsidRPr="004354D7">
        <w:rPr>
          <w:rFonts w:ascii="Century" w:hAnsi="Century"/>
          <w:sz w:val="28"/>
          <w:szCs w:val="28"/>
        </w:rPr>
        <w:t xml:space="preserve"> posited its concern</w:t>
      </w:r>
      <w:r w:rsidR="00EB5620" w:rsidRPr="004354D7">
        <w:rPr>
          <w:rFonts w:ascii="Century" w:hAnsi="Century"/>
          <w:sz w:val="28"/>
          <w:szCs w:val="28"/>
        </w:rPr>
        <w:t>s</w:t>
      </w:r>
      <w:r w:rsidR="00536617" w:rsidRPr="004354D7">
        <w:rPr>
          <w:rFonts w:ascii="Century" w:hAnsi="Century"/>
          <w:sz w:val="28"/>
          <w:szCs w:val="28"/>
        </w:rPr>
        <w:t xml:space="preserve"> that the provision would “give rise to satellite litigation over the enforceab</w:t>
      </w:r>
      <w:r w:rsidR="00EB5620" w:rsidRPr="004354D7">
        <w:rPr>
          <w:rFonts w:ascii="Century" w:hAnsi="Century"/>
          <w:sz w:val="28"/>
          <w:szCs w:val="28"/>
        </w:rPr>
        <w:t xml:space="preserve">ility of such </w:t>
      </w:r>
      <w:r w:rsidR="00EB5620" w:rsidRPr="004354D7">
        <w:rPr>
          <w:rFonts w:ascii="Century" w:hAnsi="Century"/>
          <w:sz w:val="28"/>
          <w:szCs w:val="28"/>
        </w:rPr>
        <w:lastRenderedPageBreak/>
        <w:t>agreements,</w:t>
      </w:r>
      <w:r w:rsidR="00536617" w:rsidRPr="004354D7">
        <w:rPr>
          <w:rFonts w:ascii="Century" w:hAnsi="Century"/>
          <w:sz w:val="28"/>
          <w:szCs w:val="28"/>
        </w:rPr>
        <w:t>”</w:t>
      </w:r>
      <w:r w:rsidR="00EB5620" w:rsidRPr="004354D7">
        <w:rPr>
          <w:rFonts w:ascii="Century" w:hAnsi="Century"/>
          <w:sz w:val="28"/>
          <w:szCs w:val="28"/>
        </w:rPr>
        <w:t xml:space="preserve"> improperly limit the trial court’s discretion to manage discovery, and impact the rights of nonparties to information preservation. </w:t>
      </w:r>
      <w:r w:rsidR="00536617" w:rsidRPr="004354D7">
        <w:rPr>
          <w:rFonts w:ascii="Century" w:hAnsi="Century"/>
          <w:sz w:val="28"/>
          <w:szCs w:val="28"/>
        </w:rPr>
        <w:t xml:space="preserve"> </w:t>
      </w:r>
      <w:proofErr w:type="gramStart"/>
      <w:r w:rsidR="00EB5620" w:rsidRPr="004354D7">
        <w:rPr>
          <w:rFonts w:ascii="Century" w:hAnsi="Century"/>
          <w:sz w:val="28"/>
          <w:szCs w:val="28"/>
        </w:rPr>
        <w:t xml:space="preserve">(SBA </w:t>
      </w:r>
      <w:proofErr w:type="spellStart"/>
      <w:r w:rsidR="00EB5620" w:rsidRPr="004354D7">
        <w:rPr>
          <w:rFonts w:ascii="Century" w:hAnsi="Century"/>
          <w:sz w:val="28"/>
          <w:szCs w:val="28"/>
        </w:rPr>
        <w:t>Cmt</w:t>
      </w:r>
      <w:proofErr w:type="spellEnd"/>
      <w:r w:rsidR="00EB5620" w:rsidRPr="004354D7">
        <w:rPr>
          <w:rFonts w:ascii="Century" w:hAnsi="Century"/>
          <w:sz w:val="28"/>
          <w:szCs w:val="28"/>
        </w:rPr>
        <w:t>. on R-17-0010, at 12.)</w:t>
      </w:r>
      <w:proofErr w:type="gramEnd"/>
      <w:r w:rsidR="00EB5620" w:rsidRPr="004354D7">
        <w:rPr>
          <w:rFonts w:ascii="Century" w:hAnsi="Century"/>
          <w:sz w:val="28"/>
          <w:szCs w:val="28"/>
        </w:rPr>
        <w:t xml:space="preserve"> </w:t>
      </w:r>
      <w:r w:rsidR="00845A54" w:rsidRPr="004354D7">
        <w:rPr>
          <w:rFonts w:ascii="Century" w:hAnsi="Century"/>
          <w:sz w:val="28"/>
          <w:szCs w:val="28"/>
        </w:rPr>
        <w:t>These concerns are, respectfully, unfounded.</w:t>
      </w:r>
    </w:p>
    <w:p w:rsidR="00685CA6" w:rsidRPr="004354D7" w:rsidRDefault="00845A54" w:rsidP="00775DA5">
      <w:pPr>
        <w:pStyle w:val="BodyText"/>
        <w:spacing w:after="0" w:line="480" w:lineRule="auto"/>
        <w:jc w:val="both"/>
        <w:rPr>
          <w:rFonts w:ascii="Century" w:hAnsi="Century"/>
          <w:sz w:val="28"/>
          <w:szCs w:val="28"/>
        </w:rPr>
      </w:pPr>
      <w:r w:rsidRPr="004354D7">
        <w:rPr>
          <w:rFonts w:ascii="Century" w:hAnsi="Century"/>
          <w:sz w:val="28"/>
          <w:szCs w:val="28"/>
        </w:rPr>
        <w:t>T</w:t>
      </w:r>
      <w:r w:rsidR="00EB5620" w:rsidRPr="004354D7">
        <w:rPr>
          <w:rFonts w:ascii="Century" w:hAnsi="Century"/>
          <w:sz w:val="28"/>
          <w:szCs w:val="28"/>
        </w:rPr>
        <w:t>rial courts must already adjudicate motion practice regarding the enforceability of pre-litigation agreeme</w:t>
      </w:r>
      <w:r w:rsidR="00327841" w:rsidRPr="004354D7">
        <w:rPr>
          <w:rFonts w:ascii="Century" w:hAnsi="Century"/>
          <w:sz w:val="28"/>
          <w:szCs w:val="28"/>
        </w:rPr>
        <w:t>nts as to jury trial waivers,</w:t>
      </w:r>
      <w:r w:rsidR="00EB5620" w:rsidRPr="004354D7">
        <w:rPr>
          <w:rFonts w:ascii="Century" w:hAnsi="Century"/>
          <w:sz w:val="28"/>
          <w:szCs w:val="28"/>
        </w:rPr>
        <w:t xml:space="preserve"> arbitration</w:t>
      </w:r>
      <w:r w:rsidR="00327841" w:rsidRPr="004354D7">
        <w:rPr>
          <w:rFonts w:ascii="Century" w:hAnsi="Century"/>
          <w:sz w:val="28"/>
          <w:szCs w:val="28"/>
        </w:rPr>
        <w:t>,</w:t>
      </w:r>
      <w:r w:rsidR="009112ED" w:rsidRPr="004354D7">
        <w:rPr>
          <w:rFonts w:ascii="Century" w:hAnsi="Century"/>
          <w:sz w:val="28"/>
          <w:szCs w:val="28"/>
        </w:rPr>
        <w:t xml:space="preserve"> and a host of other issues</w:t>
      </w:r>
      <w:r w:rsidR="00EB5620" w:rsidRPr="004354D7">
        <w:rPr>
          <w:rFonts w:ascii="Century" w:hAnsi="Century"/>
          <w:sz w:val="28"/>
          <w:szCs w:val="28"/>
        </w:rPr>
        <w:t xml:space="preserve">. </w:t>
      </w:r>
      <w:r w:rsidR="00EB5620" w:rsidRPr="004354D7">
        <w:rPr>
          <w:rFonts w:ascii="Century" w:hAnsi="Century"/>
          <w:i/>
          <w:sz w:val="28"/>
          <w:szCs w:val="28"/>
        </w:rPr>
        <w:t xml:space="preserve">See </w:t>
      </w:r>
      <w:proofErr w:type="spellStart"/>
      <w:r w:rsidR="00EB5620" w:rsidRPr="004354D7">
        <w:rPr>
          <w:rFonts w:ascii="Century" w:hAnsi="Century"/>
          <w:i/>
          <w:sz w:val="28"/>
          <w:szCs w:val="28"/>
        </w:rPr>
        <w:t>BNCCORP</w:t>
      </w:r>
      <w:proofErr w:type="spellEnd"/>
      <w:r w:rsidR="00EB5620" w:rsidRPr="004354D7">
        <w:rPr>
          <w:rFonts w:ascii="Century" w:hAnsi="Century"/>
          <w:i/>
          <w:sz w:val="28"/>
          <w:szCs w:val="28"/>
        </w:rPr>
        <w:t>, Inc.</w:t>
      </w:r>
      <w:r w:rsidR="00EB5620" w:rsidRPr="004354D7">
        <w:rPr>
          <w:rFonts w:ascii="Century" w:hAnsi="Century"/>
          <w:sz w:val="28"/>
          <w:szCs w:val="28"/>
        </w:rPr>
        <w:t xml:space="preserve">, 769 Ariz. Adv. Rep. 4, 400 </w:t>
      </w:r>
      <w:proofErr w:type="spellStart"/>
      <w:r w:rsidR="00EB5620" w:rsidRPr="004354D7">
        <w:rPr>
          <w:rFonts w:ascii="Century" w:hAnsi="Century"/>
          <w:sz w:val="28"/>
          <w:szCs w:val="28"/>
        </w:rPr>
        <w:t>P.3d</w:t>
      </w:r>
      <w:proofErr w:type="spellEnd"/>
      <w:r w:rsidR="00EB5620" w:rsidRPr="004354D7">
        <w:rPr>
          <w:rFonts w:ascii="Century" w:hAnsi="Century"/>
          <w:sz w:val="28"/>
          <w:szCs w:val="28"/>
        </w:rPr>
        <w:t xml:space="preserve"> </w:t>
      </w:r>
      <w:r w:rsidR="00A75863" w:rsidRPr="004354D7">
        <w:rPr>
          <w:rFonts w:ascii="Century" w:hAnsi="Century"/>
          <w:sz w:val="28"/>
          <w:szCs w:val="28"/>
        </w:rPr>
        <w:t>at</w:t>
      </w:r>
      <w:r w:rsidR="00EB5620" w:rsidRPr="004354D7">
        <w:rPr>
          <w:rFonts w:ascii="Century" w:hAnsi="Century"/>
          <w:sz w:val="28"/>
          <w:szCs w:val="28"/>
        </w:rPr>
        <w:t xml:space="preserve"> </w:t>
      </w:r>
      <w:r w:rsidR="00A75863" w:rsidRPr="004354D7">
        <w:rPr>
          <w:rFonts w:ascii="Century" w:hAnsi="Century"/>
          <w:sz w:val="28"/>
          <w:szCs w:val="28"/>
        </w:rPr>
        <w:t>162-64 (reviewing trial court’s ruling enforcing pre-litigation jury trial waiver contained in business contract)</w:t>
      </w:r>
      <w:r w:rsidR="009112ED" w:rsidRPr="004354D7">
        <w:rPr>
          <w:rFonts w:ascii="Century" w:hAnsi="Century"/>
          <w:sz w:val="28"/>
          <w:szCs w:val="28"/>
        </w:rPr>
        <w:t xml:space="preserve">; </w:t>
      </w:r>
      <w:r w:rsidR="009112ED" w:rsidRPr="004354D7">
        <w:rPr>
          <w:rFonts w:ascii="Century" w:hAnsi="Century"/>
          <w:i/>
          <w:sz w:val="28"/>
          <w:szCs w:val="28"/>
        </w:rPr>
        <w:t>see also</w:t>
      </w:r>
      <w:r w:rsidR="009112ED" w:rsidRPr="004354D7">
        <w:rPr>
          <w:rFonts w:ascii="Century" w:hAnsi="Century"/>
          <w:sz w:val="28"/>
          <w:szCs w:val="28"/>
        </w:rPr>
        <w:t xml:space="preserve">  Jay </w:t>
      </w:r>
      <w:proofErr w:type="spellStart"/>
      <w:r w:rsidR="009112ED" w:rsidRPr="004354D7">
        <w:rPr>
          <w:rFonts w:ascii="Century" w:hAnsi="Century"/>
          <w:sz w:val="28"/>
          <w:szCs w:val="28"/>
        </w:rPr>
        <w:t>Brudz</w:t>
      </w:r>
      <w:proofErr w:type="spellEnd"/>
      <w:r w:rsidR="009112ED" w:rsidRPr="004354D7">
        <w:rPr>
          <w:rFonts w:ascii="Century" w:hAnsi="Century"/>
          <w:sz w:val="28"/>
          <w:szCs w:val="28"/>
        </w:rPr>
        <w:t xml:space="preserve"> &amp; Jonathan M. Redgrave, </w:t>
      </w:r>
      <w:r w:rsidR="009112ED" w:rsidRPr="004354D7">
        <w:rPr>
          <w:rFonts w:ascii="Century" w:hAnsi="Century"/>
          <w:i/>
          <w:sz w:val="28"/>
          <w:szCs w:val="28"/>
        </w:rPr>
        <w:t xml:space="preserve">Using Contract Terms to Get Ahead of </w:t>
      </w:r>
      <w:r w:rsidR="004C1E24" w:rsidRPr="004354D7">
        <w:rPr>
          <w:rFonts w:ascii="Century" w:hAnsi="Century"/>
          <w:i/>
          <w:sz w:val="28"/>
          <w:szCs w:val="28"/>
        </w:rPr>
        <w:t>Prospective</w:t>
      </w:r>
      <w:r w:rsidR="009112ED" w:rsidRPr="004354D7">
        <w:rPr>
          <w:rFonts w:ascii="Century" w:hAnsi="Century"/>
          <w:i/>
          <w:sz w:val="28"/>
          <w:szCs w:val="28"/>
        </w:rPr>
        <w:t xml:space="preserve"> eDiscovery Costs and Burdens in Commercial Litigation</w:t>
      </w:r>
      <w:r w:rsidR="009112ED" w:rsidRPr="004354D7">
        <w:rPr>
          <w:rFonts w:ascii="Century" w:hAnsi="Century"/>
          <w:sz w:val="28"/>
          <w:szCs w:val="28"/>
        </w:rPr>
        <w:t xml:space="preserve">, </w:t>
      </w:r>
      <w:r w:rsidR="009112ED" w:rsidRPr="004354D7">
        <w:rPr>
          <w:rFonts w:ascii="Century" w:hAnsi="Century"/>
          <w:smallCaps/>
          <w:sz w:val="28"/>
          <w:szCs w:val="28"/>
        </w:rPr>
        <w:t>18 Rich. J. L. &amp; Tech. 13, 25 (</w:t>
      </w:r>
      <w:r w:rsidR="009112ED" w:rsidRPr="004354D7">
        <w:rPr>
          <w:rFonts w:ascii="Century" w:hAnsi="Century"/>
          <w:sz w:val="28"/>
          <w:szCs w:val="28"/>
        </w:rPr>
        <w:t>Summer 2012) (noting enforceability of near-ubiquitous venue, jury waiver, choice-of-law, and arbitration clause provisions)</w:t>
      </w:r>
      <w:r w:rsidR="00A75863" w:rsidRPr="004354D7">
        <w:rPr>
          <w:rFonts w:ascii="Century" w:hAnsi="Century"/>
          <w:sz w:val="28"/>
          <w:szCs w:val="28"/>
        </w:rPr>
        <w:t xml:space="preserve">. And this Court’s charge to the </w:t>
      </w:r>
      <w:proofErr w:type="spellStart"/>
      <w:r w:rsidR="00A75863" w:rsidRPr="004354D7">
        <w:rPr>
          <w:rFonts w:ascii="Century" w:hAnsi="Century"/>
          <w:sz w:val="28"/>
          <w:szCs w:val="28"/>
        </w:rPr>
        <w:t>CCJR</w:t>
      </w:r>
      <w:proofErr w:type="spellEnd"/>
      <w:r w:rsidR="00A75863" w:rsidRPr="004354D7">
        <w:rPr>
          <w:rFonts w:ascii="Century" w:hAnsi="Century"/>
          <w:sz w:val="28"/>
          <w:szCs w:val="28"/>
        </w:rPr>
        <w:t xml:space="preserve"> noted the importance of “rule amendment</w:t>
      </w:r>
      <w:r w:rsidR="00F6155A">
        <w:rPr>
          <w:rFonts w:ascii="Century" w:hAnsi="Century"/>
          <w:sz w:val="28"/>
          <w:szCs w:val="28"/>
        </w:rPr>
        <w:t>s related to case management” in</w:t>
      </w:r>
      <w:r w:rsidR="00A75863" w:rsidRPr="004354D7">
        <w:rPr>
          <w:rFonts w:ascii="Century" w:hAnsi="Century"/>
          <w:sz w:val="28"/>
          <w:szCs w:val="28"/>
        </w:rPr>
        <w:t xml:space="preserve"> reducing “the time and expense of civil litigation.” </w:t>
      </w:r>
      <w:proofErr w:type="gramStart"/>
      <w:r w:rsidR="00A75863" w:rsidRPr="004354D7">
        <w:rPr>
          <w:rFonts w:ascii="Century" w:hAnsi="Century"/>
          <w:sz w:val="28"/>
          <w:szCs w:val="28"/>
        </w:rPr>
        <w:t>(Admin.</w:t>
      </w:r>
      <w:proofErr w:type="gramEnd"/>
      <w:r w:rsidR="00A75863" w:rsidRPr="004354D7">
        <w:rPr>
          <w:rFonts w:ascii="Century" w:hAnsi="Century"/>
          <w:sz w:val="28"/>
          <w:szCs w:val="28"/>
        </w:rPr>
        <w:t xml:space="preserve"> Order No. 2015-126 (appointing </w:t>
      </w:r>
      <w:proofErr w:type="spellStart"/>
      <w:r w:rsidR="00A75863" w:rsidRPr="004354D7">
        <w:rPr>
          <w:rFonts w:ascii="Century" w:hAnsi="Century"/>
          <w:sz w:val="28"/>
          <w:szCs w:val="28"/>
        </w:rPr>
        <w:t>CCJR</w:t>
      </w:r>
      <w:proofErr w:type="spellEnd"/>
      <w:r w:rsidR="00A75863" w:rsidRPr="004354D7">
        <w:rPr>
          <w:rFonts w:ascii="Century" w:hAnsi="Century"/>
          <w:sz w:val="28"/>
          <w:szCs w:val="28"/>
        </w:rPr>
        <w:t xml:space="preserve"> and setting forth its purpose).)</w:t>
      </w:r>
      <w:r w:rsidR="0031235D" w:rsidRPr="004354D7">
        <w:rPr>
          <w:rFonts w:ascii="Century" w:hAnsi="Century"/>
          <w:sz w:val="28"/>
          <w:szCs w:val="28"/>
        </w:rPr>
        <w:t xml:space="preserve"> Finally, the </w:t>
      </w:r>
      <w:proofErr w:type="spellStart"/>
      <w:r w:rsidR="0031235D" w:rsidRPr="004354D7">
        <w:rPr>
          <w:rFonts w:ascii="Century" w:hAnsi="Century"/>
          <w:sz w:val="28"/>
          <w:szCs w:val="28"/>
        </w:rPr>
        <w:t>CCJR</w:t>
      </w:r>
      <w:proofErr w:type="spellEnd"/>
      <w:r w:rsidR="0031235D" w:rsidRPr="004354D7">
        <w:rPr>
          <w:rFonts w:ascii="Century" w:hAnsi="Century"/>
          <w:sz w:val="28"/>
          <w:szCs w:val="28"/>
        </w:rPr>
        <w:t xml:space="preserve"> made changes and proposed supplemental rule language for Rule 26(b</w:t>
      </w:r>
      <w:proofErr w:type="gramStart"/>
      <w:r w:rsidR="0031235D" w:rsidRPr="004354D7">
        <w:rPr>
          <w:rFonts w:ascii="Century" w:hAnsi="Century"/>
          <w:sz w:val="28"/>
          <w:szCs w:val="28"/>
        </w:rPr>
        <w:t>)(</w:t>
      </w:r>
      <w:proofErr w:type="gramEnd"/>
      <w:r w:rsidR="0031235D" w:rsidRPr="004354D7">
        <w:rPr>
          <w:rFonts w:ascii="Century" w:hAnsi="Century"/>
          <w:sz w:val="28"/>
          <w:szCs w:val="28"/>
        </w:rPr>
        <w:t xml:space="preserve">2)(D) in response to the State Bar </w:t>
      </w:r>
      <w:r w:rsidR="0031235D" w:rsidRPr="004354D7">
        <w:rPr>
          <w:rFonts w:ascii="Century" w:hAnsi="Century"/>
          <w:sz w:val="28"/>
          <w:szCs w:val="28"/>
        </w:rPr>
        <w:lastRenderedPageBreak/>
        <w:t>comment. These included the language that “[n]</w:t>
      </w:r>
      <w:proofErr w:type="spellStart"/>
      <w:r w:rsidR="0031235D" w:rsidRPr="004354D7">
        <w:rPr>
          <w:rFonts w:ascii="Century" w:hAnsi="Century"/>
          <w:sz w:val="28"/>
          <w:szCs w:val="28"/>
        </w:rPr>
        <w:t>othing</w:t>
      </w:r>
      <w:proofErr w:type="spellEnd"/>
      <w:r w:rsidR="0031235D" w:rsidRPr="004354D7">
        <w:rPr>
          <w:rFonts w:ascii="Century" w:hAnsi="Century"/>
          <w:sz w:val="28"/>
          <w:szCs w:val="28"/>
        </w:rPr>
        <w:t xml:space="preserve"> in this subdivision impairs the rights of non-parties to the contract.” (</w:t>
      </w:r>
      <w:proofErr w:type="spellStart"/>
      <w:r w:rsidR="0031235D" w:rsidRPr="004354D7">
        <w:rPr>
          <w:rFonts w:ascii="Century" w:hAnsi="Century"/>
          <w:sz w:val="28"/>
          <w:szCs w:val="28"/>
        </w:rPr>
        <w:t>CCJR</w:t>
      </w:r>
      <w:proofErr w:type="spellEnd"/>
      <w:r w:rsidR="0031235D" w:rsidRPr="004354D7">
        <w:rPr>
          <w:rFonts w:ascii="Century" w:hAnsi="Century"/>
          <w:sz w:val="28"/>
          <w:szCs w:val="28"/>
        </w:rPr>
        <w:t xml:space="preserve"> Reply, at 12-14.)</w:t>
      </w:r>
      <w:r w:rsidR="00EB446A" w:rsidRPr="004354D7">
        <w:rPr>
          <w:rFonts w:ascii="Century" w:hAnsi="Century"/>
          <w:sz w:val="28"/>
          <w:szCs w:val="28"/>
        </w:rPr>
        <w:t xml:space="preserve"> </w:t>
      </w:r>
    </w:p>
    <w:p w:rsidR="00775DA5" w:rsidRPr="004354D7" w:rsidRDefault="00EB446A" w:rsidP="00775DA5">
      <w:pPr>
        <w:pStyle w:val="BodyText"/>
        <w:spacing w:after="0" w:line="480" w:lineRule="auto"/>
        <w:jc w:val="both"/>
        <w:rPr>
          <w:rFonts w:ascii="Century" w:hAnsi="Century"/>
          <w:sz w:val="28"/>
          <w:szCs w:val="28"/>
        </w:rPr>
      </w:pPr>
      <w:r w:rsidRPr="004354D7">
        <w:rPr>
          <w:rFonts w:ascii="Century" w:hAnsi="Century"/>
          <w:sz w:val="28"/>
          <w:szCs w:val="28"/>
        </w:rPr>
        <w:t>Because the State Bar comment was the sole comment in opposition to the addition of Rule 26(b)(2)(D),</w:t>
      </w:r>
      <w:r w:rsidRPr="004354D7">
        <w:rPr>
          <w:rStyle w:val="FootnoteReference"/>
          <w:rFonts w:ascii="Century" w:hAnsi="Century"/>
          <w:sz w:val="28"/>
          <w:szCs w:val="28"/>
        </w:rPr>
        <w:footnoteReference w:id="11"/>
      </w:r>
      <w:r w:rsidRPr="004354D7">
        <w:rPr>
          <w:rFonts w:ascii="Century" w:hAnsi="Century"/>
          <w:sz w:val="28"/>
          <w:szCs w:val="28"/>
        </w:rPr>
        <w:t xml:space="preserve"> because it was summarily entered, and because the </w:t>
      </w:r>
      <w:proofErr w:type="spellStart"/>
      <w:r w:rsidRPr="004354D7">
        <w:rPr>
          <w:rFonts w:ascii="Century" w:hAnsi="Century"/>
          <w:sz w:val="28"/>
          <w:szCs w:val="28"/>
        </w:rPr>
        <w:t>CCJR</w:t>
      </w:r>
      <w:proofErr w:type="spellEnd"/>
      <w:r w:rsidRPr="004354D7">
        <w:rPr>
          <w:rFonts w:ascii="Century" w:hAnsi="Century"/>
          <w:sz w:val="28"/>
          <w:szCs w:val="28"/>
        </w:rPr>
        <w:t xml:space="preserve"> incorporated all the rest of the State Bar discovery reform critiques during the iterative Rule 28 process</w:t>
      </w:r>
      <w:r w:rsidR="008D1DAD" w:rsidRPr="004354D7">
        <w:rPr>
          <w:rFonts w:ascii="Century" w:hAnsi="Century"/>
          <w:sz w:val="28"/>
          <w:szCs w:val="28"/>
        </w:rPr>
        <w:t xml:space="preserve"> (</w:t>
      </w:r>
      <w:proofErr w:type="spellStart"/>
      <w:r w:rsidR="008D1DAD" w:rsidRPr="004354D7">
        <w:rPr>
          <w:rFonts w:ascii="Century" w:hAnsi="Century"/>
          <w:sz w:val="28"/>
          <w:szCs w:val="28"/>
        </w:rPr>
        <w:t>CCJR</w:t>
      </w:r>
      <w:proofErr w:type="spellEnd"/>
      <w:r w:rsidR="008D1DAD" w:rsidRPr="004354D7">
        <w:rPr>
          <w:rFonts w:ascii="Century" w:hAnsi="Century"/>
          <w:sz w:val="28"/>
          <w:szCs w:val="28"/>
        </w:rPr>
        <w:t xml:space="preserve"> Reply, at 12)</w:t>
      </w:r>
      <w:r w:rsidR="00685CA6" w:rsidRPr="004354D7">
        <w:rPr>
          <w:rFonts w:ascii="Century" w:hAnsi="Century"/>
          <w:sz w:val="28"/>
          <w:szCs w:val="28"/>
        </w:rPr>
        <w:t>, this Court should adopt Rule 26(b)(2)(D).</w:t>
      </w:r>
      <w:r w:rsidR="000B7762" w:rsidRPr="004354D7">
        <w:rPr>
          <w:rFonts w:ascii="Century" w:hAnsi="Century"/>
          <w:sz w:val="28"/>
          <w:szCs w:val="28"/>
        </w:rPr>
        <w:t xml:space="preserve"> As the </w:t>
      </w:r>
      <w:proofErr w:type="spellStart"/>
      <w:r w:rsidR="000B7762" w:rsidRPr="004354D7">
        <w:rPr>
          <w:rFonts w:ascii="Century" w:hAnsi="Century"/>
          <w:sz w:val="28"/>
          <w:szCs w:val="28"/>
        </w:rPr>
        <w:t>CCJR</w:t>
      </w:r>
      <w:proofErr w:type="spellEnd"/>
      <w:r w:rsidR="000B7762" w:rsidRPr="004354D7">
        <w:rPr>
          <w:rFonts w:ascii="Century" w:hAnsi="Century"/>
          <w:sz w:val="28"/>
          <w:szCs w:val="28"/>
        </w:rPr>
        <w:t xml:space="preserve"> Reply</w:t>
      </w:r>
      <w:r w:rsidR="006D0F43">
        <w:rPr>
          <w:rFonts w:ascii="Century" w:hAnsi="Century"/>
          <w:sz w:val="28"/>
          <w:szCs w:val="28"/>
        </w:rPr>
        <w:t xml:space="preserve"> (at 13)</w:t>
      </w:r>
      <w:r w:rsidR="000B7762" w:rsidRPr="004354D7">
        <w:rPr>
          <w:rFonts w:ascii="Century" w:hAnsi="Century"/>
          <w:sz w:val="28"/>
          <w:szCs w:val="28"/>
        </w:rPr>
        <w:t xml:space="preserve"> pointed out, the provision would provide certainty to contracting-party business organizations that is currently lacking</w:t>
      </w:r>
      <w:r w:rsidR="009112ED" w:rsidRPr="004354D7">
        <w:rPr>
          <w:rFonts w:ascii="Century" w:hAnsi="Century"/>
          <w:sz w:val="28"/>
          <w:szCs w:val="28"/>
        </w:rPr>
        <w:t xml:space="preserve"> as case law catches up to e-discovery practices</w:t>
      </w:r>
      <w:r w:rsidR="000B7762" w:rsidRPr="004354D7">
        <w:rPr>
          <w:rFonts w:ascii="Century" w:hAnsi="Century"/>
          <w:sz w:val="28"/>
          <w:szCs w:val="28"/>
        </w:rPr>
        <w:t xml:space="preserve">. </w:t>
      </w:r>
      <w:r w:rsidR="000B7762" w:rsidRPr="004354D7">
        <w:rPr>
          <w:rFonts w:ascii="Century" w:hAnsi="Century"/>
          <w:i/>
          <w:sz w:val="28"/>
          <w:szCs w:val="28"/>
        </w:rPr>
        <w:t>See</w:t>
      </w:r>
      <w:r w:rsidR="009112ED" w:rsidRPr="004354D7">
        <w:rPr>
          <w:rFonts w:ascii="Century" w:hAnsi="Century"/>
          <w:sz w:val="28"/>
          <w:szCs w:val="28"/>
        </w:rPr>
        <w:t xml:space="preserve"> </w:t>
      </w:r>
      <w:proofErr w:type="spellStart"/>
      <w:r w:rsidR="009112ED" w:rsidRPr="004354D7">
        <w:rPr>
          <w:rFonts w:ascii="Century" w:hAnsi="Century"/>
          <w:sz w:val="28"/>
          <w:szCs w:val="28"/>
        </w:rPr>
        <w:t>Brudz</w:t>
      </w:r>
      <w:proofErr w:type="spellEnd"/>
      <w:r w:rsidR="009112ED" w:rsidRPr="004354D7">
        <w:rPr>
          <w:rFonts w:ascii="Century" w:hAnsi="Century"/>
          <w:sz w:val="28"/>
          <w:szCs w:val="28"/>
        </w:rPr>
        <w:t xml:space="preserve"> &amp; Redgrave, 18 </w:t>
      </w:r>
      <w:r w:rsidR="009112ED" w:rsidRPr="004354D7">
        <w:rPr>
          <w:rFonts w:ascii="Century" w:hAnsi="Century"/>
          <w:smallCaps/>
          <w:sz w:val="28"/>
          <w:szCs w:val="28"/>
        </w:rPr>
        <w:t xml:space="preserve">Rich. J. L. &amp; Tech. </w:t>
      </w:r>
      <w:r w:rsidR="009112ED" w:rsidRPr="004354D7">
        <w:rPr>
          <w:rFonts w:ascii="Century" w:hAnsi="Century"/>
          <w:sz w:val="28"/>
          <w:szCs w:val="28"/>
        </w:rPr>
        <w:t>at 25 (noting lack of established law on point).</w:t>
      </w:r>
      <w:r w:rsidR="000B7762" w:rsidRPr="004354D7">
        <w:rPr>
          <w:rFonts w:ascii="Century" w:hAnsi="Century"/>
          <w:i/>
          <w:sz w:val="28"/>
          <w:szCs w:val="28"/>
        </w:rPr>
        <w:t xml:space="preserve"> </w:t>
      </w:r>
      <w:r w:rsidR="000B7762" w:rsidRPr="004354D7">
        <w:rPr>
          <w:rFonts w:ascii="Century" w:hAnsi="Century"/>
          <w:sz w:val="28"/>
          <w:szCs w:val="28"/>
        </w:rPr>
        <w:t>As discussed below, this Court’s</w:t>
      </w:r>
      <w:r w:rsidR="009112ED" w:rsidRPr="004354D7">
        <w:rPr>
          <w:rFonts w:ascii="Century" w:hAnsi="Century"/>
          <w:sz w:val="28"/>
          <w:szCs w:val="28"/>
        </w:rPr>
        <w:t xml:space="preserve"> recent</w:t>
      </w:r>
      <w:r w:rsidR="000B7762" w:rsidRPr="004354D7">
        <w:rPr>
          <w:rFonts w:ascii="Century" w:hAnsi="Century"/>
          <w:sz w:val="28"/>
          <w:szCs w:val="28"/>
        </w:rPr>
        <w:t xml:space="preserve"> adoption of new Rule 45.2 </w:t>
      </w:r>
      <w:r w:rsidR="000B7762" w:rsidRPr="004354D7">
        <w:rPr>
          <w:rFonts w:ascii="Century" w:hAnsi="Century"/>
          <w:sz w:val="28"/>
          <w:szCs w:val="28"/>
        </w:rPr>
        <w:lastRenderedPageBreak/>
        <w:t>provides procedural certainty to parties</w:t>
      </w:r>
      <w:r w:rsidR="00AB54CD" w:rsidRPr="004354D7">
        <w:rPr>
          <w:rFonts w:ascii="Century" w:hAnsi="Century"/>
          <w:sz w:val="28"/>
          <w:szCs w:val="28"/>
        </w:rPr>
        <w:t xml:space="preserve"> and persons</w:t>
      </w:r>
      <w:r w:rsidR="000B7762" w:rsidRPr="004354D7">
        <w:rPr>
          <w:rFonts w:ascii="Century" w:hAnsi="Century"/>
          <w:sz w:val="28"/>
          <w:szCs w:val="28"/>
        </w:rPr>
        <w:t>, including business organizations, faced with unreasonable preservation demands. The same should be provided to business organizations that have sought to cabin discovery, disclosure, and preservation obligations in advance.</w:t>
      </w:r>
    </w:p>
    <w:p w:rsidR="0098204D" w:rsidRPr="004354D7" w:rsidRDefault="0098204D" w:rsidP="005E3448">
      <w:pPr>
        <w:pStyle w:val="Pleading1L1"/>
        <w:spacing w:after="120"/>
        <w:rPr>
          <w:rFonts w:ascii="Century" w:hAnsi="Century"/>
          <w:sz w:val="28"/>
          <w:szCs w:val="28"/>
        </w:rPr>
      </w:pPr>
      <w:r w:rsidRPr="004354D7">
        <w:rPr>
          <w:rFonts w:ascii="Century" w:hAnsi="Century"/>
          <w:sz w:val="28"/>
          <w:szCs w:val="28"/>
        </w:rPr>
        <w:t xml:space="preserve">the </w:t>
      </w:r>
      <w:proofErr w:type="spellStart"/>
      <w:r w:rsidRPr="004354D7">
        <w:rPr>
          <w:rFonts w:ascii="Century" w:hAnsi="Century"/>
          <w:sz w:val="28"/>
          <w:szCs w:val="28"/>
        </w:rPr>
        <w:t>ccjr’s</w:t>
      </w:r>
      <w:proofErr w:type="spellEnd"/>
      <w:r w:rsidRPr="004354D7">
        <w:rPr>
          <w:rFonts w:ascii="Century" w:hAnsi="Century"/>
          <w:sz w:val="28"/>
          <w:szCs w:val="28"/>
        </w:rPr>
        <w:t xml:space="preserve"> proposed rule 11(</w:t>
      </w:r>
      <w:r w:rsidRPr="004354D7">
        <w:rPr>
          <w:rFonts w:ascii="Century" w:hAnsi="Century"/>
          <w:caps w:val="0"/>
          <w:sz w:val="28"/>
          <w:szCs w:val="28"/>
        </w:rPr>
        <w:t>b</w:t>
      </w:r>
      <w:r w:rsidRPr="004354D7">
        <w:rPr>
          <w:rFonts w:ascii="Century" w:hAnsi="Century"/>
          <w:sz w:val="28"/>
          <w:szCs w:val="28"/>
        </w:rPr>
        <w:t>) standards adhere more closely to actual arizona standards from existing case law.</w:t>
      </w:r>
    </w:p>
    <w:p w:rsidR="00775DA5" w:rsidRPr="004354D7" w:rsidRDefault="006F089D" w:rsidP="00EF3FDF">
      <w:pPr>
        <w:pStyle w:val="BodyText"/>
        <w:spacing w:after="0" w:line="480" w:lineRule="auto"/>
        <w:jc w:val="both"/>
        <w:rPr>
          <w:rFonts w:ascii="Century" w:hAnsi="Century"/>
          <w:sz w:val="28"/>
          <w:szCs w:val="28"/>
          <w:lang w:eastAsia="zh-CN"/>
        </w:rPr>
      </w:pPr>
      <w:r w:rsidRPr="004354D7">
        <w:rPr>
          <w:rFonts w:ascii="Century" w:hAnsi="Century"/>
          <w:sz w:val="28"/>
          <w:szCs w:val="28"/>
        </w:rPr>
        <w:t xml:space="preserve">In its proposed revisions to Rule 11(b), the </w:t>
      </w:r>
      <w:proofErr w:type="spellStart"/>
      <w:r w:rsidRPr="004354D7">
        <w:rPr>
          <w:rFonts w:ascii="Century" w:hAnsi="Century"/>
          <w:sz w:val="28"/>
          <w:szCs w:val="28"/>
        </w:rPr>
        <w:t>CCJR</w:t>
      </w:r>
      <w:proofErr w:type="spellEnd"/>
      <w:r w:rsidR="00173A03" w:rsidRPr="004354D7">
        <w:rPr>
          <w:rFonts w:ascii="Century" w:hAnsi="Century"/>
          <w:sz w:val="28"/>
          <w:szCs w:val="28"/>
        </w:rPr>
        <w:t xml:space="preserve"> sought to</w:t>
      </w:r>
      <w:r w:rsidRPr="004354D7">
        <w:rPr>
          <w:rFonts w:ascii="Century" w:hAnsi="Century"/>
          <w:sz w:val="28"/>
          <w:szCs w:val="28"/>
        </w:rPr>
        <w:t xml:space="preserve"> </w:t>
      </w:r>
      <w:r w:rsidRPr="004354D7">
        <w:rPr>
          <w:rFonts w:ascii="Century" w:hAnsi="Century"/>
          <w:sz w:val="28"/>
          <w:szCs w:val="28"/>
          <w:lang w:eastAsia="zh-CN"/>
        </w:rPr>
        <w:t>replace the word “</w:t>
      </w:r>
      <w:proofErr w:type="spellStart"/>
      <w:r w:rsidRPr="004354D7">
        <w:rPr>
          <w:rFonts w:ascii="Century" w:hAnsi="Century"/>
          <w:sz w:val="28"/>
          <w:szCs w:val="28"/>
          <w:lang w:eastAsia="zh-CN"/>
        </w:rPr>
        <w:t>nonfrivolous</w:t>
      </w:r>
      <w:proofErr w:type="spellEnd"/>
      <w:r w:rsidRPr="004354D7">
        <w:rPr>
          <w:rFonts w:ascii="Century" w:hAnsi="Century"/>
          <w:sz w:val="28"/>
          <w:szCs w:val="28"/>
          <w:lang w:eastAsia="zh-CN"/>
        </w:rPr>
        <w:t xml:space="preserve">” with the word “colorable” in Rule 11(b)(4). </w:t>
      </w:r>
      <w:r w:rsidR="00173A03" w:rsidRPr="004354D7">
        <w:rPr>
          <w:rFonts w:ascii="Century" w:hAnsi="Century"/>
          <w:sz w:val="28"/>
          <w:szCs w:val="28"/>
          <w:lang w:eastAsia="zh-CN"/>
        </w:rPr>
        <w:t xml:space="preserve">In so proposing, the </w:t>
      </w:r>
      <w:proofErr w:type="spellStart"/>
      <w:r w:rsidR="00173A03" w:rsidRPr="004354D7">
        <w:rPr>
          <w:rFonts w:ascii="Century" w:hAnsi="Century"/>
          <w:sz w:val="28"/>
          <w:szCs w:val="28"/>
          <w:lang w:eastAsia="zh-CN"/>
        </w:rPr>
        <w:t>CCJR</w:t>
      </w:r>
      <w:proofErr w:type="spellEnd"/>
      <w:r w:rsidR="00173A03" w:rsidRPr="004354D7">
        <w:rPr>
          <w:rFonts w:ascii="Century" w:hAnsi="Century"/>
          <w:sz w:val="28"/>
          <w:szCs w:val="28"/>
          <w:lang w:eastAsia="zh-CN"/>
        </w:rPr>
        <w:t xml:space="preserve"> was innovating </w:t>
      </w:r>
      <w:r w:rsidR="0077596A" w:rsidRPr="004354D7">
        <w:rPr>
          <w:rFonts w:ascii="Century" w:hAnsi="Century"/>
          <w:sz w:val="28"/>
          <w:szCs w:val="28"/>
          <w:lang w:eastAsia="zh-CN"/>
        </w:rPr>
        <w:t>in view</w:t>
      </w:r>
      <w:r w:rsidR="00173A03" w:rsidRPr="004354D7">
        <w:rPr>
          <w:rFonts w:ascii="Century" w:hAnsi="Century"/>
          <w:sz w:val="28"/>
          <w:szCs w:val="28"/>
          <w:lang w:eastAsia="zh-CN"/>
        </w:rPr>
        <w:t xml:space="preserve"> of experience—the term “colorable” i</w:t>
      </w:r>
      <w:r w:rsidRPr="004354D7">
        <w:rPr>
          <w:rFonts w:ascii="Century" w:hAnsi="Century"/>
          <w:sz w:val="28"/>
          <w:szCs w:val="28"/>
          <w:lang w:eastAsia="zh-CN"/>
        </w:rPr>
        <w:t xml:space="preserve">s </w:t>
      </w:r>
      <w:r w:rsidR="00173A03" w:rsidRPr="004354D7">
        <w:rPr>
          <w:rFonts w:ascii="Century" w:hAnsi="Century"/>
          <w:sz w:val="28"/>
          <w:szCs w:val="28"/>
          <w:lang w:eastAsia="zh-CN"/>
        </w:rPr>
        <w:t xml:space="preserve">already </w:t>
      </w:r>
      <w:r w:rsidRPr="004354D7">
        <w:rPr>
          <w:rFonts w:ascii="Century" w:hAnsi="Century"/>
          <w:sz w:val="28"/>
          <w:szCs w:val="28"/>
          <w:lang w:eastAsia="zh-CN"/>
        </w:rPr>
        <w:t>well-</w:t>
      </w:r>
      <w:r w:rsidR="006A456E" w:rsidRPr="004354D7">
        <w:rPr>
          <w:rFonts w:ascii="Century" w:hAnsi="Century"/>
          <w:sz w:val="28"/>
          <w:szCs w:val="28"/>
          <w:lang w:eastAsia="zh-CN"/>
        </w:rPr>
        <w:t>memorialize</w:t>
      </w:r>
      <w:r w:rsidRPr="004354D7">
        <w:rPr>
          <w:rFonts w:ascii="Century" w:hAnsi="Century"/>
          <w:sz w:val="28"/>
          <w:szCs w:val="28"/>
          <w:lang w:eastAsia="zh-CN"/>
        </w:rPr>
        <w:t>d in Arizona’s</w:t>
      </w:r>
      <w:r w:rsidR="00173A03" w:rsidRPr="004354D7">
        <w:rPr>
          <w:rFonts w:ascii="Century" w:hAnsi="Century"/>
          <w:sz w:val="28"/>
          <w:szCs w:val="28"/>
          <w:lang w:eastAsia="zh-CN"/>
        </w:rPr>
        <w:t xml:space="preserve"> existing</w:t>
      </w:r>
      <w:r w:rsidRPr="004354D7">
        <w:rPr>
          <w:rFonts w:ascii="Century" w:hAnsi="Century"/>
          <w:sz w:val="28"/>
          <w:szCs w:val="28"/>
          <w:lang w:eastAsia="zh-CN"/>
        </w:rPr>
        <w:t xml:space="preserve"> Rule 11 case law.  </w:t>
      </w:r>
      <w:r w:rsidR="00FD5DB1" w:rsidRPr="004354D7">
        <w:rPr>
          <w:rFonts w:ascii="Century" w:hAnsi="Century"/>
          <w:i/>
          <w:sz w:val="28"/>
          <w:szCs w:val="28"/>
          <w:lang w:eastAsia="zh-CN"/>
        </w:rPr>
        <w:t>See, e.g., Villa d</w:t>
      </w:r>
      <w:r w:rsidRPr="004354D7">
        <w:rPr>
          <w:rFonts w:ascii="Century" w:hAnsi="Century"/>
          <w:i/>
          <w:sz w:val="28"/>
          <w:szCs w:val="28"/>
          <w:lang w:eastAsia="zh-CN"/>
        </w:rPr>
        <w:t xml:space="preserve">e </w:t>
      </w:r>
      <w:proofErr w:type="spellStart"/>
      <w:r w:rsidRPr="004354D7">
        <w:rPr>
          <w:rFonts w:ascii="Century" w:hAnsi="Century"/>
          <w:i/>
          <w:sz w:val="28"/>
          <w:szCs w:val="28"/>
          <w:lang w:eastAsia="zh-CN"/>
        </w:rPr>
        <w:t>Jardines</w:t>
      </w:r>
      <w:proofErr w:type="spellEnd"/>
      <w:r w:rsidRPr="004354D7">
        <w:rPr>
          <w:rFonts w:ascii="Century" w:hAnsi="Century"/>
          <w:i/>
          <w:sz w:val="28"/>
          <w:szCs w:val="28"/>
          <w:lang w:eastAsia="zh-CN"/>
        </w:rPr>
        <w:t xml:space="preserve"> </w:t>
      </w:r>
      <w:proofErr w:type="spellStart"/>
      <w:r w:rsidRPr="004354D7">
        <w:rPr>
          <w:rFonts w:ascii="Century" w:hAnsi="Century"/>
          <w:i/>
          <w:sz w:val="28"/>
          <w:szCs w:val="28"/>
          <w:lang w:eastAsia="zh-CN"/>
        </w:rPr>
        <w:t>Ass’n</w:t>
      </w:r>
      <w:proofErr w:type="spellEnd"/>
      <w:r w:rsidRPr="004354D7">
        <w:rPr>
          <w:rFonts w:ascii="Century" w:hAnsi="Century"/>
          <w:i/>
          <w:sz w:val="28"/>
          <w:szCs w:val="28"/>
          <w:lang w:eastAsia="zh-CN"/>
        </w:rPr>
        <w:t xml:space="preserve"> v. Flagstar Bank</w:t>
      </w:r>
      <w:r w:rsidR="00FD5DB1" w:rsidRPr="004354D7">
        <w:rPr>
          <w:rFonts w:ascii="Century" w:hAnsi="Century"/>
          <w:sz w:val="28"/>
          <w:szCs w:val="28"/>
          <w:lang w:eastAsia="zh-CN"/>
        </w:rPr>
        <w:t xml:space="preserve">, 227 Ariz. 91, 96 </w:t>
      </w:r>
      <w:r w:rsidR="006A456E" w:rsidRPr="004354D7">
        <w:rPr>
          <w:rFonts w:ascii="Century" w:hAnsi="Century"/>
          <w:sz w:val="28"/>
          <w:szCs w:val="28"/>
          <w:lang w:eastAsia="zh-CN"/>
        </w:rPr>
        <w:t>(</w:t>
      </w:r>
      <w:r w:rsidRPr="004354D7">
        <w:rPr>
          <w:rFonts w:ascii="Century" w:hAnsi="Century"/>
          <w:sz w:val="28"/>
          <w:szCs w:val="28"/>
          <w:lang w:eastAsia="zh-CN"/>
        </w:rPr>
        <w:t xml:space="preserve">App. 2011) (“Rule 11 requires that attorneys have ‘a good faith belief, formed on the basis of . . . reasonable investigation, that a </w:t>
      </w:r>
      <w:r w:rsidRPr="004354D7">
        <w:rPr>
          <w:rFonts w:ascii="Century" w:hAnsi="Century"/>
          <w:i/>
          <w:sz w:val="28"/>
          <w:szCs w:val="28"/>
          <w:lang w:eastAsia="zh-CN"/>
        </w:rPr>
        <w:t>colorable</w:t>
      </w:r>
      <w:r w:rsidRPr="004354D7">
        <w:rPr>
          <w:rFonts w:ascii="Century" w:hAnsi="Century"/>
          <w:sz w:val="28"/>
          <w:szCs w:val="28"/>
          <w:lang w:eastAsia="zh-CN"/>
        </w:rPr>
        <w:t xml:space="preserve"> claim exists’”)</w:t>
      </w:r>
      <w:r w:rsidR="00EF3FDF" w:rsidRPr="004354D7">
        <w:rPr>
          <w:rFonts w:ascii="Century" w:hAnsi="Century"/>
          <w:sz w:val="28"/>
          <w:szCs w:val="28"/>
          <w:lang w:eastAsia="zh-CN"/>
        </w:rPr>
        <w:t xml:space="preserve"> (emphasis added)</w:t>
      </w:r>
      <w:r w:rsidRPr="004354D7">
        <w:rPr>
          <w:rFonts w:ascii="Century" w:hAnsi="Century"/>
          <w:sz w:val="28"/>
          <w:szCs w:val="28"/>
          <w:lang w:eastAsia="zh-CN"/>
        </w:rPr>
        <w:t xml:space="preserve"> (quoting </w:t>
      </w:r>
      <w:r w:rsidRPr="004354D7">
        <w:rPr>
          <w:rFonts w:ascii="Century" w:hAnsi="Century"/>
          <w:i/>
          <w:sz w:val="28"/>
          <w:szCs w:val="28"/>
          <w:lang w:eastAsia="zh-CN"/>
        </w:rPr>
        <w:t xml:space="preserve">Boone v. Superior Court, </w:t>
      </w:r>
      <w:r w:rsidR="00FD5DB1" w:rsidRPr="004354D7">
        <w:rPr>
          <w:rFonts w:ascii="Century" w:hAnsi="Century"/>
          <w:sz w:val="28"/>
          <w:szCs w:val="28"/>
          <w:lang w:eastAsia="zh-CN"/>
        </w:rPr>
        <w:t>145 Ariz. 235, 241</w:t>
      </w:r>
      <w:r w:rsidRPr="004354D7">
        <w:rPr>
          <w:rFonts w:ascii="Century" w:hAnsi="Century"/>
          <w:sz w:val="28"/>
          <w:szCs w:val="28"/>
          <w:lang w:eastAsia="zh-CN"/>
        </w:rPr>
        <w:t xml:space="preserve"> (1985)).</w:t>
      </w:r>
      <w:r w:rsidRPr="004354D7">
        <w:rPr>
          <w:rFonts w:ascii="Century" w:hAnsi="Century"/>
          <w:i/>
          <w:sz w:val="28"/>
          <w:szCs w:val="28"/>
          <w:lang w:eastAsia="zh-CN"/>
        </w:rPr>
        <w:t xml:space="preserve">  </w:t>
      </w:r>
      <w:r w:rsidRPr="004354D7">
        <w:rPr>
          <w:rFonts w:ascii="Century" w:hAnsi="Century"/>
          <w:sz w:val="28"/>
          <w:szCs w:val="28"/>
          <w:lang w:eastAsia="zh-CN"/>
        </w:rPr>
        <w:t>In contrast, the term “</w:t>
      </w:r>
      <w:proofErr w:type="spellStart"/>
      <w:r w:rsidRPr="004354D7">
        <w:rPr>
          <w:rFonts w:ascii="Century" w:hAnsi="Century"/>
          <w:sz w:val="28"/>
          <w:szCs w:val="28"/>
          <w:lang w:eastAsia="zh-CN"/>
        </w:rPr>
        <w:t>nonfrivolous</w:t>
      </w:r>
      <w:proofErr w:type="spellEnd"/>
      <w:r w:rsidRPr="004354D7">
        <w:rPr>
          <w:rFonts w:ascii="Century" w:hAnsi="Century"/>
          <w:sz w:val="28"/>
          <w:szCs w:val="28"/>
          <w:lang w:eastAsia="zh-CN"/>
        </w:rPr>
        <w:t>”</w:t>
      </w:r>
      <w:r w:rsidR="006A456E" w:rsidRPr="004354D7">
        <w:rPr>
          <w:rFonts w:ascii="Century" w:hAnsi="Century"/>
          <w:sz w:val="28"/>
          <w:szCs w:val="28"/>
          <w:lang w:eastAsia="zh-CN"/>
        </w:rPr>
        <w:t xml:space="preserve"> </w:t>
      </w:r>
      <w:r w:rsidR="006A456E" w:rsidRPr="004354D7">
        <w:rPr>
          <w:rFonts w:ascii="Century" w:hAnsi="Century"/>
          <w:i/>
          <w:sz w:val="28"/>
          <w:szCs w:val="28"/>
          <w:lang w:eastAsia="zh-CN"/>
        </w:rPr>
        <w:t>still</w:t>
      </w:r>
      <w:r w:rsidRPr="004354D7">
        <w:rPr>
          <w:rFonts w:ascii="Century" w:hAnsi="Century"/>
          <w:sz w:val="28"/>
          <w:szCs w:val="28"/>
          <w:lang w:eastAsia="zh-CN"/>
        </w:rPr>
        <w:t xml:space="preserve"> does not appear in any </w:t>
      </w:r>
      <w:r w:rsidR="006A456E" w:rsidRPr="004354D7">
        <w:rPr>
          <w:rFonts w:ascii="Century" w:hAnsi="Century"/>
          <w:sz w:val="28"/>
          <w:szCs w:val="28"/>
          <w:lang w:eastAsia="zh-CN"/>
        </w:rPr>
        <w:t>Arizona</w:t>
      </w:r>
      <w:r w:rsidR="001D17A8" w:rsidRPr="004354D7">
        <w:rPr>
          <w:rFonts w:ascii="Century" w:hAnsi="Century"/>
          <w:sz w:val="28"/>
          <w:szCs w:val="28"/>
          <w:lang w:eastAsia="zh-CN"/>
        </w:rPr>
        <w:t xml:space="preserve"> civil</w:t>
      </w:r>
      <w:r w:rsidR="006A456E" w:rsidRPr="004354D7">
        <w:rPr>
          <w:rFonts w:ascii="Century" w:hAnsi="Century"/>
          <w:sz w:val="28"/>
          <w:szCs w:val="28"/>
          <w:lang w:eastAsia="zh-CN"/>
        </w:rPr>
        <w:t xml:space="preserve"> </w:t>
      </w:r>
      <w:r w:rsidR="00755CE4" w:rsidRPr="004354D7">
        <w:rPr>
          <w:rFonts w:ascii="Century" w:hAnsi="Century"/>
          <w:sz w:val="28"/>
          <w:szCs w:val="28"/>
          <w:lang w:eastAsia="zh-CN"/>
        </w:rPr>
        <w:t xml:space="preserve">Rule 11 case. The </w:t>
      </w:r>
      <w:proofErr w:type="spellStart"/>
      <w:r w:rsidR="00755CE4" w:rsidRPr="004354D7">
        <w:rPr>
          <w:rFonts w:ascii="Century" w:hAnsi="Century"/>
          <w:sz w:val="28"/>
          <w:szCs w:val="28"/>
          <w:lang w:eastAsia="zh-CN"/>
        </w:rPr>
        <w:t>CCJR</w:t>
      </w:r>
      <w:proofErr w:type="spellEnd"/>
      <w:r w:rsidR="00775DA5" w:rsidRPr="004354D7">
        <w:rPr>
          <w:rFonts w:ascii="Century" w:hAnsi="Century"/>
          <w:sz w:val="28"/>
          <w:szCs w:val="28"/>
          <w:lang w:eastAsia="zh-CN"/>
        </w:rPr>
        <w:t xml:space="preserve"> also</w:t>
      </w:r>
      <w:r w:rsidR="00755CE4" w:rsidRPr="004354D7">
        <w:rPr>
          <w:rFonts w:ascii="Century" w:hAnsi="Century"/>
          <w:sz w:val="28"/>
          <w:szCs w:val="28"/>
          <w:lang w:eastAsia="zh-CN"/>
        </w:rPr>
        <w:t xml:space="preserve"> noted </w:t>
      </w:r>
      <w:r w:rsidR="004457B5" w:rsidRPr="004354D7">
        <w:rPr>
          <w:rFonts w:ascii="Century" w:hAnsi="Century"/>
          <w:sz w:val="28"/>
          <w:szCs w:val="28"/>
          <w:lang w:eastAsia="zh-CN"/>
        </w:rPr>
        <w:t xml:space="preserve">that </w:t>
      </w:r>
      <w:r w:rsidRPr="004354D7">
        <w:rPr>
          <w:rFonts w:ascii="Century" w:hAnsi="Century"/>
          <w:sz w:val="28"/>
          <w:szCs w:val="28"/>
          <w:lang w:eastAsia="zh-CN"/>
        </w:rPr>
        <w:t>“</w:t>
      </w:r>
      <w:proofErr w:type="spellStart"/>
      <w:r w:rsidRPr="004354D7">
        <w:rPr>
          <w:rFonts w:ascii="Century" w:hAnsi="Century"/>
          <w:sz w:val="28"/>
          <w:szCs w:val="28"/>
          <w:lang w:eastAsia="zh-CN"/>
        </w:rPr>
        <w:t>nonfrivolous</w:t>
      </w:r>
      <w:proofErr w:type="spellEnd"/>
      <w:r w:rsidRPr="004354D7">
        <w:rPr>
          <w:rFonts w:ascii="Century" w:hAnsi="Century"/>
          <w:sz w:val="28"/>
          <w:szCs w:val="28"/>
          <w:lang w:eastAsia="zh-CN"/>
        </w:rPr>
        <w:t>” implies</w:t>
      </w:r>
      <w:r w:rsidR="005E1DC5">
        <w:rPr>
          <w:rFonts w:ascii="Century" w:hAnsi="Century"/>
          <w:sz w:val="28"/>
          <w:szCs w:val="28"/>
          <w:lang w:eastAsia="zh-CN"/>
        </w:rPr>
        <w:t xml:space="preserve"> a lesser standard than </w:t>
      </w:r>
      <w:proofErr w:type="gramStart"/>
      <w:r w:rsidR="005E1DC5">
        <w:rPr>
          <w:rFonts w:ascii="Century" w:hAnsi="Century"/>
          <w:sz w:val="28"/>
          <w:szCs w:val="28"/>
          <w:lang w:eastAsia="zh-CN"/>
        </w:rPr>
        <w:t>that previously governing</w:t>
      </w:r>
      <w:r w:rsidR="00F07C5C">
        <w:rPr>
          <w:rFonts w:ascii="Century" w:hAnsi="Century"/>
          <w:sz w:val="28"/>
          <w:szCs w:val="28"/>
          <w:lang w:eastAsia="zh-CN"/>
        </w:rPr>
        <w:t xml:space="preserve"> Rule 11 proceedings</w:t>
      </w:r>
      <w:proofErr w:type="gramEnd"/>
      <w:r w:rsidRPr="004354D7">
        <w:rPr>
          <w:rFonts w:ascii="Century" w:hAnsi="Century"/>
          <w:sz w:val="28"/>
          <w:szCs w:val="28"/>
          <w:lang w:eastAsia="zh-CN"/>
        </w:rPr>
        <w:t xml:space="preserve"> in Arizona. </w:t>
      </w:r>
      <w:r w:rsidR="00E23420">
        <w:rPr>
          <w:rFonts w:ascii="Century" w:hAnsi="Century"/>
          <w:sz w:val="28"/>
          <w:szCs w:val="28"/>
          <w:lang w:eastAsia="zh-CN"/>
        </w:rPr>
        <w:t>(</w:t>
      </w:r>
      <w:proofErr w:type="spellStart"/>
      <w:r w:rsidR="00E23420">
        <w:rPr>
          <w:rFonts w:ascii="Century" w:hAnsi="Century"/>
          <w:sz w:val="28"/>
          <w:szCs w:val="28"/>
          <w:lang w:eastAsia="zh-CN"/>
        </w:rPr>
        <w:t>CCJR</w:t>
      </w:r>
      <w:proofErr w:type="spellEnd"/>
      <w:r w:rsidR="00E23420">
        <w:rPr>
          <w:rFonts w:ascii="Century" w:hAnsi="Century"/>
          <w:sz w:val="28"/>
          <w:szCs w:val="28"/>
          <w:lang w:eastAsia="zh-CN"/>
        </w:rPr>
        <w:t xml:space="preserve"> Reply, at 18-19.)</w:t>
      </w:r>
    </w:p>
    <w:p w:rsidR="00173A03" w:rsidRPr="004354D7" w:rsidRDefault="004457B5" w:rsidP="00EF3FDF">
      <w:pPr>
        <w:pStyle w:val="BodyText"/>
        <w:spacing w:after="0" w:line="480" w:lineRule="auto"/>
        <w:jc w:val="both"/>
        <w:rPr>
          <w:rFonts w:ascii="Century" w:hAnsi="Century"/>
          <w:sz w:val="28"/>
          <w:szCs w:val="28"/>
          <w:u w:val="single"/>
          <w:lang w:eastAsia="zh-CN"/>
        </w:rPr>
      </w:pPr>
      <w:r w:rsidRPr="004354D7">
        <w:rPr>
          <w:rFonts w:ascii="Century" w:hAnsi="Century"/>
          <w:sz w:val="28"/>
          <w:szCs w:val="28"/>
          <w:lang w:eastAsia="zh-CN"/>
        </w:rPr>
        <w:t xml:space="preserve">Given </w:t>
      </w:r>
      <w:r w:rsidR="00775DA5" w:rsidRPr="004354D7">
        <w:rPr>
          <w:rFonts w:ascii="Century" w:hAnsi="Century"/>
          <w:sz w:val="28"/>
          <w:szCs w:val="28"/>
          <w:lang w:eastAsia="zh-CN"/>
        </w:rPr>
        <w:t>the</w:t>
      </w:r>
      <w:r w:rsidRPr="004354D7">
        <w:rPr>
          <w:rFonts w:ascii="Century" w:hAnsi="Century"/>
          <w:sz w:val="28"/>
          <w:szCs w:val="28"/>
          <w:lang w:eastAsia="zh-CN"/>
        </w:rPr>
        <w:t xml:space="preserve"> thirty-plus-year installment</w:t>
      </w:r>
      <w:r w:rsidR="00775DA5" w:rsidRPr="004354D7">
        <w:rPr>
          <w:rFonts w:ascii="Century" w:hAnsi="Century"/>
          <w:sz w:val="28"/>
          <w:szCs w:val="28"/>
          <w:lang w:eastAsia="zh-CN"/>
        </w:rPr>
        <w:t xml:space="preserve"> of “colorable”</w:t>
      </w:r>
      <w:r w:rsidRPr="004354D7">
        <w:rPr>
          <w:rFonts w:ascii="Century" w:hAnsi="Century"/>
          <w:sz w:val="28"/>
          <w:szCs w:val="28"/>
          <w:lang w:eastAsia="zh-CN"/>
        </w:rPr>
        <w:t xml:space="preserve"> in Arizona’s Rule 11 case law, using </w:t>
      </w:r>
      <w:r w:rsidR="006F089D" w:rsidRPr="004354D7">
        <w:rPr>
          <w:rFonts w:ascii="Century" w:hAnsi="Century"/>
          <w:sz w:val="28"/>
          <w:szCs w:val="28"/>
          <w:lang w:eastAsia="zh-CN"/>
        </w:rPr>
        <w:t>“colorable”</w:t>
      </w:r>
      <w:r w:rsidRPr="004354D7">
        <w:rPr>
          <w:rFonts w:ascii="Century" w:hAnsi="Century"/>
          <w:sz w:val="28"/>
          <w:szCs w:val="28"/>
          <w:lang w:eastAsia="zh-CN"/>
        </w:rPr>
        <w:t xml:space="preserve"> in place of “</w:t>
      </w:r>
      <w:proofErr w:type="spellStart"/>
      <w:r w:rsidRPr="004354D7">
        <w:rPr>
          <w:rFonts w:ascii="Century" w:hAnsi="Century"/>
          <w:sz w:val="28"/>
          <w:szCs w:val="28"/>
          <w:lang w:eastAsia="zh-CN"/>
        </w:rPr>
        <w:t>nonfrivolous</w:t>
      </w:r>
      <w:proofErr w:type="spellEnd"/>
      <w:r w:rsidRPr="004354D7">
        <w:rPr>
          <w:rFonts w:ascii="Century" w:hAnsi="Century"/>
          <w:sz w:val="28"/>
          <w:szCs w:val="28"/>
          <w:lang w:eastAsia="zh-CN"/>
        </w:rPr>
        <w:t xml:space="preserve">” would </w:t>
      </w:r>
      <w:r w:rsidRPr="004354D7">
        <w:rPr>
          <w:rFonts w:ascii="Century" w:hAnsi="Century"/>
          <w:sz w:val="28"/>
          <w:szCs w:val="28"/>
          <w:lang w:eastAsia="zh-CN"/>
        </w:rPr>
        <w:lastRenderedPageBreak/>
        <w:t>reduce</w:t>
      </w:r>
      <w:r w:rsidR="001D17A8" w:rsidRPr="004354D7">
        <w:rPr>
          <w:rFonts w:ascii="Century" w:hAnsi="Century"/>
          <w:sz w:val="28"/>
          <w:szCs w:val="28"/>
          <w:lang w:eastAsia="zh-CN"/>
        </w:rPr>
        <w:t>, not increase,</w:t>
      </w:r>
      <w:r w:rsidRPr="004354D7">
        <w:rPr>
          <w:rFonts w:ascii="Century" w:hAnsi="Century"/>
          <w:sz w:val="28"/>
          <w:szCs w:val="28"/>
          <w:lang w:eastAsia="zh-CN"/>
        </w:rPr>
        <w:t xml:space="preserve"> confusion</w:t>
      </w:r>
      <w:r w:rsidR="006F089D" w:rsidRPr="004354D7">
        <w:rPr>
          <w:rFonts w:ascii="Century" w:hAnsi="Century"/>
          <w:sz w:val="28"/>
          <w:szCs w:val="28"/>
          <w:lang w:eastAsia="zh-CN"/>
        </w:rPr>
        <w:t>.</w:t>
      </w:r>
      <w:r w:rsidRPr="004354D7">
        <w:rPr>
          <w:rFonts w:ascii="Century" w:hAnsi="Century"/>
          <w:sz w:val="28"/>
          <w:szCs w:val="28"/>
          <w:lang w:eastAsia="zh-CN"/>
        </w:rPr>
        <w:t xml:space="preserve"> Rather than defining claims by what they </w:t>
      </w:r>
      <w:r w:rsidR="001D17A8" w:rsidRPr="004354D7">
        <w:rPr>
          <w:rFonts w:ascii="Century" w:hAnsi="Century"/>
          <w:sz w:val="28"/>
          <w:szCs w:val="28"/>
          <w:lang w:eastAsia="zh-CN"/>
        </w:rPr>
        <w:t>should not be</w:t>
      </w:r>
      <w:r w:rsidRPr="004354D7">
        <w:rPr>
          <w:rFonts w:ascii="Century" w:hAnsi="Century"/>
          <w:sz w:val="28"/>
          <w:szCs w:val="28"/>
          <w:lang w:eastAsia="zh-CN"/>
        </w:rPr>
        <w:t>, the positive, aspirational standard of “colorable”</w:t>
      </w:r>
      <w:r w:rsidR="0077596A" w:rsidRPr="004354D7">
        <w:rPr>
          <w:rFonts w:ascii="Century" w:hAnsi="Century"/>
          <w:sz w:val="28"/>
          <w:szCs w:val="28"/>
          <w:lang w:eastAsia="zh-CN"/>
        </w:rPr>
        <w:t xml:space="preserve"> defines them by what they should. This is the exact idea and</w:t>
      </w:r>
      <w:r w:rsidR="003741F2" w:rsidRPr="004354D7">
        <w:rPr>
          <w:rFonts w:ascii="Century" w:hAnsi="Century"/>
          <w:sz w:val="28"/>
          <w:szCs w:val="28"/>
          <w:lang w:eastAsia="zh-CN"/>
        </w:rPr>
        <w:t xml:space="preserve"> the</w:t>
      </w:r>
      <w:r w:rsidR="0077596A" w:rsidRPr="004354D7">
        <w:rPr>
          <w:rFonts w:ascii="Century" w:hAnsi="Century"/>
          <w:sz w:val="28"/>
          <w:szCs w:val="28"/>
          <w:lang w:eastAsia="zh-CN"/>
        </w:rPr>
        <w:t xml:space="preserve"> essence of civil justice reform. (</w:t>
      </w:r>
      <w:r w:rsidR="0077596A" w:rsidRPr="004354D7">
        <w:rPr>
          <w:rFonts w:ascii="Century" w:hAnsi="Century"/>
          <w:i/>
          <w:sz w:val="28"/>
          <w:szCs w:val="28"/>
          <w:lang w:eastAsia="zh-CN"/>
        </w:rPr>
        <w:t>See</w:t>
      </w:r>
      <w:r w:rsidR="0077596A" w:rsidRPr="004354D7">
        <w:rPr>
          <w:rFonts w:ascii="Century" w:hAnsi="Century"/>
          <w:sz w:val="28"/>
          <w:szCs w:val="28"/>
          <w:lang w:eastAsia="zh-CN"/>
        </w:rPr>
        <w:t xml:space="preserve"> Admin. Order 2015-0126 (“</w:t>
      </w:r>
      <w:r w:rsidR="003741F2" w:rsidRPr="004354D7">
        <w:rPr>
          <w:rFonts w:ascii="Century" w:hAnsi="Century"/>
          <w:sz w:val="28"/>
          <w:szCs w:val="28"/>
          <w:lang w:eastAsia="zh-CN"/>
        </w:rPr>
        <w:t>Civil justice reform efforts seek to ensure that courts are forums for the fair and efficient resolution of disputes without undue expense or delay.”)</w:t>
      </w:r>
      <w:r w:rsidRPr="004354D7">
        <w:rPr>
          <w:rFonts w:ascii="Century" w:hAnsi="Century"/>
          <w:sz w:val="28"/>
          <w:szCs w:val="28"/>
          <w:lang w:eastAsia="zh-CN"/>
        </w:rPr>
        <w:t xml:space="preserve"> </w:t>
      </w:r>
      <w:r w:rsidR="003741F2" w:rsidRPr="004354D7">
        <w:rPr>
          <w:rFonts w:ascii="Century" w:hAnsi="Century"/>
          <w:sz w:val="28"/>
          <w:szCs w:val="28"/>
          <w:lang w:eastAsia="zh-CN"/>
        </w:rPr>
        <w:t xml:space="preserve">As a further protective measure, the </w:t>
      </w:r>
      <w:proofErr w:type="spellStart"/>
      <w:r w:rsidR="003741F2" w:rsidRPr="004354D7">
        <w:rPr>
          <w:rFonts w:ascii="Century" w:hAnsi="Century"/>
          <w:sz w:val="28"/>
          <w:szCs w:val="28"/>
          <w:lang w:eastAsia="zh-CN"/>
        </w:rPr>
        <w:t>CCJR</w:t>
      </w:r>
      <w:proofErr w:type="spellEnd"/>
      <w:r w:rsidR="00775DA5" w:rsidRPr="004354D7">
        <w:rPr>
          <w:rFonts w:ascii="Century" w:hAnsi="Century"/>
          <w:sz w:val="28"/>
          <w:szCs w:val="28"/>
          <w:lang w:eastAsia="zh-CN"/>
        </w:rPr>
        <w:t xml:space="preserve"> had</w:t>
      </w:r>
      <w:r w:rsidR="008C7442" w:rsidRPr="004354D7">
        <w:rPr>
          <w:rFonts w:ascii="Century" w:hAnsi="Century"/>
          <w:sz w:val="28"/>
          <w:szCs w:val="28"/>
          <w:lang w:eastAsia="zh-CN"/>
        </w:rPr>
        <w:t xml:space="preserve"> included the caveat that a “legal contention may be colorable even if it</w:t>
      </w:r>
      <w:r w:rsidR="00775DA5" w:rsidRPr="004354D7">
        <w:rPr>
          <w:rFonts w:ascii="Century" w:hAnsi="Century"/>
          <w:sz w:val="28"/>
          <w:szCs w:val="28"/>
          <w:lang w:eastAsia="zh-CN"/>
        </w:rPr>
        <w:t xml:space="preserve"> does not succeed on the merits,</w:t>
      </w:r>
      <w:r w:rsidR="008C7442" w:rsidRPr="004354D7">
        <w:rPr>
          <w:rFonts w:ascii="Century" w:hAnsi="Century"/>
          <w:sz w:val="28"/>
          <w:szCs w:val="28"/>
          <w:lang w:eastAsia="zh-CN"/>
        </w:rPr>
        <w:t>”</w:t>
      </w:r>
      <w:r w:rsidR="00775DA5" w:rsidRPr="004354D7">
        <w:rPr>
          <w:rFonts w:ascii="Century" w:hAnsi="Century"/>
          <w:sz w:val="28"/>
          <w:szCs w:val="28"/>
          <w:lang w:eastAsia="zh-CN"/>
        </w:rPr>
        <w:t xml:space="preserve"> and Petitioners similarly include that.</w:t>
      </w:r>
    </w:p>
    <w:p w:rsidR="005E3448" w:rsidRPr="004354D7" w:rsidRDefault="0077596A" w:rsidP="00EF3FDF">
      <w:pPr>
        <w:pStyle w:val="BodyText"/>
        <w:spacing w:after="0" w:line="480" w:lineRule="auto"/>
        <w:jc w:val="both"/>
        <w:rPr>
          <w:rFonts w:ascii="Century" w:hAnsi="Century"/>
          <w:sz w:val="28"/>
          <w:szCs w:val="28"/>
          <w:u w:val="single"/>
          <w:lang w:eastAsia="zh-CN"/>
        </w:rPr>
      </w:pPr>
      <w:r w:rsidRPr="004354D7">
        <w:rPr>
          <w:rFonts w:ascii="Century" w:hAnsi="Century"/>
          <w:sz w:val="28"/>
          <w:szCs w:val="28"/>
          <w:lang w:eastAsia="zh-CN"/>
        </w:rPr>
        <w:t>In the same</w:t>
      </w:r>
      <w:r w:rsidR="003741F2" w:rsidRPr="004354D7">
        <w:rPr>
          <w:rFonts w:ascii="Century" w:hAnsi="Century"/>
          <w:sz w:val="28"/>
          <w:szCs w:val="28"/>
          <w:lang w:eastAsia="zh-CN"/>
        </w:rPr>
        <w:t xml:space="preserve"> set of</w:t>
      </w:r>
      <w:r w:rsidRPr="004354D7">
        <w:rPr>
          <w:rFonts w:ascii="Century" w:hAnsi="Century"/>
          <w:sz w:val="28"/>
          <w:szCs w:val="28"/>
          <w:lang w:eastAsia="zh-CN"/>
        </w:rPr>
        <w:t xml:space="preserve"> Rule 11(b) revisions, the </w:t>
      </w:r>
      <w:proofErr w:type="spellStart"/>
      <w:r w:rsidRPr="004354D7">
        <w:rPr>
          <w:rFonts w:ascii="Century" w:hAnsi="Century"/>
          <w:sz w:val="28"/>
          <w:szCs w:val="28"/>
          <w:lang w:eastAsia="zh-CN"/>
        </w:rPr>
        <w:t>CCJR</w:t>
      </w:r>
      <w:proofErr w:type="spellEnd"/>
      <w:r w:rsidRPr="004354D7">
        <w:rPr>
          <w:rFonts w:ascii="Century" w:hAnsi="Century"/>
          <w:sz w:val="28"/>
          <w:szCs w:val="28"/>
          <w:lang w:eastAsia="zh-CN"/>
        </w:rPr>
        <w:t xml:space="preserve"> proposed</w:t>
      </w:r>
      <w:r w:rsidR="001E2CF6">
        <w:rPr>
          <w:rFonts w:ascii="Century" w:hAnsi="Century"/>
          <w:sz w:val="28"/>
          <w:szCs w:val="28"/>
          <w:lang w:eastAsia="zh-CN"/>
        </w:rPr>
        <w:t xml:space="preserve"> to restore the standard</w:t>
      </w:r>
      <w:r w:rsidR="006F089D" w:rsidRPr="004354D7">
        <w:rPr>
          <w:rFonts w:ascii="Century" w:hAnsi="Century"/>
          <w:sz w:val="28"/>
          <w:szCs w:val="28"/>
          <w:lang w:eastAsia="zh-CN"/>
        </w:rPr>
        <w:t xml:space="preserve"> requiring that factual allegations be “well grounded in fact.”  </w:t>
      </w:r>
      <w:r w:rsidR="00EF3FDF" w:rsidRPr="004354D7">
        <w:rPr>
          <w:rFonts w:ascii="Century" w:hAnsi="Century"/>
          <w:sz w:val="28"/>
          <w:szCs w:val="28"/>
          <w:lang w:eastAsia="zh-CN"/>
        </w:rPr>
        <w:t>The State Bar comment</w:t>
      </w:r>
      <w:r w:rsidR="00775DA5" w:rsidRPr="004354D7">
        <w:rPr>
          <w:rFonts w:ascii="Century" w:hAnsi="Century"/>
          <w:sz w:val="28"/>
          <w:szCs w:val="28"/>
          <w:lang w:eastAsia="zh-CN"/>
        </w:rPr>
        <w:t xml:space="preserve"> had</w:t>
      </w:r>
      <w:r w:rsidR="00EF3FDF" w:rsidRPr="004354D7">
        <w:rPr>
          <w:rFonts w:ascii="Century" w:hAnsi="Century"/>
          <w:sz w:val="28"/>
          <w:szCs w:val="28"/>
          <w:lang w:eastAsia="zh-CN"/>
        </w:rPr>
        <w:t xml:space="preserve"> argued that this would also create confusion. Yet newly amended Rule 11(b</w:t>
      </w:r>
      <w:proofErr w:type="gramStart"/>
      <w:r w:rsidR="00EF3FDF" w:rsidRPr="004354D7">
        <w:rPr>
          <w:rFonts w:ascii="Century" w:hAnsi="Century"/>
          <w:sz w:val="28"/>
          <w:szCs w:val="28"/>
          <w:lang w:eastAsia="zh-CN"/>
        </w:rPr>
        <w:t>)(</w:t>
      </w:r>
      <w:proofErr w:type="gramEnd"/>
      <w:r w:rsidR="00EF3FDF" w:rsidRPr="004354D7">
        <w:rPr>
          <w:rFonts w:ascii="Century" w:hAnsi="Century"/>
          <w:sz w:val="28"/>
          <w:szCs w:val="28"/>
          <w:lang w:eastAsia="zh-CN"/>
        </w:rPr>
        <w:t xml:space="preserve">3), which provides </w:t>
      </w:r>
      <w:r w:rsidR="006F089D" w:rsidRPr="004354D7">
        <w:rPr>
          <w:rFonts w:ascii="Century" w:hAnsi="Century"/>
          <w:sz w:val="28"/>
          <w:szCs w:val="28"/>
          <w:lang w:eastAsia="zh-CN"/>
        </w:rPr>
        <w:t>that factual contentions need only have “evidentiary support after a reasonable opportunity for furth</w:t>
      </w:r>
      <w:r w:rsidR="00EF3FDF" w:rsidRPr="004354D7">
        <w:rPr>
          <w:rFonts w:ascii="Century" w:hAnsi="Century"/>
          <w:sz w:val="28"/>
          <w:szCs w:val="28"/>
          <w:lang w:eastAsia="zh-CN"/>
        </w:rPr>
        <w:t>er investigation or discovery,” may well encourage numerous filings for which that evidentiary support never materializes</w:t>
      </w:r>
      <w:r w:rsidR="006F089D" w:rsidRPr="004354D7">
        <w:rPr>
          <w:rFonts w:ascii="Century" w:hAnsi="Century"/>
          <w:sz w:val="28"/>
          <w:szCs w:val="28"/>
          <w:lang w:eastAsia="zh-CN"/>
        </w:rPr>
        <w:t xml:space="preserve">. </w:t>
      </w:r>
      <w:r w:rsidR="00EF3FDF" w:rsidRPr="004354D7">
        <w:rPr>
          <w:rFonts w:ascii="Century" w:hAnsi="Century"/>
          <w:sz w:val="28"/>
          <w:szCs w:val="28"/>
          <w:lang w:eastAsia="zh-CN"/>
        </w:rPr>
        <w:t xml:space="preserve">Again, the change proposed by this Petition (and first proposed by the </w:t>
      </w:r>
      <w:proofErr w:type="spellStart"/>
      <w:r w:rsidR="00EF3FDF" w:rsidRPr="004354D7">
        <w:rPr>
          <w:rFonts w:ascii="Century" w:hAnsi="Century"/>
          <w:sz w:val="28"/>
          <w:szCs w:val="28"/>
          <w:lang w:eastAsia="zh-CN"/>
        </w:rPr>
        <w:t>CCJR</w:t>
      </w:r>
      <w:proofErr w:type="spellEnd"/>
      <w:r w:rsidR="00EF3FDF" w:rsidRPr="004354D7">
        <w:rPr>
          <w:rFonts w:ascii="Century" w:hAnsi="Century"/>
          <w:sz w:val="28"/>
          <w:szCs w:val="28"/>
          <w:lang w:eastAsia="zh-CN"/>
        </w:rPr>
        <w:t>) is aspirational toward the ends of true reform and</w:t>
      </w:r>
      <w:r w:rsidR="006F089D" w:rsidRPr="004354D7">
        <w:rPr>
          <w:rFonts w:ascii="Century" w:hAnsi="Century"/>
          <w:sz w:val="28"/>
          <w:szCs w:val="28"/>
          <w:lang w:eastAsia="zh-CN"/>
        </w:rPr>
        <w:t xml:space="preserve"> simply incorporates the standard of the former </w:t>
      </w:r>
      <w:r w:rsidR="00EF3FDF" w:rsidRPr="004354D7">
        <w:rPr>
          <w:rFonts w:ascii="Century" w:hAnsi="Century"/>
          <w:sz w:val="28"/>
          <w:szCs w:val="28"/>
          <w:lang w:eastAsia="zh-CN"/>
        </w:rPr>
        <w:t>Rule 11</w:t>
      </w:r>
      <w:r w:rsidR="006F089D" w:rsidRPr="004354D7">
        <w:rPr>
          <w:rFonts w:ascii="Century" w:hAnsi="Century"/>
          <w:sz w:val="28"/>
          <w:szCs w:val="28"/>
          <w:lang w:eastAsia="zh-CN"/>
        </w:rPr>
        <w:t xml:space="preserve"> and the </w:t>
      </w:r>
      <w:r w:rsidR="006F089D" w:rsidRPr="004354D7">
        <w:rPr>
          <w:rFonts w:ascii="Century" w:hAnsi="Century"/>
          <w:sz w:val="28"/>
          <w:szCs w:val="28"/>
          <w:lang w:eastAsia="zh-CN"/>
        </w:rPr>
        <w:lastRenderedPageBreak/>
        <w:t xml:space="preserve">well-established case law </w:t>
      </w:r>
      <w:r w:rsidR="00EF3FDF" w:rsidRPr="004354D7">
        <w:rPr>
          <w:rFonts w:ascii="Century" w:hAnsi="Century"/>
          <w:sz w:val="28"/>
          <w:szCs w:val="28"/>
          <w:lang w:eastAsia="zh-CN"/>
        </w:rPr>
        <w:t>applying it</w:t>
      </w:r>
      <w:r w:rsidR="00775DA5" w:rsidRPr="004354D7">
        <w:rPr>
          <w:rFonts w:ascii="Century" w:hAnsi="Century"/>
          <w:sz w:val="28"/>
          <w:szCs w:val="28"/>
          <w:lang w:eastAsia="zh-CN"/>
        </w:rPr>
        <w:t xml:space="preserve">. </w:t>
      </w:r>
      <w:r w:rsidR="00775DA5" w:rsidRPr="004354D7">
        <w:rPr>
          <w:rFonts w:ascii="Century" w:hAnsi="Century"/>
          <w:i/>
          <w:sz w:val="28"/>
          <w:szCs w:val="28"/>
          <w:lang w:eastAsia="zh-CN"/>
        </w:rPr>
        <w:t xml:space="preserve">See Villa de </w:t>
      </w:r>
      <w:proofErr w:type="spellStart"/>
      <w:r w:rsidR="00775DA5" w:rsidRPr="004354D7">
        <w:rPr>
          <w:rFonts w:ascii="Century" w:hAnsi="Century"/>
          <w:i/>
          <w:sz w:val="28"/>
          <w:szCs w:val="28"/>
          <w:lang w:eastAsia="zh-CN"/>
        </w:rPr>
        <w:t>Jardines</w:t>
      </w:r>
      <w:proofErr w:type="spellEnd"/>
      <w:r w:rsidR="00775DA5" w:rsidRPr="004354D7">
        <w:rPr>
          <w:rFonts w:ascii="Century" w:hAnsi="Century"/>
          <w:i/>
          <w:sz w:val="28"/>
          <w:szCs w:val="28"/>
          <w:lang w:eastAsia="zh-CN"/>
        </w:rPr>
        <w:t xml:space="preserve"> </w:t>
      </w:r>
      <w:proofErr w:type="spellStart"/>
      <w:r w:rsidR="00775DA5" w:rsidRPr="004354D7">
        <w:rPr>
          <w:rFonts w:ascii="Century" w:hAnsi="Century"/>
          <w:i/>
          <w:sz w:val="28"/>
          <w:szCs w:val="28"/>
          <w:lang w:eastAsia="zh-CN"/>
        </w:rPr>
        <w:t>Ass’n</w:t>
      </w:r>
      <w:proofErr w:type="spellEnd"/>
      <w:r w:rsidR="00775DA5" w:rsidRPr="004354D7">
        <w:rPr>
          <w:rFonts w:ascii="Century" w:hAnsi="Century"/>
          <w:sz w:val="28"/>
          <w:szCs w:val="28"/>
          <w:lang w:eastAsia="zh-CN"/>
        </w:rPr>
        <w:t>, 227 Ariz. at 96</w:t>
      </w:r>
      <w:r w:rsidR="006F089D" w:rsidRPr="004354D7">
        <w:rPr>
          <w:rFonts w:ascii="Century" w:hAnsi="Century"/>
          <w:i/>
          <w:sz w:val="28"/>
          <w:szCs w:val="28"/>
          <w:lang w:eastAsia="zh-CN"/>
        </w:rPr>
        <w:t xml:space="preserve"> </w:t>
      </w:r>
      <w:r w:rsidR="00DA75B7" w:rsidRPr="004354D7">
        <w:rPr>
          <w:rFonts w:ascii="Century" w:hAnsi="Century"/>
          <w:sz w:val="28"/>
          <w:szCs w:val="28"/>
          <w:lang w:eastAsia="zh-CN"/>
        </w:rPr>
        <w:t>(</w:t>
      </w:r>
      <w:r w:rsidR="00342A50" w:rsidRPr="004354D7">
        <w:rPr>
          <w:rFonts w:ascii="Century" w:hAnsi="Century"/>
          <w:sz w:val="28"/>
          <w:szCs w:val="28"/>
          <w:lang w:eastAsia="zh-CN"/>
        </w:rPr>
        <w:t>upholding sanctions via</w:t>
      </w:r>
      <w:r w:rsidR="006F089D" w:rsidRPr="004354D7">
        <w:rPr>
          <w:rFonts w:ascii="Century" w:hAnsi="Century"/>
          <w:sz w:val="28"/>
          <w:szCs w:val="28"/>
          <w:lang w:eastAsia="zh-CN"/>
        </w:rPr>
        <w:t xml:space="preserve"> “well grounded in fact” standa</w:t>
      </w:r>
      <w:r w:rsidR="00DA75B7" w:rsidRPr="004354D7">
        <w:rPr>
          <w:rFonts w:ascii="Century" w:hAnsi="Century"/>
          <w:sz w:val="28"/>
          <w:szCs w:val="28"/>
          <w:lang w:eastAsia="zh-CN"/>
        </w:rPr>
        <w:t>rd</w:t>
      </w:r>
      <w:r w:rsidR="006F089D" w:rsidRPr="004354D7">
        <w:rPr>
          <w:rFonts w:ascii="Century" w:hAnsi="Century"/>
          <w:sz w:val="28"/>
          <w:szCs w:val="28"/>
          <w:lang w:eastAsia="zh-CN"/>
        </w:rPr>
        <w:t>).</w:t>
      </w:r>
    </w:p>
    <w:p w:rsidR="0098204D" w:rsidRPr="004354D7" w:rsidRDefault="00CC5A21" w:rsidP="00CC5A21">
      <w:pPr>
        <w:pStyle w:val="Pleading1L1"/>
        <w:spacing w:after="120"/>
        <w:rPr>
          <w:rFonts w:ascii="Century" w:hAnsi="Century"/>
          <w:sz w:val="28"/>
          <w:szCs w:val="28"/>
        </w:rPr>
      </w:pPr>
      <w:r w:rsidRPr="004354D7">
        <w:rPr>
          <w:rFonts w:ascii="Century" w:hAnsi="Century"/>
          <w:sz w:val="28"/>
          <w:szCs w:val="28"/>
        </w:rPr>
        <w:t>twenty percent of</w:t>
      </w:r>
      <w:r w:rsidR="00E06B47" w:rsidRPr="004354D7">
        <w:rPr>
          <w:rFonts w:ascii="Century" w:hAnsi="Century"/>
          <w:sz w:val="28"/>
          <w:szCs w:val="28"/>
        </w:rPr>
        <w:t xml:space="preserve"> </w:t>
      </w:r>
      <w:r w:rsidR="0098204D" w:rsidRPr="004354D7">
        <w:rPr>
          <w:rFonts w:ascii="Century" w:hAnsi="Century"/>
          <w:sz w:val="28"/>
          <w:szCs w:val="28"/>
        </w:rPr>
        <w:t>states have mandatory rule 11 sanctions and congress has previously considered imple</w:t>
      </w:r>
      <w:r w:rsidR="00DA75B7" w:rsidRPr="004354D7">
        <w:rPr>
          <w:rFonts w:ascii="Century" w:hAnsi="Century"/>
          <w:sz w:val="28"/>
          <w:szCs w:val="28"/>
        </w:rPr>
        <w:t>menting them</w:t>
      </w:r>
      <w:r w:rsidR="0098204D" w:rsidRPr="004354D7">
        <w:rPr>
          <w:rFonts w:ascii="Century" w:hAnsi="Century"/>
          <w:sz w:val="28"/>
          <w:szCs w:val="28"/>
        </w:rPr>
        <w:t>.</w:t>
      </w:r>
    </w:p>
    <w:p w:rsidR="005E3448" w:rsidRPr="004354D7" w:rsidRDefault="00C410F0" w:rsidP="00DC5A7B">
      <w:pPr>
        <w:pStyle w:val="BodyText"/>
        <w:spacing w:after="0" w:line="480" w:lineRule="auto"/>
        <w:jc w:val="both"/>
        <w:rPr>
          <w:rFonts w:ascii="Century" w:hAnsi="Century"/>
          <w:sz w:val="28"/>
          <w:szCs w:val="28"/>
        </w:rPr>
      </w:pPr>
      <w:r w:rsidRPr="004354D7">
        <w:rPr>
          <w:rFonts w:ascii="Century" w:hAnsi="Century"/>
          <w:sz w:val="28"/>
          <w:szCs w:val="28"/>
        </w:rPr>
        <w:t>If the Court were to adopt a mandatory sanctions provision in Rule 11(c), as has been recommended twice now by</w:t>
      </w:r>
      <w:r w:rsidR="00775DA5" w:rsidRPr="004354D7">
        <w:rPr>
          <w:rFonts w:ascii="Century" w:hAnsi="Century"/>
          <w:sz w:val="28"/>
          <w:szCs w:val="28"/>
        </w:rPr>
        <w:t xml:space="preserve"> its appointed</w:t>
      </w:r>
      <w:r w:rsidRPr="004354D7">
        <w:rPr>
          <w:rFonts w:ascii="Century" w:hAnsi="Century"/>
          <w:sz w:val="28"/>
          <w:szCs w:val="28"/>
        </w:rPr>
        <w:t xml:space="preserve"> rule-proposing bodies,</w:t>
      </w:r>
      <w:r w:rsidR="005E3448" w:rsidRPr="004354D7">
        <w:rPr>
          <w:rFonts w:ascii="Century" w:hAnsi="Century"/>
          <w:sz w:val="28"/>
          <w:szCs w:val="28"/>
        </w:rPr>
        <w:t xml:space="preserve"> </w:t>
      </w:r>
      <w:r w:rsidRPr="004354D7">
        <w:rPr>
          <w:rFonts w:ascii="Century" w:hAnsi="Century"/>
          <w:sz w:val="28"/>
          <w:szCs w:val="28"/>
        </w:rPr>
        <w:t xml:space="preserve">Arizona would </w:t>
      </w:r>
      <w:r w:rsidR="00775DA5" w:rsidRPr="004354D7">
        <w:rPr>
          <w:rFonts w:ascii="Century" w:hAnsi="Century"/>
          <w:sz w:val="28"/>
          <w:szCs w:val="28"/>
        </w:rPr>
        <w:t>re-</w:t>
      </w:r>
      <w:r w:rsidRPr="004354D7">
        <w:rPr>
          <w:rFonts w:ascii="Century" w:hAnsi="Century"/>
          <w:sz w:val="28"/>
          <w:szCs w:val="28"/>
        </w:rPr>
        <w:t>join the following ten states that maintain mandatory Rule 11 sanctions: Arkansas, Colorado, Iowa, Kentucky, Louisiana, Michigan, Nebraska, North Carolina, Oklahoma, and Texas.</w:t>
      </w:r>
      <w:r w:rsidRPr="004354D7">
        <w:rPr>
          <w:rStyle w:val="FootnoteReference"/>
          <w:rFonts w:ascii="Century" w:hAnsi="Century"/>
          <w:sz w:val="28"/>
          <w:szCs w:val="28"/>
        </w:rPr>
        <w:footnoteReference w:id="12"/>
      </w:r>
      <w:r w:rsidRPr="004354D7">
        <w:rPr>
          <w:rFonts w:ascii="Century" w:hAnsi="Century"/>
          <w:sz w:val="28"/>
          <w:szCs w:val="28"/>
        </w:rPr>
        <w:t xml:space="preserve"> </w:t>
      </w:r>
      <w:r w:rsidR="008C7442" w:rsidRPr="004354D7">
        <w:rPr>
          <w:rFonts w:ascii="Century" w:hAnsi="Century"/>
          <w:sz w:val="28"/>
          <w:szCs w:val="28"/>
        </w:rPr>
        <w:t>These states do so through use of the word “shall,”</w:t>
      </w:r>
      <w:r w:rsidR="008C7442" w:rsidRPr="004354D7">
        <w:rPr>
          <w:rStyle w:val="FootnoteReference"/>
          <w:rFonts w:ascii="Century" w:hAnsi="Century"/>
          <w:sz w:val="28"/>
          <w:szCs w:val="28"/>
        </w:rPr>
        <w:footnoteReference w:id="13"/>
      </w:r>
      <w:r w:rsidR="008C7442" w:rsidRPr="004354D7">
        <w:rPr>
          <w:rFonts w:ascii="Century" w:hAnsi="Century"/>
          <w:sz w:val="28"/>
          <w:szCs w:val="28"/>
        </w:rPr>
        <w:t xml:space="preserve"> which Arizona’</w:t>
      </w:r>
      <w:r w:rsidR="00775DA5" w:rsidRPr="004354D7">
        <w:rPr>
          <w:rFonts w:ascii="Century" w:hAnsi="Century"/>
          <w:sz w:val="28"/>
          <w:szCs w:val="28"/>
        </w:rPr>
        <w:t>s Rule 11 contained until this year</w:t>
      </w:r>
      <w:r w:rsidR="008C7442" w:rsidRPr="004354D7">
        <w:rPr>
          <w:rFonts w:ascii="Century" w:hAnsi="Century"/>
          <w:sz w:val="28"/>
          <w:szCs w:val="28"/>
        </w:rPr>
        <w:t xml:space="preserve">. </w:t>
      </w:r>
      <w:r w:rsidR="00DC5A7B" w:rsidRPr="004354D7">
        <w:rPr>
          <w:rFonts w:ascii="Century" w:hAnsi="Century"/>
          <w:sz w:val="28"/>
          <w:szCs w:val="28"/>
        </w:rPr>
        <w:t xml:space="preserve">According to Black’s Law </w:t>
      </w:r>
      <w:r w:rsidR="00DC5A7B" w:rsidRPr="004354D7">
        <w:rPr>
          <w:rFonts w:ascii="Century" w:hAnsi="Century"/>
          <w:sz w:val="28"/>
          <w:szCs w:val="28"/>
        </w:rPr>
        <w:lastRenderedPageBreak/>
        <w:t xml:space="preserve">Dictionary, the word “shall” in Arizona’s Rule 11 should have been replaced with “must”—not “may.” </w:t>
      </w:r>
      <w:r w:rsidR="00DC5A7B" w:rsidRPr="004354D7">
        <w:rPr>
          <w:rFonts w:ascii="Century" w:hAnsi="Century"/>
          <w:smallCaps/>
          <w:sz w:val="28"/>
          <w:szCs w:val="28"/>
        </w:rPr>
        <w:t xml:space="preserve">Black’s Law Dictionary </w:t>
      </w:r>
      <w:r w:rsidR="00DC5A7B" w:rsidRPr="004354D7">
        <w:rPr>
          <w:rFonts w:ascii="Century" w:hAnsi="Century"/>
          <w:sz w:val="28"/>
          <w:szCs w:val="28"/>
        </w:rPr>
        <w:t>(10th ed. 2014) (listing five senses for “shall” and providing that “[o]</w:t>
      </w:r>
      <w:proofErr w:type="spellStart"/>
      <w:r w:rsidR="00DC5A7B" w:rsidRPr="004354D7">
        <w:rPr>
          <w:rFonts w:ascii="Century" w:hAnsi="Century"/>
          <w:sz w:val="28"/>
          <w:szCs w:val="28"/>
        </w:rPr>
        <w:t>nly</w:t>
      </w:r>
      <w:proofErr w:type="spellEnd"/>
      <w:r w:rsidR="00DC5A7B" w:rsidRPr="004354D7">
        <w:rPr>
          <w:rFonts w:ascii="Century" w:hAnsi="Century"/>
          <w:sz w:val="28"/>
          <w:szCs w:val="28"/>
        </w:rPr>
        <w:t xml:space="preserve"> sense 1 is acceptable under strict standards of drafting”).</w:t>
      </w:r>
      <w:r w:rsidR="00DC5A7B" w:rsidRPr="004354D7">
        <w:rPr>
          <w:rStyle w:val="FootnoteReference"/>
          <w:rFonts w:ascii="Century" w:hAnsi="Century"/>
          <w:sz w:val="28"/>
          <w:szCs w:val="28"/>
        </w:rPr>
        <w:footnoteReference w:id="14"/>
      </w:r>
    </w:p>
    <w:p w:rsidR="00DC5A7B" w:rsidRPr="004354D7" w:rsidRDefault="00DC5A7B" w:rsidP="001B783A">
      <w:pPr>
        <w:pStyle w:val="BodyText"/>
        <w:spacing w:after="0" w:line="480" w:lineRule="auto"/>
        <w:jc w:val="both"/>
        <w:rPr>
          <w:rFonts w:ascii="Century" w:hAnsi="Century"/>
          <w:sz w:val="28"/>
          <w:szCs w:val="28"/>
        </w:rPr>
      </w:pPr>
      <w:r w:rsidRPr="004354D7">
        <w:rPr>
          <w:rFonts w:ascii="Century" w:hAnsi="Century"/>
          <w:sz w:val="28"/>
          <w:szCs w:val="28"/>
        </w:rPr>
        <w:t>The “must” versus “</w:t>
      </w:r>
      <w:proofErr w:type="gramStart"/>
      <w:r w:rsidRPr="004354D7">
        <w:rPr>
          <w:rFonts w:ascii="Century" w:hAnsi="Century"/>
          <w:sz w:val="28"/>
          <w:szCs w:val="28"/>
        </w:rPr>
        <w:t>may</w:t>
      </w:r>
      <w:proofErr w:type="gramEnd"/>
      <w:r w:rsidRPr="004354D7">
        <w:rPr>
          <w:rFonts w:ascii="Century" w:hAnsi="Century"/>
          <w:sz w:val="28"/>
          <w:szCs w:val="28"/>
        </w:rPr>
        <w:t>” debate also occurred and remains ongoing at the federal level.</w:t>
      </w:r>
      <w:r w:rsidR="007D52BF" w:rsidRPr="004354D7">
        <w:rPr>
          <w:rFonts w:ascii="Century" w:hAnsi="Century"/>
          <w:sz w:val="28"/>
          <w:szCs w:val="28"/>
        </w:rPr>
        <w:t xml:space="preserve"> Less debatable, however, are the results in a May 1991 report of a Federal Judicial Center study, which surveyed 751 federal judges and found that: When federal rule 11 had a mandatory sanctions provision (from 1983 to 1993), “an overwhelming majority” of the judges “</w:t>
      </w:r>
      <w:r w:rsidR="007D52BF" w:rsidRPr="004354D7">
        <w:rPr>
          <w:rFonts w:ascii="Century" w:hAnsi="Century" w:cs="NewCenturySchlbk-Roman"/>
          <w:sz w:val="28"/>
          <w:szCs w:val="28"/>
        </w:rPr>
        <w:t>believed that Rule 11 did not impede development of the law (95%); the benefits of the rule outweighed any additional requirement of judicial time (71.9%); the 1983 version of Rule 11 had a positive effect on litigation in the Federal courts (80.9%); and the rule should be retained in its then current</w:t>
      </w:r>
      <w:r w:rsidR="007D52BF" w:rsidRPr="004354D7">
        <w:rPr>
          <w:rFonts w:ascii="Century" w:hAnsi="Century"/>
          <w:sz w:val="28"/>
          <w:szCs w:val="28"/>
        </w:rPr>
        <w:t xml:space="preserve"> </w:t>
      </w:r>
      <w:r w:rsidR="007D52BF" w:rsidRPr="004354D7">
        <w:rPr>
          <w:rFonts w:ascii="Century" w:hAnsi="Century" w:cs="NewCenturySchlbk-Roman"/>
          <w:sz w:val="28"/>
          <w:szCs w:val="28"/>
        </w:rPr>
        <w:t>form (80.4%).” (</w:t>
      </w:r>
      <w:r w:rsidR="007D52BF" w:rsidRPr="004354D7">
        <w:rPr>
          <w:rFonts w:ascii="Century" w:hAnsi="Century" w:cs="NewCenturySchlbk-Roman"/>
          <w:i/>
          <w:sz w:val="28"/>
          <w:szCs w:val="28"/>
        </w:rPr>
        <w:t>See</w:t>
      </w:r>
      <w:r w:rsidR="006D0F43">
        <w:rPr>
          <w:rFonts w:ascii="Century" w:hAnsi="Century" w:cs="NewCenturySchlbk-Roman"/>
          <w:sz w:val="28"/>
          <w:szCs w:val="28"/>
        </w:rPr>
        <w:t xml:space="preserve"> H.</w:t>
      </w:r>
      <w:r w:rsidR="00D028B5">
        <w:rPr>
          <w:rFonts w:ascii="Century" w:hAnsi="Century" w:cs="NewCenturySchlbk-Roman"/>
          <w:sz w:val="28"/>
          <w:szCs w:val="28"/>
        </w:rPr>
        <w:t>R. Rep.</w:t>
      </w:r>
      <w:r w:rsidR="007D52BF" w:rsidRPr="004354D7">
        <w:rPr>
          <w:rFonts w:ascii="Century" w:hAnsi="Century" w:cs="NewCenturySchlbk-Roman"/>
          <w:sz w:val="28"/>
          <w:szCs w:val="28"/>
        </w:rPr>
        <w:t xml:space="preserve"> </w:t>
      </w:r>
      <w:r w:rsidR="00D028B5">
        <w:rPr>
          <w:rFonts w:ascii="Century" w:hAnsi="Century" w:cs="NewCenturySchlbk-Roman"/>
          <w:sz w:val="28"/>
          <w:szCs w:val="28"/>
        </w:rPr>
        <w:t>No. 115-16</w:t>
      </w:r>
      <w:r w:rsidR="007D52BF" w:rsidRPr="004354D7">
        <w:rPr>
          <w:rFonts w:ascii="Century" w:hAnsi="Century" w:cs="NewCenturySchlbk-Roman"/>
          <w:sz w:val="28"/>
          <w:szCs w:val="28"/>
        </w:rPr>
        <w:t>, at 3</w:t>
      </w:r>
      <w:r w:rsidR="00D028B5">
        <w:rPr>
          <w:rFonts w:ascii="Century" w:hAnsi="Century" w:cs="NewCenturySchlbk-Roman"/>
          <w:sz w:val="28"/>
          <w:szCs w:val="28"/>
        </w:rPr>
        <w:t xml:space="preserve"> (Feb. 24, 2017).</w:t>
      </w:r>
      <w:r w:rsidR="007D52BF" w:rsidRPr="004354D7">
        <w:rPr>
          <w:rFonts w:ascii="Century" w:hAnsi="Century" w:cs="NewCenturySchlbk-Roman"/>
          <w:sz w:val="28"/>
          <w:szCs w:val="28"/>
        </w:rPr>
        <w:t>)</w:t>
      </w:r>
      <w:r w:rsidR="007D52BF" w:rsidRPr="004354D7">
        <w:rPr>
          <w:rFonts w:ascii="Century" w:hAnsi="Century"/>
          <w:sz w:val="28"/>
          <w:szCs w:val="28"/>
        </w:rPr>
        <w:t xml:space="preserve"> </w:t>
      </w:r>
    </w:p>
    <w:p w:rsidR="0098204D" w:rsidRPr="004354D7" w:rsidRDefault="0098204D" w:rsidP="001B783A">
      <w:pPr>
        <w:pStyle w:val="Pleading1L1"/>
        <w:spacing w:after="120"/>
        <w:rPr>
          <w:rFonts w:ascii="Century" w:hAnsi="Century"/>
          <w:sz w:val="28"/>
          <w:szCs w:val="28"/>
        </w:rPr>
      </w:pPr>
      <w:r w:rsidRPr="004354D7">
        <w:rPr>
          <w:rFonts w:ascii="Century" w:hAnsi="Century"/>
          <w:sz w:val="28"/>
          <w:szCs w:val="28"/>
        </w:rPr>
        <w:lastRenderedPageBreak/>
        <w:t>the addition of rule 26(</w:t>
      </w:r>
      <w:r w:rsidRPr="004354D7">
        <w:rPr>
          <w:rFonts w:ascii="Century" w:hAnsi="Century"/>
          <w:caps w:val="0"/>
          <w:sz w:val="28"/>
          <w:szCs w:val="28"/>
        </w:rPr>
        <w:t>b</w:t>
      </w:r>
      <w:proofErr w:type="gramStart"/>
      <w:r w:rsidRPr="004354D7">
        <w:rPr>
          <w:rFonts w:ascii="Century" w:hAnsi="Century"/>
          <w:sz w:val="28"/>
          <w:szCs w:val="28"/>
        </w:rPr>
        <w:t>)(</w:t>
      </w:r>
      <w:proofErr w:type="gramEnd"/>
      <w:r w:rsidRPr="004354D7">
        <w:rPr>
          <w:rFonts w:ascii="Century" w:hAnsi="Century"/>
          <w:sz w:val="28"/>
          <w:szCs w:val="28"/>
        </w:rPr>
        <w:t xml:space="preserve">2)(D) was at the heart of the </w:t>
      </w:r>
      <w:proofErr w:type="spellStart"/>
      <w:r w:rsidRPr="004354D7">
        <w:rPr>
          <w:rFonts w:ascii="Century" w:hAnsi="Century"/>
          <w:sz w:val="28"/>
          <w:szCs w:val="28"/>
        </w:rPr>
        <w:t>CCJR’s</w:t>
      </w:r>
      <w:proofErr w:type="spellEnd"/>
      <w:r w:rsidRPr="004354D7">
        <w:rPr>
          <w:rFonts w:ascii="Century" w:hAnsi="Century"/>
          <w:sz w:val="28"/>
          <w:szCs w:val="28"/>
        </w:rPr>
        <w:t xml:space="preserve"> mission and is aligned with </w:t>
      </w:r>
      <w:r w:rsidR="00CD2DEA" w:rsidRPr="004354D7">
        <w:rPr>
          <w:rFonts w:ascii="Century" w:hAnsi="Century"/>
          <w:sz w:val="28"/>
          <w:szCs w:val="28"/>
        </w:rPr>
        <w:t>the state constitution</w:t>
      </w:r>
      <w:r w:rsidRPr="004354D7">
        <w:rPr>
          <w:rFonts w:ascii="Century" w:hAnsi="Century"/>
          <w:sz w:val="28"/>
          <w:szCs w:val="28"/>
        </w:rPr>
        <w:t>, as well as general principles of freedom of contract.</w:t>
      </w:r>
    </w:p>
    <w:p w:rsidR="005E3448" w:rsidRPr="004354D7" w:rsidRDefault="00845A54" w:rsidP="00845A54">
      <w:pPr>
        <w:pStyle w:val="BodyText"/>
        <w:spacing w:after="0" w:line="480" w:lineRule="auto"/>
        <w:jc w:val="both"/>
        <w:rPr>
          <w:rFonts w:ascii="Century" w:hAnsi="Century"/>
          <w:sz w:val="28"/>
          <w:szCs w:val="28"/>
        </w:rPr>
      </w:pPr>
      <w:r w:rsidRPr="004354D7">
        <w:rPr>
          <w:rFonts w:ascii="Century" w:hAnsi="Century"/>
          <w:sz w:val="28"/>
          <w:szCs w:val="28"/>
        </w:rPr>
        <w:t xml:space="preserve">This Court charged the </w:t>
      </w:r>
      <w:proofErr w:type="spellStart"/>
      <w:r w:rsidRPr="004354D7">
        <w:rPr>
          <w:rFonts w:ascii="Century" w:hAnsi="Century"/>
          <w:sz w:val="28"/>
          <w:szCs w:val="28"/>
        </w:rPr>
        <w:t>CCJR</w:t>
      </w:r>
      <w:proofErr w:type="spellEnd"/>
      <w:r w:rsidRPr="004354D7">
        <w:rPr>
          <w:rFonts w:ascii="Century" w:hAnsi="Century"/>
          <w:sz w:val="28"/>
          <w:szCs w:val="28"/>
        </w:rPr>
        <w:t xml:space="preserve"> primarily with developing recommendations, “including rule amendments . . . to reduce the cost and time required to resolve civil cases in Arizona’s superior courts.” </w:t>
      </w:r>
      <w:proofErr w:type="gramStart"/>
      <w:r w:rsidRPr="004354D7">
        <w:rPr>
          <w:rFonts w:ascii="Century" w:hAnsi="Century"/>
          <w:sz w:val="28"/>
          <w:szCs w:val="28"/>
        </w:rPr>
        <w:t>(Admin.</w:t>
      </w:r>
      <w:proofErr w:type="gramEnd"/>
      <w:r w:rsidRPr="004354D7">
        <w:rPr>
          <w:rFonts w:ascii="Century" w:hAnsi="Century"/>
          <w:sz w:val="28"/>
          <w:szCs w:val="28"/>
        </w:rPr>
        <w:t xml:space="preserve"> Order, 2015-126, at 1.)</w:t>
      </w:r>
      <w:r w:rsidR="005E3448" w:rsidRPr="004354D7">
        <w:rPr>
          <w:rFonts w:ascii="Century" w:hAnsi="Century"/>
          <w:sz w:val="28"/>
          <w:szCs w:val="28"/>
        </w:rPr>
        <w:t xml:space="preserve"> </w:t>
      </w:r>
      <w:r w:rsidRPr="004354D7">
        <w:rPr>
          <w:rFonts w:ascii="Century" w:hAnsi="Century"/>
          <w:sz w:val="28"/>
          <w:szCs w:val="28"/>
        </w:rPr>
        <w:t>The addition of the subparagraph Rule 26(b</w:t>
      </w:r>
      <w:proofErr w:type="gramStart"/>
      <w:r w:rsidRPr="004354D7">
        <w:rPr>
          <w:rFonts w:ascii="Century" w:hAnsi="Century"/>
          <w:sz w:val="28"/>
          <w:szCs w:val="28"/>
        </w:rPr>
        <w:t>)(</w:t>
      </w:r>
      <w:proofErr w:type="gramEnd"/>
      <w:r w:rsidRPr="004354D7">
        <w:rPr>
          <w:rFonts w:ascii="Century" w:hAnsi="Century"/>
          <w:sz w:val="28"/>
          <w:szCs w:val="28"/>
        </w:rPr>
        <w:t>2)(D) would do just that. It would “enhance predictability in this developing area of the law,” in which it has become more common for business organizations, often those having “massive amounts of electronic data, to negotiate contract limits on their preservation and discovery obligations” in advance. (</w:t>
      </w:r>
      <w:proofErr w:type="spellStart"/>
      <w:r w:rsidR="00CD2DEA" w:rsidRPr="004354D7">
        <w:rPr>
          <w:rFonts w:ascii="Century" w:hAnsi="Century"/>
          <w:sz w:val="28"/>
          <w:szCs w:val="28"/>
        </w:rPr>
        <w:t>CCJR’s</w:t>
      </w:r>
      <w:proofErr w:type="spellEnd"/>
      <w:r w:rsidR="00CD2DEA" w:rsidRPr="004354D7">
        <w:rPr>
          <w:rFonts w:ascii="Century" w:hAnsi="Century"/>
          <w:sz w:val="28"/>
          <w:szCs w:val="28"/>
        </w:rPr>
        <w:t xml:space="preserve"> 10/1/16 Report, </w:t>
      </w:r>
      <w:r w:rsidRPr="004354D7">
        <w:rPr>
          <w:rFonts w:ascii="Century" w:hAnsi="Century"/>
          <w:sz w:val="28"/>
          <w:szCs w:val="28"/>
        </w:rPr>
        <w:t>“A Call to Reform,” at 15.</w:t>
      </w:r>
      <w:r w:rsidR="00CD2DEA" w:rsidRPr="004354D7">
        <w:rPr>
          <w:rStyle w:val="FootnoteReference"/>
          <w:rFonts w:ascii="Century" w:hAnsi="Century"/>
          <w:sz w:val="28"/>
          <w:szCs w:val="28"/>
        </w:rPr>
        <w:footnoteReference w:id="15"/>
      </w:r>
      <w:r w:rsidRPr="004354D7">
        <w:rPr>
          <w:rFonts w:ascii="Century" w:hAnsi="Century"/>
          <w:sz w:val="28"/>
          <w:szCs w:val="28"/>
        </w:rPr>
        <w:t>) Predictability and certainty inure to reducing the costs and burdens of civil litigation as a whole.</w:t>
      </w:r>
    </w:p>
    <w:p w:rsidR="00845A54" w:rsidRPr="004354D7" w:rsidRDefault="00845A54" w:rsidP="00845A54">
      <w:pPr>
        <w:pStyle w:val="BodyText"/>
        <w:spacing w:after="0" w:line="480" w:lineRule="auto"/>
        <w:jc w:val="both"/>
        <w:rPr>
          <w:rFonts w:ascii="Century" w:hAnsi="Century"/>
          <w:sz w:val="28"/>
          <w:szCs w:val="28"/>
        </w:rPr>
      </w:pPr>
      <w:r w:rsidRPr="004354D7">
        <w:rPr>
          <w:rFonts w:ascii="Century" w:hAnsi="Century"/>
          <w:sz w:val="28"/>
          <w:szCs w:val="28"/>
        </w:rPr>
        <w:t xml:space="preserve">Moreover, </w:t>
      </w:r>
      <w:r w:rsidR="001B783A" w:rsidRPr="004354D7">
        <w:rPr>
          <w:rFonts w:ascii="Century" w:hAnsi="Century"/>
          <w:sz w:val="28"/>
          <w:szCs w:val="28"/>
        </w:rPr>
        <w:t>Arizona’s</w:t>
      </w:r>
      <w:r w:rsidR="00775DA5" w:rsidRPr="004354D7">
        <w:rPr>
          <w:rFonts w:ascii="Century" w:hAnsi="Century"/>
          <w:sz w:val="28"/>
          <w:szCs w:val="28"/>
        </w:rPr>
        <w:t xml:space="preserve"> non-impairment of contracts constitutional </w:t>
      </w:r>
      <w:r w:rsidR="001B783A" w:rsidRPr="004354D7">
        <w:rPr>
          <w:rFonts w:ascii="Century" w:hAnsi="Century"/>
          <w:sz w:val="28"/>
          <w:szCs w:val="28"/>
        </w:rPr>
        <w:t>doctrine</w:t>
      </w:r>
      <w:r w:rsidRPr="004354D7">
        <w:rPr>
          <w:rFonts w:ascii="Century" w:hAnsi="Century"/>
          <w:sz w:val="28"/>
          <w:szCs w:val="28"/>
        </w:rPr>
        <w:t>, along with</w:t>
      </w:r>
      <w:r w:rsidR="00B410A0" w:rsidRPr="004354D7">
        <w:rPr>
          <w:rFonts w:ascii="Century" w:hAnsi="Century"/>
          <w:sz w:val="28"/>
          <w:szCs w:val="28"/>
        </w:rPr>
        <w:t xml:space="preserve"> general principles of freedom of contract, </w:t>
      </w:r>
      <w:proofErr w:type="gramStart"/>
      <w:r w:rsidR="00B410A0" w:rsidRPr="004354D7">
        <w:rPr>
          <w:rFonts w:ascii="Century" w:hAnsi="Century"/>
          <w:sz w:val="28"/>
          <w:szCs w:val="28"/>
        </w:rPr>
        <w:t>underpin</w:t>
      </w:r>
      <w:proofErr w:type="gramEnd"/>
      <w:r w:rsidR="00B410A0" w:rsidRPr="004354D7">
        <w:rPr>
          <w:rFonts w:ascii="Century" w:hAnsi="Century"/>
          <w:sz w:val="28"/>
          <w:szCs w:val="28"/>
        </w:rPr>
        <w:t xml:space="preserve"> the </w:t>
      </w:r>
      <w:proofErr w:type="spellStart"/>
      <w:r w:rsidR="00B410A0" w:rsidRPr="004354D7">
        <w:rPr>
          <w:rFonts w:ascii="Century" w:hAnsi="Century"/>
          <w:sz w:val="28"/>
          <w:szCs w:val="28"/>
        </w:rPr>
        <w:t>CCJR’s</w:t>
      </w:r>
      <w:proofErr w:type="spellEnd"/>
      <w:r w:rsidR="00B410A0" w:rsidRPr="004354D7">
        <w:rPr>
          <w:rFonts w:ascii="Century" w:hAnsi="Century"/>
          <w:sz w:val="28"/>
          <w:szCs w:val="28"/>
        </w:rPr>
        <w:t xml:space="preserve"> proposed subparagraph. </w:t>
      </w:r>
      <w:r w:rsidR="00B410A0" w:rsidRPr="004354D7">
        <w:rPr>
          <w:rFonts w:ascii="Century" w:hAnsi="Century"/>
          <w:i/>
          <w:sz w:val="28"/>
          <w:szCs w:val="28"/>
        </w:rPr>
        <w:t>See</w:t>
      </w:r>
      <w:r w:rsidR="00775DA5" w:rsidRPr="004354D7">
        <w:rPr>
          <w:rFonts w:ascii="Century" w:hAnsi="Century"/>
          <w:sz w:val="28"/>
          <w:szCs w:val="28"/>
        </w:rPr>
        <w:t xml:space="preserve"> </w:t>
      </w:r>
      <w:r w:rsidR="00775DA5" w:rsidRPr="004354D7">
        <w:rPr>
          <w:rFonts w:ascii="Century" w:hAnsi="Century"/>
          <w:smallCaps/>
          <w:sz w:val="28"/>
          <w:szCs w:val="28"/>
        </w:rPr>
        <w:t xml:space="preserve">Ariz. </w:t>
      </w:r>
      <w:proofErr w:type="gramStart"/>
      <w:r w:rsidR="00775DA5" w:rsidRPr="004354D7">
        <w:rPr>
          <w:rFonts w:ascii="Century" w:hAnsi="Century"/>
          <w:smallCaps/>
          <w:sz w:val="28"/>
          <w:szCs w:val="28"/>
        </w:rPr>
        <w:t xml:space="preserve">Const. </w:t>
      </w:r>
      <w:r w:rsidR="00775DA5" w:rsidRPr="004354D7">
        <w:rPr>
          <w:rFonts w:ascii="Century" w:hAnsi="Century"/>
          <w:sz w:val="28"/>
          <w:szCs w:val="28"/>
        </w:rPr>
        <w:t>art.</w:t>
      </w:r>
      <w:proofErr w:type="gramEnd"/>
      <w:r w:rsidR="00775DA5" w:rsidRPr="004354D7">
        <w:rPr>
          <w:rFonts w:ascii="Century" w:hAnsi="Century"/>
          <w:sz w:val="28"/>
          <w:szCs w:val="28"/>
        </w:rPr>
        <w:t xml:space="preserve"> 2, § 25; </w:t>
      </w:r>
      <w:r w:rsidR="00775DA5" w:rsidRPr="004354D7">
        <w:rPr>
          <w:rFonts w:ascii="Century" w:hAnsi="Century"/>
          <w:i/>
          <w:sz w:val="28"/>
          <w:szCs w:val="28"/>
        </w:rPr>
        <w:t>see also</w:t>
      </w:r>
      <w:r w:rsidR="00775DA5" w:rsidRPr="004354D7">
        <w:rPr>
          <w:rFonts w:ascii="Century" w:hAnsi="Century"/>
          <w:sz w:val="28"/>
          <w:szCs w:val="28"/>
        </w:rPr>
        <w:t xml:space="preserve"> </w:t>
      </w:r>
      <w:r w:rsidR="00775DA5" w:rsidRPr="004354D7">
        <w:rPr>
          <w:rFonts w:ascii="Century" w:hAnsi="Century"/>
          <w:smallCaps/>
          <w:sz w:val="28"/>
          <w:szCs w:val="28"/>
        </w:rPr>
        <w:t>Black’s Law Dictionary</w:t>
      </w:r>
      <w:r w:rsidR="00775DA5" w:rsidRPr="004354D7">
        <w:rPr>
          <w:rFonts w:ascii="Century" w:hAnsi="Century"/>
          <w:sz w:val="28"/>
          <w:szCs w:val="28"/>
        </w:rPr>
        <w:t xml:space="preserve"> (10th ed. 2014), freedom of contract </w:t>
      </w:r>
      <w:r w:rsidR="00775DA5" w:rsidRPr="004354D7">
        <w:rPr>
          <w:rFonts w:ascii="Century" w:hAnsi="Century"/>
          <w:sz w:val="28"/>
          <w:szCs w:val="28"/>
        </w:rPr>
        <w:lastRenderedPageBreak/>
        <w:t>(</w:t>
      </w:r>
      <w:r w:rsidR="00CD2DEA" w:rsidRPr="004354D7">
        <w:rPr>
          <w:rFonts w:ascii="Century" w:hAnsi="Century"/>
          <w:sz w:val="28"/>
          <w:szCs w:val="28"/>
        </w:rPr>
        <w:t>“judicial concept that contracts are based on mutual agreement and free choice, and thus should not be hampered by undue external control such as governmental interference”)</w:t>
      </w:r>
      <w:r w:rsidR="004A5318">
        <w:rPr>
          <w:rFonts w:ascii="Century" w:hAnsi="Century"/>
          <w:sz w:val="28"/>
          <w:szCs w:val="28"/>
        </w:rPr>
        <w:t xml:space="preserve">; </w:t>
      </w:r>
      <w:r w:rsidR="004A5318">
        <w:rPr>
          <w:rFonts w:ascii="Century" w:hAnsi="Century"/>
          <w:i/>
          <w:sz w:val="28"/>
          <w:szCs w:val="28"/>
        </w:rPr>
        <w:t>Dobson Bay Club II DD, LLC</w:t>
      </w:r>
      <w:r w:rsidR="004A5318">
        <w:rPr>
          <w:rFonts w:ascii="Century" w:hAnsi="Century"/>
          <w:sz w:val="28"/>
          <w:szCs w:val="28"/>
        </w:rPr>
        <w:t xml:space="preserve">, 242 Ariz. 108, 393 </w:t>
      </w:r>
      <w:proofErr w:type="spellStart"/>
      <w:r w:rsidR="004A5318">
        <w:rPr>
          <w:rFonts w:ascii="Century" w:hAnsi="Century"/>
          <w:sz w:val="28"/>
          <w:szCs w:val="28"/>
        </w:rPr>
        <w:t>P.3d</w:t>
      </w:r>
      <w:proofErr w:type="spellEnd"/>
      <w:r w:rsidR="004A5318">
        <w:rPr>
          <w:rFonts w:ascii="Century" w:hAnsi="Century"/>
          <w:sz w:val="28"/>
          <w:szCs w:val="28"/>
        </w:rPr>
        <w:t xml:space="preserve"> at 458 ¶46 (</w:t>
      </w:r>
      <w:proofErr w:type="spellStart"/>
      <w:r w:rsidR="004A5318">
        <w:rPr>
          <w:rFonts w:ascii="Century" w:hAnsi="Century"/>
          <w:sz w:val="28"/>
          <w:szCs w:val="28"/>
        </w:rPr>
        <w:t>Bolick</w:t>
      </w:r>
      <w:proofErr w:type="spellEnd"/>
      <w:r w:rsidR="004A5318">
        <w:rPr>
          <w:rFonts w:ascii="Century" w:hAnsi="Century"/>
          <w:sz w:val="28"/>
          <w:szCs w:val="28"/>
        </w:rPr>
        <w:t>, J., dissenting)</w:t>
      </w:r>
      <w:r w:rsidR="00F8163E">
        <w:rPr>
          <w:rFonts w:ascii="Century" w:hAnsi="Century"/>
          <w:sz w:val="28"/>
          <w:szCs w:val="28"/>
        </w:rPr>
        <w:t xml:space="preserve"> (discussing freedom of contract and Arizona Constitution)</w:t>
      </w:r>
      <w:r w:rsidR="00CD2DEA" w:rsidRPr="004354D7">
        <w:rPr>
          <w:rFonts w:ascii="Century" w:hAnsi="Century"/>
          <w:sz w:val="28"/>
          <w:szCs w:val="28"/>
        </w:rPr>
        <w:t>.</w:t>
      </w:r>
      <w:r w:rsidR="00342A50" w:rsidRPr="004354D7">
        <w:rPr>
          <w:rFonts w:ascii="Century" w:hAnsi="Century"/>
          <w:sz w:val="28"/>
          <w:szCs w:val="28"/>
        </w:rPr>
        <w:t xml:space="preserve"> Not adopting the subparagraph would invite needless litigation over enforceability of pre-dispute contract provisions governing disclosure, discovery, and preservation, and therefore would burden the courts with the same.</w:t>
      </w:r>
    </w:p>
    <w:p w:rsidR="00CC5A21" w:rsidRPr="004354D7" w:rsidRDefault="00CC5A21" w:rsidP="00342A50">
      <w:pPr>
        <w:pStyle w:val="Pleading1L1"/>
        <w:rPr>
          <w:rFonts w:ascii="Century" w:hAnsi="Century"/>
          <w:sz w:val="28"/>
          <w:szCs w:val="28"/>
        </w:rPr>
      </w:pPr>
      <w:r w:rsidRPr="004354D7">
        <w:rPr>
          <w:rFonts w:ascii="Century" w:hAnsi="Century"/>
          <w:sz w:val="28"/>
          <w:szCs w:val="28"/>
        </w:rPr>
        <w:t>the addition of Rule 26(</w:t>
      </w:r>
      <w:r w:rsidRPr="004354D7">
        <w:rPr>
          <w:rFonts w:ascii="Century" w:hAnsi="Century"/>
          <w:caps w:val="0"/>
          <w:sz w:val="28"/>
          <w:szCs w:val="28"/>
        </w:rPr>
        <w:t>b</w:t>
      </w:r>
      <w:proofErr w:type="gramStart"/>
      <w:r w:rsidRPr="004354D7">
        <w:rPr>
          <w:rFonts w:ascii="Century" w:hAnsi="Century"/>
          <w:sz w:val="28"/>
          <w:szCs w:val="28"/>
        </w:rPr>
        <w:t>)(</w:t>
      </w:r>
      <w:proofErr w:type="gramEnd"/>
      <w:r w:rsidRPr="004354D7">
        <w:rPr>
          <w:rFonts w:ascii="Century" w:hAnsi="Century"/>
          <w:sz w:val="28"/>
          <w:szCs w:val="28"/>
        </w:rPr>
        <w:t>2)(D) dovetails with the court’s recent adoption of rule 45.2, ariz. R. Civ. P.</w:t>
      </w:r>
    </w:p>
    <w:p w:rsidR="00920E1E" w:rsidRPr="004354D7" w:rsidRDefault="001B783A" w:rsidP="00716851">
      <w:pPr>
        <w:pStyle w:val="BodyText"/>
        <w:spacing w:after="0" w:line="480" w:lineRule="auto"/>
        <w:jc w:val="both"/>
        <w:rPr>
          <w:rFonts w:ascii="Century" w:hAnsi="Century"/>
          <w:sz w:val="28"/>
          <w:szCs w:val="28"/>
        </w:rPr>
      </w:pPr>
      <w:r w:rsidRPr="004354D7">
        <w:rPr>
          <w:rFonts w:ascii="Century" w:hAnsi="Century"/>
          <w:sz w:val="28"/>
          <w:szCs w:val="28"/>
        </w:rPr>
        <w:t>Finally, i</w:t>
      </w:r>
      <w:r w:rsidR="00716851" w:rsidRPr="004354D7">
        <w:rPr>
          <w:rFonts w:ascii="Century" w:hAnsi="Century"/>
          <w:sz w:val="28"/>
          <w:szCs w:val="28"/>
        </w:rPr>
        <w:t xml:space="preserve">n its Order on Petition R-17-0010, the Court adopted the </w:t>
      </w:r>
      <w:proofErr w:type="spellStart"/>
      <w:r w:rsidR="00716851" w:rsidRPr="004354D7">
        <w:rPr>
          <w:rFonts w:ascii="Century" w:hAnsi="Century"/>
          <w:sz w:val="28"/>
          <w:szCs w:val="28"/>
        </w:rPr>
        <w:t>CCJR’s</w:t>
      </w:r>
      <w:proofErr w:type="spellEnd"/>
      <w:r w:rsidR="00716851" w:rsidRPr="004354D7">
        <w:rPr>
          <w:rFonts w:ascii="Century" w:hAnsi="Century"/>
          <w:sz w:val="28"/>
          <w:szCs w:val="28"/>
        </w:rPr>
        <w:t xml:space="preserve"> proposed new Rule 45.2, entitled “Dispute Resolution Procedures Regarding Preservation Requests.” It is believed to be the nation’s first procedural rule reining in unreasonable preservation demands regarding electron</w:t>
      </w:r>
      <w:r w:rsidR="001E16C2" w:rsidRPr="004354D7">
        <w:rPr>
          <w:rFonts w:ascii="Century" w:hAnsi="Century"/>
          <w:sz w:val="28"/>
          <w:szCs w:val="28"/>
        </w:rPr>
        <w:t>ically stored information (ESI). T</w:t>
      </w:r>
      <w:r w:rsidR="00716851" w:rsidRPr="004354D7">
        <w:rPr>
          <w:rFonts w:ascii="Century" w:hAnsi="Century"/>
          <w:sz w:val="28"/>
          <w:szCs w:val="28"/>
        </w:rPr>
        <w:t>he new rule may be used pre-litigation, once it takes effect next July.</w:t>
      </w:r>
      <w:r w:rsidR="001E16C2" w:rsidRPr="004354D7">
        <w:rPr>
          <w:rFonts w:ascii="Century" w:hAnsi="Century"/>
          <w:sz w:val="28"/>
          <w:szCs w:val="28"/>
        </w:rPr>
        <w:t xml:space="preserve"> (</w:t>
      </w:r>
      <w:r w:rsidR="001E16C2" w:rsidRPr="004354D7">
        <w:rPr>
          <w:rFonts w:ascii="Century" w:hAnsi="Century"/>
          <w:i/>
          <w:sz w:val="28"/>
          <w:szCs w:val="28"/>
        </w:rPr>
        <w:t>See</w:t>
      </w:r>
      <w:r w:rsidR="001E16C2" w:rsidRPr="004354D7">
        <w:rPr>
          <w:rFonts w:ascii="Century" w:hAnsi="Century"/>
          <w:sz w:val="28"/>
          <w:szCs w:val="28"/>
        </w:rPr>
        <w:t xml:space="preserve"> Attachment A to Order on </w:t>
      </w:r>
      <w:proofErr w:type="spellStart"/>
      <w:r w:rsidR="001E16C2" w:rsidRPr="004354D7">
        <w:rPr>
          <w:rFonts w:ascii="Century" w:hAnsi="Century"/>
          <w:sz w:val="28"/>
          <w:szCs w:val="28"/>
        </w:rPr>
        <w:t>Pet’n</w:t>
      </w:r>
      <w:proofErr w:type="spellEnd"/>
      <w:r w:rsidR="001E16C2" w:rsidRPr="004354D7">
        <w:rPr>
          <w:rFonts w:ascii="Century" w:hAnsi="Century"/>
          <w:sz w:val="28"/>
          <w:szCs w:val="28"/>
        </w:rPr>
        <w:t xml:space="preserve"> R-17-0010, at pages 96-98.) The Court generally adopts rule changes without explanation or comment, but presumably new R</w:t>
      </w:r>
      <w:r w:rsidRPr="004354D7">
        <w:rPr>
          <w:rFonts w:ascii="Century" w:hAnsi="Century"/>
          <w:sz w:val="28"/>
          <w:szCs w:val="28"/>
        </w:rPr>
        <w:t>ule 45.2 was</w:t>
      </w:r>
      <w:r w:rsidR="001E16C2" w:rsidRPr="004354D7">
        <w:rPr>
          <w:rFonts w:ascii="Century" w:hAnsi="Century"/>
          <w:sz w:val="28"/>
          <w:szCs w:val="28"/>
        </w:rPr>
        <w:t xml:space="preserve"> adopted in Arizona’s longstanding tradition of innovation in civil justice reform. Constraining </w:t>
      </w:r>
      <w:r w:rsidR="001E16C2" w:rsidRPr="004354D7">
        <w:rPr>
          <w:rFonts w:ascii="Century" w:hAnsi="Century"/>
          <w:sz w:val="28"/>
          <w:szCs w:val="28"/>
        </w:rPr>
        <w:lastRenderedPageBreak/>
        <w:t>unreasonable ESI preservation demands</w:t>
      </w:r>
      <w:r w:rsidR="00920E1E" w:rsidRPr="004354D7">
        <w:rPr>
          <w:rFonts w:ascii="Century" w:hAnsi="Century"/>
          <w:sz w:val="28"/>
          <w:szCs w:val="28"/>
        </w:rPr>
        <w:t xml:space="preserve"> via court order</w:t>
      </w:r>
      <w:r w:rsidR="001E16C2" w:rsidRPr="004354D7">
        <w:rPr>
          <w:rFonts w:ascii="Century" w:hAnsi="Century"/>
          <w:sz w:val="28"/>
          <w:szCs w:val="28"/>
        </w:rPr>
        <w:t xml:space="preserve"> e</w:t>
      </w:r>
      <w:r w:rsidR="00920E1E" w:rsidRPr="004354D7">
        <w:rPr>
          <w:rFonts w:ascii="Century" w:hAnsi="Century"/>
          <w:sz w:val="28"/>
          <w:szCs w:val="28"/>
        </w:rPr>
        <w:t xml:space="preserve">ven before litigation begins is </w:t>
      </w:r>
      <w:r w:rsidR="001E16C2" w:rsidRPr="004354D7">
        <w:rPr>
          <w:rFonts w:ascii="Century" w:hAnsi="Century"/>
          <w:sz w:val="28"/>
          <w:szCs w:val="28"/>
        </w:rPr>
        <w:t xml:space="preserve">one way of reducing frivolous litigation and its penumbra of time and expense. </w:t>
      </w:r>
      <w:r w:rsidR="00920E1E" w:rsidRPr="004354D7">
        <w:rPr>
          <w:rFonts w:ascii="Century" w:hAnsi="Century"/>
          <w:sz w:val="28"/>
          <w:szCs w:val="28"/>
        </w:rPr>
        <w:t>T</w:t>
      </w:r>
      <w:r w:rsidR="001E16C2" w:rsidRPr="004354D7">
        <w:rPr>
          <w:rFonts w:ascii="Century" w:hAnsi="Century"/>
          <w:sz w:val="28"/>
          <w:szCs w:val="28"/>
        </w:rPr>
        <w:t>he Court saw fit to</w:t>
      </w:r>
      <w:r w:rsidR="00920E1E" w:rsidRPr="004354D7">
        <w:rPr>
          <w:rFonts w:ascii="Century" w:hAnsi="Century"/>
          <w:sz w:val="28"/>
          <w:szCs w:val="28"/>
        </w:rPr>
        <w:t xml:space="preserve"> procedurally</w:t>
      </w:r>
      <w:r w:rsidR="001E16C2" w:rsidRPr="004354D7">
        <w:rPr>
          <w:rFonts w:ascii="Century" w:hAnsi="Century"/>
          <w:sz w:val="28"/>
          <w:szCs w:val="28"/>
        </w:rPr>
        <w:t xml:space="preserve"> innovate in Rule 45.2</w:t>
      </w:r>
      <w:r w:rsidR="00920E1E" w:rsidRPr="004354D7">
        <w:rPr>
          <w:rFonts w:ascii="Century" w:hAnsi="Century"/>
          <w:sz w:val="28"/>
          <w:szCs w:val="28"/>
        </w:rPr>
        <w:t>, toward the laudable ends of “protect[</w:t>
      </w:r>
      <w:proofErr w:type="spellStart"/>
      <w:r w:rsidR="00920E1E" w:rsidRPr="004354D7">
        <w:rPr>
          <w:rFonts w:ascii="Century" w:hAnsi="Century"/>
          <w:sz w:val="28"/>
          <w:szCs w:val="28"/>
        </w:rPr>
        <w:t>ing</w:t>
      </w:r>
      <w:proofErr w:type="spellEnd"/>
      <w:r w:rsidR="00920E1E" w:rsidRPr="004354D7">
        <w:rPr>
          <w:rFonts w:ascii="Century" w:hAnsi="Century"/>
          <w:sz w:val="28"/>
          <w:szCs w:val="28"/>
        </w:rPr>
        <w:t>] parties and nonparties alike from unreasonably burdensome requests to preserve their ESI, and shifting costs to the requestor where appropriate.” (</w:t>
      </w:r>
      <w:r w:rsidR="00920E1E" w:rsidRPr="004354D7">
        <w:rPr>
          <w:rFonts w:ascii="Century" w:hAnsi="Century"/>
          <w:i/>
          <w:sz w:val="28"/>
          <w:szCs w:val="28"/>
        </w:rPr>
        <w:t>See</w:t>
      </w:r>
      <w:r w:rsidR="00920E1E" w:rsidRPr="004354D7">
        <w:rPr>
          <w:rFonts w:ascii="Century" w:hAnsi="Century"/>
          <w:sz w:val="28"/>
          <w:szCs w:val="28"/>
        </w:rPr>
        <w:t xml:space="preserve"> “A Call to Reform,” at</w:t>
      </w:r>
      <w:r w:rsidR="001415A5" w:rsidRPr="004354D7">
        <w:rPr>
          <w:rFonts w:ascii="Century" w:hAnsi="Century"/>
          <w:sz w:val="28"/>
          <w:szCs w:val="28"/>
        </w:rPr>
        <w:t xml:space="preserve"> 2.) As the </w:t>
      </w:r>
      <w:proofErr w:type="spellStart"/>
      <w:r w:rsidR="001415A5" w:rsidRPr="004354D7">
        <w:rPr>
          <w:rFonts w:ascii="Century" w:hAnsi="Century"/>
          <w:sz w:val="28"/>
          <w:szCs w:val="28"/>
        </w:rPr>
        <w:t>CCJR</w:t>
      </w:r>
      <w:proofErr w:type="spellEnd"/>
      <w:r w:rsidR="001415A5" w:rsidRPr="004354D7">
        <w:rPr>
          <w:rFonts w:ascii="Century" w:hAnsi="Century"/>
          <w:sz w:val="28"/>
          <w:szCs w:val="28"/>
        </w:rPr>
        <w:t xml:space="preserve"> pointed out in its report, legal authority and civil rules already allow recipients of unreasonable preservation demands to object to them before the superior court, but first-of-its-kind Rule 45.2 memorializes the proper procedure for doing so. (</w:t>
      </w:r>
      <w:r w:rsidR="001415A5" w:rsidRPr="004354D7">
        <w:rPr>
          <w:rFonts w:ascii="Century" w:hAnsi="Century"/>
          <w:i/>
          <w:sz w:val="28"/>
          <w:szCs w:val="28"/>
        </w:rPr>
        <w:t>See</w:t>
      </w:r>
      <w:r w:rsidR="001415A5" w:rsidRPr="004354D7">
        <w:rPr>
          <w:rFonts w:ascii="Century" w:hAnsi="Century"/>
          <w:sz w:val="28"/>
          <w:szCs w:val="28"/>
        </w:rPr>
        <w:t xml:space="preserve"> “A Call to Reform, at 15.)</w:t>
      </w:r>
    </w:p>
    <w:p w:rsidR="00CC5A21" w:rsidRPr="004354D7" w:rsidRDefault="00920E1E" w:rsidP="00716851">
      <w:pPr>
        <w:pStyle w:val="BodyText"/>
        <w:spacing w:after="0" w:line="480" w:lineRule="auto"/>
        <w:jc w:val="both"/>
        <w:rPr>
          <w:rFonts w:ascii="Century" w:hAnsi="Century"/>
          <w:sz w:val="28"/>
          <w:szCs w:val="28"/>
        </w:rPr>
      </w:pPr>
      <w:r w:rsidRPr="004354D7">
        <w:rPr>
          <w:rFonts w:ascii="Century" w:hAnsi="Century"/>
          <w:sz w:val="28"/>
          <w:szCs w:val="28"/>
        </w:rPr>
        <w:t>T</w:t>
      </w:r>
      <w:r w:rsidR="001E16C2" w:rsidRPr="004354D7">
        <w:rPr>
          <w:rFonts w:ascii="Century" w:hAnsi="Century"/>
          <w:sz w:val="28"/>
          <w:szCs w:val="28"/>
        </w:rPr>
        <w:t>he</w:t>
      </w:r>
      <w:r w:rsidRPr="004354D7">
        <w:rPr>
          <w:rFonts w:ascii="Century" w:hAnsi="Century"/>
          <w:sz w:val="28"/>
          <w:szCs w:val="28"/>
        </w:rPr>
        <w:t xml:space="preserve"> correlating</w:t>
      </w:r>
      <w:r w:rsidR="001E16C2" w:rsidRPr="004354D7">
        <w:rPr>
          <w:rFonts w:ascii="Century" w:hAnsi="Century"/>
          <w:sz w:val="28"/>
          <w:szCs w:val="28"/>
        </w:rPr>
        <w:t xml:space="preserve"> addition of Rule 26(b</w:t>
      </w:r>
      <w:proofErr w:type="gramStart"/>
      <w:r w:rsidR="001E16C2" w:rsidRPr="004354D7">
        <w:rPr>
          <w:rFonts w:ascii="Century" w:hAnsi="Century"/>
          <w:sz w:val="28"/>
          <w:szCs w:val="28"/>
        </w:rPr>
        <w:t>)(</w:t>
      </w:r>
      <w:proofErr w:type="gramEnd"/>
      <w:r w:rsidR="001E16C2" w:rsidRPr="004354D7">
        <w:rPr>
          <w:rFonts w:ascii="Century" w:hAnsi="Century"/>
          <w:sz w:val="28"/>
          <w:szCs w:val="28"/>
        </w:rPr>
        <w:t>2)(D</w:t>
      </w:r>
      <w:r w:rsidR="00A860D6">
        <w:rPr>
          <w:rFonts w:ascii="Century" w:hAnsi="Century"/>
          <w:sz w:val="28"/>
          <w:szCs w:val="28"/>
        </w:rPr>
        <w:t>)</w:t>
      </w:r>
      <w:r w:rsidR="00CD2DEA" w:rsidRPr="004354D7">
        <w:rPr>
          <w:rFonts w:ascii="Century" w:hAnsi="Century"/>
          <w:sz w:val="28"/>
          <w:szCs w:val="28"/>
        </w:rPr>
        <w:t xml:space="preserve"> </w:t>
      </w:r>
      <w:r w:rsidRPr="004354D7">
        <w:rPr>
          <w:rFonts w:ascii="Century" w:hAnsi="Century"/>
          <w:sz w:val="28"/>
          <w:szCs w:val="28"/>
        </w:rPr>
        <w:t>should not be overlooked.</w:t>
      </w:r>
      <w:r w:rsidR="001415A5" w:rsidRPr="004354D7">
        <w:rPr>
          <w:rFonts w:ascii="Century" w:hAnsi="Century"/>
          <w:sz w:val="28"/>
          <w:szCs w:val="28"/>
        </w:rPr>
        <w:t xml:space="preserve"> Just as Rule 45.2 tracks the superior court’s expanded authority under newly adopted Rule 37(g),</w:t>
      </w:r>
      <w:r w:rsidR="001415A5" w:rsidRPr="004354D7">
        <w:rPr>
          <w:rStyle w:val="FootnoteReference"/>
          <w:rFonts w:ascii="Century" w:hAnsi="Century"/>
          <w:sz w:val="28"/>
          <w:szCs w:val="28"/>
        </w:rPr>
        <w:footnoteReference w:id="16"/>
      </w:r>
      <w:r w:rsidR="001415A5" w:rsidRPr="004354D7">
        <w:rPr>
          <w:rFonts w:ascii="Century" w:hAnsi="Century"/>
          <w:sz w:val="28"/>
          <w:szCs w:val="28"/>
        </w:rPr>
        <w:t xml:space="preserve"> the addition of Rule 26(b)(2)(D) </w:t>
      </w:r>
      <w:r w:rsidR="00A860D6">
        <w:rPr>
          <w:rFonts w:ascii="Century" w:hAnsi="Century"/>
          <w:sz w:val="28"/>
          <w:szCs w:val="28"/>
        </w:rPr>
        <w:t>is another necessity for the trial court</w:t>
      </w:r>
      <w:r w:rsidR="001415A5" w:rsidRPr="004354D7">
        <w:rPr>
          <w:rFonts w:ascii="Century" w:hAnsi="Century"/>
          <w:sz w:val="28"/>
          <w:szCs w:val="28"/>
        </w:rPr>
        <w:t xml:space="preserve">. </w:t>
      </w:r>
      <w:r w:rsidR="00AE135A" w:rsidRPr="004354D7">
        <w:rPr>
          <w:rFonts w:ascii="Century" w:hAnsi="Century"/>
          <w:sz w:val="28"/>
          <w:szCs w:val="28"/>
        </w:rPr>
        <w:t xml:space="preserve">The </w:t>
      </w:r>
      <w:proofErr w:type="spellStart"/>
      <w:r w:rsidR="00AE135A" w:rsidRPr="004354D7">
        <w:rPr>
          <w:rFonts w:ascii="Century" w:hAnsi="Century"/>
          <w:sz w:val="28"/>
          <w:szCs w:val="28"/>
        </w:rPr>
        <w:t>CCJR</w:t>
      </w:r>
      <w:proofErr w:type="spellEnd"/>
      <w:r w:rsidR="00AE135A" w:rsidRPr="004354D7">
        <w:rPr>
          <w:rFonts w:ascii="Century" w:hAnsi="Century"/>
          <w:sz w:val="28"/>
          <w:szCs w:val="28"/>
        </w:rPr>
        <w:t xml:space="preserve"> proposed such tools to empower judges to, as appropriate, “shift the costs of discovery and disclosure, to keep costs proportional, and to reward </w:t>
      </w:r>
      <w:r w:rsidR="00AE135A" w:rsidRPr="004354D7">
        <w:rPr>
          <w:rFonts w:ascii="Century" w:hAnsi="Century"/>
          <w:sz w:val="28"/>
          <w:szCs w:val="28"/>
        </w:rPr>
        <w:lastRenderedPageBreak/>
        <w:t xml:space="preserve">cooperative (and punish uncooperative) behavior.” </w:t>
      </w:r>
      <w:proofErr w:type="gramStart"/>
      <w:r w:rsidR="00AE135A" w:rsidRPr="004354D7">
        <w:rPr>
          <w:rFonts w:ascii="Century" w:hAnsi="Century"/>
          <w:sz w:val="28"/>
          <w:szCs w:val="28"/>
        </w:rPr>
        <w:t>(“A Call to Reform,” at 15.)</w:t>
      </w:r>
      <w:proofErr w:type="gramEnd"/>
      <w:r w:rsidR="00AE135A" w:rsidRPr="004354D7">
        <w:rPr>
          <w:rFonts w:ascii="Century" w:hAnsi="Century"/>
          <w:sz w:val="28"/>
          <w:szCs w:val="28"/>
        </w:rPr>
        <w:t xml:space="preserve"> The Court should not shrink from </w:t>
      </w:r>
      <w:r w:rsidR="00A860D6">
        <w:rPr>
          <w:rFonts w:ascii="Century" w:hAnsi="Century"/>
          <w:sz w:val="28"/>
          <w:szCs w:val="28"/>
        </w:rPr>
        <w:t>requiring that trial courts</w:t>
      </w:r>
      <w:r w:rsidR="00AE135A" w:rsidRPr="004354D7">
        <w:rPr>
          <w:rFonts w:ascii="Century" w:hAnsi="Century"/>
          <w:sz w:val="28"/>
          <w:szCs w:val="28"/>
        </w:rPr>
        <w:t xml:space="preserve"> enforce pre-litigation contractual provisions negotiated by sophisticated business entities that have the same desired effects.  </w:t>
      </w:r>
    </w:p>
    <w:p w:rsidR="00775DA5" w:rsidRPr="004354D7" w:rsidRDefault="00143D76" w:rsidP="00775DA5">
      <w:pPr>
        <w:pStyle w:val="Pleading1L1"/>
        <w:spacing w:after="0" w:line="480" w:lineRule="auto"/>
        <w:rPr>
          <w:rFonts w:ascii="Century" w:hAnsi="Century"/>
          <w:sz w:val="28"/>
          <w:szCs w:val="28"/>
        </w:rPr>
      </w:pPr>
      <w:r w:rsidRPr="004354D7">
        <w:rPr>
          <w:rFonts w:ascii="Century" w:hAnsi="Century"/>
          <w:sz w:val="28"/>
          <w:szCs w:val="28"/>
        </w:rPr>
        <w:t>conclusion</w:t>
      </w:r>
    </w:p>
    <w:p w:rsidR="00775DA5" w:rsidRPr="004354D7" w:rsidRDefault="007D6348" w:rsidP="001B783A">
      <w:pPr>
        <w:pStyle w:val="BodyText"/>
        <w:spacing w:after="0" w:line="480" w:lineRule="auto"/>
        <w:jc w:val="both"/>
        <w:rPr>
          <w:rFonts w:ascii="Century" w:hAnsi="Century"/>
          <w:sz w:val="28"/>
          <w:szCs w:val="28"/>
        </w:rPr>
      </w:pPr>
      <w:r w:rsidRPr="004354D7">
        <w:rPr>
          <w:rFonts w:ascii="Century" w:hAnsi="Century"/>
          <w:sz w:val="28"/>
          <w:szCs w:val="28"/>
        </w:rPr>
        <w:t>Respectfully, Petitioners submit that</w:t>
      </w:r>
      <w:r w:rsidR="008A0F8E" w:rsidRPr="004354D7">
        <w:rPr>
          <w:rFonts w:ascii="Century" w:hAnsi="Century"/>
          <w:sz w:val="28"/>
          <w:szCs w:val="28"/>
        </w:rPr>
        <w:t xml:space="preserve"> that subparagraph, as well as</w:t>
      </w:r>
      <w:r w:rsidRPr="004354D7">
        <w:rPr>
          <w:rFonts w:ascii="Century" w:hAnsi="Century"/>
          <w:sz w:val="28"/>
          <w:szCs w:val="28"/>
        </w:rPr>
        <w:t xml:space="preserve"> t</w:t>
      </w:r>
      <w:r w:rsidR="00D65E86" w:rsidRPr="004354D7">
        <w:rPr>
          <w:rFonts w:ascii="Century" w:hAnsi="Century"/>
          <w:sz w:val="28"/>
          <w:szCs w:val="28"/>
        </w:rPr>
        <w:t>he key rule amendments</w:t>
      </w:r>
      <w:r w:rsidR="008A0F8E" w:rsidRPr="004354D7">
        <w:rPr>
          <w:rFonts w:ascii="Century" w:hAnsi="Century"/>
          <w:sz w:val="28"/>
          <w:szCs w:val="28"/>
        </w:rPr>
        <w:t xml:space="preserve"> to Rule 11</w:t>
      </w:r>
      <w:r w:rsidR="00D65E86" w:rsidRPr="004354D7">
        <w:rPr>
          <w:rFonts w:ascii="Century" w:hAnsi="Century"/>
          <w:sz w:val="28"/>
          <w:szCs w:val="28"/>
        </w:rPr>
        <w:t xml:space="preserve"> discussed herein</w:t>
      </w:r>
      <w:r w:rsidR="008A0F8E" w:rsidRPr="004354D7">
        <w:rPr>
          <w:rFonts w:ascii="Century" w:hAnsi="Century"/>
          <w:sz w:val="28"/>
          <w:szCs w:val="28"/>
        </w:rPr>
        <w:t>,</w:t>
      </w:r>
      <w:r w:rsidR="00D65E86" w:rsidRPr="004354D7">
        <w:rPr>
          <w:rFonts w:ascii="Century" w:hAnsi="Century"/>
          <w:sz w:val="28"/>
          <w:szCs w:val="28"/>
        </w:rPr>
        <w:t xml:space="preserve"> should have been adopted by this Court</w:t>
      </w:r>
      <w:r w:rsidRPr="004354D7">
        <w:rPr>
          <w:rFonts w:ascii="Century" w:hAnsi="Century"/>
          <w:sz w:val="28"/>
          <w:szCs w:val="28"/>
        </w:rPr>
        <w:t xml:space="preserve"> during its August 2017 Rules Agenda</w:t>
      </w:r>
      <w:r w:rsidR="00D65E86" w:rsidRPr="004354D7">
        <w:rPr>
          <w:rFonts w:ascii="Century" w:hAnsi="Century"/>
          <w:sz w:val="28"/>
          <w:szCs w:val="28"/>
        </w:rPr>
        <w:t xml:space="preserve">. They were unanimously approved by both this Court’s </w:t>
      </w:r>
      <w:proofErr w:type="spellStart"/>
      <w:r w:rsidR="00D65E86" w:rsidRPr="004354D7">
        <w:rPr>
          <w:rFonts w:ascii="Century" w:hAnsi="Century"/>
          <w:sz w:val="28"/>
          <w:szCs w:val="28"/>
        </w:rPr>
        <w:t>CCJR</w:t>
      </w:r>
      <w:proofErr w:type="spellEnd"/>
      <w:r w:rsidR="00D65E86" w:rsidRPr="004354D7">
        <w:rPr>
          <w:rFonts w:ascii="Century" w:hAnsi="Century"/>
          <w:sz w:val="28"/>
          <w:szCs w:val="28"/>
        </w:rPr>
        <w:t xml:space="preserve"> and the Arizona Judicial Council, and the Rule 28 process certainly did not reveal any sort of widespread opposition to them. Their</w:t>
      </w:r>
      <w:r w:rsidRPr="004354D7">
        <w:rPr>
          <w:rFonts w:ascii="Century" w:hAnsi="Century"/>
          <w:sz w:val="28"/>
          <w:szCs w:val="28"/>
        </w:rPr>
        <w:t xml:space="preserve"> omission</w:t>
      </w:r>
      <w:r w:rsidR="00D65E86" w:rsidRPr="004354D7">
        <w:rPr>
          <w:rFonts w:ascii="Century" w:hAnsi="Century"/>
          <w:sz w:val="28"/>
          <w:szCs w:val="28"/>
        </w:rPr>
        <w:t xml:space="preserve"> from the Court’s Order on Petition R-17-0010 should be remedied by considered—yet just and speedy—action of this Court. </w:t>
      </w:r>
      <w:r w:rsidR="003C2F9D" w:rsidRPr="004354D7">
        <w:rPr>
          <w:rFonts w:ascii="Century" w:hAnsi="Century"/>
          <w:sz w:val="28"/>
          <w:szCs w:val="28"/>
        </w:rPr>
        <w:t>P</w:t>
      </w:r>
      <w:r w:rsidR="00143D76" w:rsidRPr="004354D7">
        <w:rPr>
          <w:rFonts w:ascii="Century" w:hAnsi="Century"/>
          <w:sz w:val="28"/>
          <w:szCs w:val="28"/>
        </w:rPr>
        <w:t>etitioners urge this Court to take that action</w:t>
      </w:r>
      <w:r w:rsidR="00977C98" w:rsidRPr="004354D7">
        <w:rPr>
          <w:rFonts w:ascii="Century" w:hAnsi="Century"/>
          <w:sz w:val="28"/>
          <w:szCs w:val="28"/>
        </w:rPr>
        <w:t xml:space="preserve"> before or during its Rules Agenda currently set for December 11, 2017,</w:t>
      </w:r>
      <w:r w:rsidR="00143D76" w:rsidRPr="004354D7">
        <w:rPr>
          <w:rFonts w:ascii="Century" w:hAnsi="Century"/>
          <w:sz w:val="28"/>
          <w:szCs w:val="28"/>
        </w:rPr>
        <w:t xml:space="preserve"> and adopt the proposed rule amendments</w:t>
      </w:r>
      <w:r w:rsidR="003C2F9D" w:rsidRPr="004354D7">
        <w:rPr>
          <w:rFonts w:ascii="Century" w:hAnsi="Century"/>
          <w:sz w:val="28"/>
          <w:szCs w:val="28"/>
        </w:rPr>
        <w:t xml:space="preserve"> on an expedited basis</w:t>
      </w:r>
      <w:r w:rsidR="00143D76" w:rsidRPr="004354D7">
        <w:rPr>
          <w:rFonts w:ascii="Century" w:hAnsi="Century"/>
          <w:sz w:val="28"/>
          <w:szCs w:val="28"/>
        </w:rPr>
        <w:t xml:space="preserve"> as submitted</w:t>
      </w:r>
      <w:r w:rsidR="003C2F9D" w:rsidRPr="004354D7">
        <w:rPr>
          <w:rFonts w:ascii="Century" w:hAnsi="Century"/>
          <w:sz w:val="28"/>
          <w:szCs w:val="28"/>
        </w:rPr>
        <w:t>, to take effect on July 1, 2018</w:t>
      </w:r>
      <w:r w:rsidR="00977C98" w:rsidRPr="004354D7">
        <w:rPr>
          <w:rFonts w:ascii="Century" w:hAnsi="Century"/>
          <w:sz w:val="28"/>
          <w:szCs w:val="28"/>
        </w:rPr>
        <w:t>, with the vast remainder of the Committee on Civil Justice Reform’s work</w:t>
      </w:r>
      <w:r w:rsidR="00143D76" w:rsidRPr="004354D7">
        <w:rPr>
          <w:rFonts w:ascii="Century" w:hAnsi="Century"/>
          <w:sz w:val="28"/>
          <w:szCs w:val="28"/>
        </w:rPr>
        <w:t xml:space="preserve">. </w:t>
      </w:r>
    </w:p>
    <w:p w:rsidR="00775DA5" w:rsidRPr="004354D7" w:rsidRDefault="00143D76" w:rsidP="001B783A">
      <w:pPr>
        <w:keepNext/>
        <w:keepLines/>
        <w:ind w:left="3240" w:hanging="2520"/>
        <w:rPr>
          <w:rFonts w:ascii="Century" w:hAnsi="Century" w:cs="Times New Roman"/>
          <w:sz w:val="28"/>
          <w:szCs w:val="28"/>
        </w:rPr>
      </w:pPr>
      <w:r w:rsidRPr="004354D7">
        <w:rPr>
          <w:rFonts w:ascii="Century" w:hAnsi="Century" w:cs="Times New Roman"/>
          <w:sz w:val="28"/>
          <w:szCs w:val="28"/>
        </w:rPr>
        <w:lastRenderedPageBreak/>
        <w:t xml:space="preserve">RESPECTFULLY SUBMITTED this </w:t>
      </w:r>
      <w:r w:rsidR="00BD56F2">
        <w:rPr>
          <w:rFonts w:ascii="Century" w:hAnsi="Century" w:cs="Times New Roman"/>
          <w:sz w:val="28"/>
          <w:szCs w:val="28"/>
        </w:rPr>
        <w:t>19</w:t>
      </w:r>
      <w:r w:rsidRPr="004354D7">
        <w:rPr>
          <w:rFonts w:ascii="Century" w:hAnsi="Century" w:cs="Times New Roman"/>
          <w:sz w:val="28"/>
          <w:szCs w:val="28"/>
        </w:rPr>
        <w:t xml:space="preserve">th day of </w:t>
      </w:r>
      <w:r w:rsidR="00BD56F2">
        <w:rPr>
          <w:rFonts w:ascii="Century" w:hAnsi="Century" w:cs="Times New Roman"/>
          <w:sz w:val="28"/>
          <w:szCs w:val="28"/>
        </w:rPr>
        <w:t>October</w:t>
      </w:r>
      <w:bookmarkStart w:id="0" w:name="_GoBack"/>
      <w:bookmarkEnd w:id="0"/>
      <w:r w:rsidRPr="004354D7">
        <w:rPr>
          <w:rFonts w:ascii="Century" w:hAnsi="Century" w:cs="Times New Roman"/>
          <w:sz w:val="28"/>
          <w:szCs w:val="28"/>
        </w:rPr>
        <w:t>, 2017.</w:t>
      </w:r>
    </w:p>
    <w:p w:rsidR="00775DA5" w:rsidRPr="004354D7" w:rsidRDefault="00143D76" w:rsidP="00775DA5">
      <w:pPr>
        <w:keepNext/>
        <w:keepLines/>
        <w:ind w:left="3240" w:hanging="2520"/>
        <w:rPr>
          <w:rFonts w:ascii="Century" w:hAnsi="Century" w:cs="Times New Roman"/>
          <w:sz w:val="28"/>
          <w:szCs w:val="28"/>
        </w:rPr>
      </w:pPr>
      <w:r w:rsidRPr="004354D7">
        <w:rPr>
          <w:rFonts w:ascii="Century" w:hAnsi="Century" w:cs="Times New Roman"/>
          <w:sz w:val="28"/>
          <w:szCs w:val="28"/>
        </w:rPr>
        <w:br/>
      </w:r>
    </w:p>
    <w:p w:rsidR="00775DA5" w:rsidRPr="004354D7" w:rsidRDefault="003C2F9D" w:rsidP="00775DA5">
      <w:pPr>
        <w:keepNext/>
        <w:keepLines/>
        <w:ind w:left="3686"/>
        <w:rPr>
          <w:rFonts w:ascii="Century" w:hAnsi="Century" w:cs="Times New Roman"/>
          <w:caps/>
          <w:sz w:val="28"/>
          <w:szCs w:val="28"/>
        </w:rPr>
      </w:pPr>
      <w:r w:rsidRPr="004354D7">
        <w:rPr>
          <w:rFonts w:ascii="Century" w:hAnsi="Century" w:cs="Times New Roman"/>
          <w:caps/>
          <w:sz w:val="28"/>
          <w:szCs w:val="28"/>
        </w:rPr>
        <w:t>Office of the Arizona Governor</w:t>
      </w:r>
    </w:p>
    <w:p w:rsidR="00775DA5" w:rsidRPr="004354D7" w:rsidRDefault="00775DA5" w:rsidP="00775DA5">
      <w:pPr>
        <w:keepNext/>
        <w:keepLines/>
        <w:ind w:left="3686"/>
        <w:rPr>
          <w:rFonts w:ascii="Century" w:hAnsi="Century" w:cs="Times New Roman"/>
          <w:caps/>
          <w:sz w:val="28"/>
          <w:szCs w:val="28"/>
        </w:rPr>
      </w:pPr>
    </w:p>
    <w:p w:rsidR="00775DA5" w:rsidRPr="004354D7" w:rsidRDefault="00775DA5" w:rsidP="00775DA5">
      <w:pPr>
        <w:keepNext/>
        <w:keepLines/>
        <w:ind w:left="3686"/>
        <w:rPr>
          <w:rFonts w:ascii="Century" w:hAnsi="Century" w:cs="Times New Roman"/>
          <w:caps/>
          <w:sz w:val="28"/>
          <w:szCs w:val="28"/>
        </w:rPr>
      </w:pPr>
    </w:p>
    <w:p w:rsidR="00775DA5" w:rsidRPr="004354D7" w:rsidRDefault="00775DA5" w:rsidP="00775DA5">
      <w:pPr>
        <w:keepNext/>
        <w:keepLines/>
        <w:ind w:left="3686"/>
        <w:rPr>
          <w:rFonts w:ascii="Century" w:hAnsi="Century" w:cs="Times New Roman"/>
          <w:caps/>
          <w:sz w:val="28"/>
          <w:szCs w:val="28"/>
        </w:rPr>
      </w:pPr>
    </w:p>
    <w:p w:rsidR="00775DA5" w:rsidRPr="004354D7" w:rsidRDefault="00143D76" w:rsidP="00775DA5">
      <w:pPr>
        <w:keepNext/>
        <w:keepLines/>
        <w:ind w:left="3240"/>
        <w:rPr>
          <w:rFonts w:ascii="Century" w:hAnsi="Century" w:cs="Times New Roman"/>
          <w:sz w:val="28"/>
          <w:szCs w:val="28"/>
        </w:rPr>
      </w:pPr>
      <w:proofErr w:type="gramStart"/>
      <w:r w:rsidRPr="004354D7">
        <w:rPr>
          <w:rFonts w:ascii="Century" w:hAnsi="Century" w:cs="Times New Roman"/>
          <w:sz w:val="28"/>
          <w:szCs w:val="28"/>
        </w:rPr>
        <w:t>By  /</w:t>
      </w:r>
      <w:proofErr w:type="gramEnd"/>
      <w:r w:rsidRPr="004354D7">
        <w:rPr>
          <w:rFonts w:ascii="Century" w:hAnsi="Century" w:cs="Times New Roman"/>
          <w:sz w:val="28"/>
          <w:szCs w:val="28"/>
        </w:rPr>
        <w:t xml:space="preserve">s/ </w:t>
      </w:r>
    </w:p>
    <w:p w:rsidR="00775DA5" w:rsidRPr="004354D7" w:rsidRDefault="003C2F9D" w:rsidP="00775DA5">
      <w:pPr>
        <w:keepNext/>
        <w:keepLines/>
        <w:pBdr>
          <w:top w:val="single" w:sz="4" w:space="1" w:color="auto"/>
        </w:pBdr>
        <w:ind w:left="3686" w:right="1440"/>
        <w:rPr>
          <w:rFonts w:ascii="Century" w:hAnsi="Century" w:cs="Times New Roman"/>
          <w:sz w:val="28"/>
          <w:szCs w:val="28"/>
        </w:rPr>
      </w:pPr>
      <w:r w:rsidRPr="004354D7">
        <w:rPr>
          <w:rFonts w:ascii="Century" w:hAnsi="Century" w:cs="Times New Roman"/>
          <w:sz w:val="28"/>
          <w:szCs w:val="28"/>
        </w:rPr>
        <w:t xml:space="preserve">Douglas A. </w:t>
      </w:r>
      <w:proofErr w:type="spellStart"/>
      <w:r w:rsidRPr="004354D7">
        <w:rPr>
          <w:rFonts w:ascii="Century" w:hAnsi="Century" w:cs="Times New Roman"/>
          <w:sz w:val="28"/>
          <w:szCs w:val="28"/>
        </w:rPr>
        <w:t>Ducey</w:t>
      </w:r>
      <w:proofErr w:type="spellEnd"/>
    </w:p>
    <w:p w:rsidR="00775DA5" w:rsidRPr="004354D7" w:rsidRDefault="00775DA5" w:rsidP="00775DA5">
      <w:pPr>
        <w:keepNext/>
        <w:keepLines/>
        <w:pBdr>
          <w:top w:val="single" w:sz="4" w:space="1" w:color="auto"/>
        </w:pBdr>
        <w:ind w:left="3686" w:right="1440"/>
        <w:rPr>
          <w:rFonts w:ascii="Century" w:hAnsi="Century" w:cs="Times New Roman"/>
          <w:sz w:val="28"/>
          <w:szCs w:val="28"/>
        </w:rPr>
      </w:pPr>
    </w:p>
    <w:p w:rsidR="003C2F9D" w:rsidRPr="004354D7" w:rsidRDefault="003C2F9D" w:rsidP="003C2F9D">
      <w:pPr>
        <w:keepNext/>
        <w:keepLines/>
        <w:ind w:left="3686"/>
        <w:rPr>
          <w:rFonts w:ascii="Century" w:hAnsi="Century" w:cs="Times New Roman"/>
          <w:caps/>
          <w:sz w:val="28"/>
          <w:szCs w:val="28"/>
        </w:rPr>
      </w:pPr>
      <w:r w:rsidRPr="004354D7">
        <w:rPr>
          <w:rFonts w:ascii="Century" w:hAnsi="Century" w:cs="Times New Roman"/>
          <w:caps/>
          <w:sz w:val="28"/>
          <w:szCs w:val="28"/>
        </w:rPr>
        <w:t>president of the arizona senate</w:t>
      </w:r>
    </w:p>
    <w:p w:rsidR="003C2F9D" w:rsidRPr="004354D7" w:rsidRDefault="003C2F9D" w:rsidP="003C2F9D">
      <w:pPr>
        <w:keepNext/>
        <w:keepLines/>
        <w:ind w:left="3686"/>
        <w:rPr>
          <w:rFonts w:ascii="Century" w:hAnsi="Century" w:cs="Times New Roman"/>
          <w:caps/>
          <w:sz w:val="28"/>
          <w:szCs w:val="28"/>
        </w:rPr>
      </w:pPr>
    </w:p>
    <w:p w:rsidR="003C2F9D" w:rsidRPr="004354D7" w:rsidRDefault="003C2F9D" w:rsidP="003C2F9D">
      <w:pPr>
        <w:keepNext/>
        <w:keepLines/>
        <w:ind w:left="3686"/>
        <w:rPr>
          <w:rFonts w:ascii="Century" w:hAnsi="Century" w:cs="Times New Roman"/>
          <w:caps/>
          <w:sz w:val="28"/>
          <w:szCs w:val="28"/>
        </w:rPr>
      </w:pPr>
    </w:p>
    <w:p w:rsidR="003C2F9D" w:rsidRPr="004354D7" w:rsidRDefault="003C2F9D" w:rsidP="003C2F9D">
      <w:pPr>
        <w:keepNext/>
        <w:keepLines/>
        <w:ind w:left="3686"/>
        <w:rPr>
          <w:rFonts w:ascii="Century" w:hAnsi="Century" w:cs="Times New Roman"/>
          <w:caps/>
          <w:sz w:val="28"/>
          <w:szCs w:val="28"/>
        </w:rPr>
      </w:pPr>
    </w:p>
    <w:p w:rsidR="003C2F9D" w:rsidRPr="004354D7" w:rsidRDefault="003C2F9D" w:rsidP="003C2F9D">
      <w:pPr>
        <w:keepNext/>
        <w:keepLines/>
        <w:ind w:left="3240"/>
        <w:rPr>
          <w:rFonts w:ascii="Century" w:hAnsi="Century" w:cs="Times New Roman"/>
          <w:sz w:val="28"/>
          <w:szCs w:val="28"/>
        </w:rPr>
      </w:pPr>
      <w:proofErr w:type="gramStart"/>
      <w:r w:rsidRPr="004354D7">
        <w:rPr>
          <w:rFonts w:ascii="Century" w:hAnsi="Century" w:cs="Times New Roman"/>
          <w:sz w:val="28"/>
          <w:szCs w:val="28"/>
        </w:rPr>
        <w:t>By  /</w:t>
      </w:r>
      <w:proofErr w:type="gramEnd"/>
      <w:r w:rsidRPr="004354D7">
        <w:rPr>
          <w:rFonts w:ascii="Century" w:hAnsi="Century" w:cs="Times New Roman"/>
          <w:sz w:val="28"/>
          <w:szCs w:val="28"/>
        </w:rPr>
        <w:t xml:space="preserve">s/ </w:t>
      </w:r>
    </w:p>
    <w:p w:rsidR="003C2F9D" w:rsidRPr="004354D7" w:rsidRDefault="003C2F9D" w:rsidP="003C2F9D">
      <w:pPr>
        <w:keepNext/>
        <w:keepLines/>
        <w:pBdr>
          <w:top w:val="single" w:sz="4" w:space="1" w:color="auto"/>
        </w:pBdr>
        <w:ind w:left="3686" w:right="1440"/>
        <w:rPr>
          <w:rFonts w:ascii="Century" w:hAnsi="Century" w:cs="Times New Roman"/>
          <w:sz w:val="28"/>
          <w:szCs w:val="28"/>
        </w:rPr>
      </w:pPr>
      <w:r w:rsidRPr="004354D7">
        <w:rPr>
          <w:rFonts w:ascii="Century" w:hAnsi="Century" w:cs="Times New Roman"/>
          <w:sz w:val="28"/>
          <w:szCs w:val="28"/>
        </w:rPr>
        <w:t>Steve Yarbrough</w:t>
      </w:r>
    </w:p>
    <w:p w:rsidR="003C2F9D" w:rsidRPr="004354D7" w:rsidRDefault="003C2F9D" w:rsidP="003C2F9D">
      <w:pPr>
        <w:keepNext/>
        <w:keepLines/>
        <w:ind w:left="3686"/>
        <w:rPr>
          <w:rFonts w:ascii="Century" w:hAnsi="Century" w:cs="Times New Roman"/>
          <w:caps/>
          <w:sz w:val="28"/>
          <w:szCs w:val="28"/>
        </w:rPr>
      </w:pPr>
    </w:p>
    <w:p w:rsidR="003C2F9D" w:rsidRPr="004354D7" w:rsidRDefault="003C2F9D" w:rsidP="003C2F9D">
      <w:pPr>
        <w:keepNext/>
        <w:keepLines/>
        <w:ind w:left="3686"/>
        <w:rPr>
          <w:rFonts w:ascii="Century" w:hAnsi="Century" w:cs="Times New Roman"/>
          <w:caps/>
          <w:sz w:val="28"/>
          <w:szCs w:val="28"/>
        </w:rPr>
      </w:pPr>
    </w:p>
    <w:p w:rsidR="003C2F9D" w:rsidRPr="004354D7" w:rsidRDefault="003C2F9D" w:rsidP="003C2F9D">
      <w:pPr>
        <w:keepNext/>
        <w:keepLines/>
        <w:ind w:left="3686"/>
        <w:rPr>
          <w:rFonts w:ascii="Century" w:hAnsi="Century" w:cs="Times New Roman"/>
          <w:caps/>
          <w:sz w:val="28"/>
          <w:szCs w:val="28"/>
        </w:rPr>
      </w:pPr>
      <w:r w:rsidRPr="004354D7">
        <w:rPr>
          <w:rFonts w:ascii="Century" w:hAnsi="Century" w:cs="Times New Roman"/>
          <w:caps/>
          <w:sz w:val="28"/>
          <w:szCs w:val="28"/>
        </w:rPr>
        <w:t>speaker of the arizona house</w:t>
      </w:r>
    </w:p>
    <w:p w:rsidR="003C2F9D" w:rsidRPr="004354D7" w:rsidRDefault="003C2F9D" w:rsidP="003C2F9D">
      <w:pPr>
        <w:keepNext/>
        <w:keepLines/>
        <w:ind w:left="3686"/>
        <w:rPr>
          <w:rFonts w:ascii="Century" w:hAnsi="Century" w:cs="Times New Roman"/>
          <w:caps/>
          <w:sz w:val="28"/>
          <w:szCs w:val="28"/>
        </w:rPr>
      </w:pPr>
    </w:p>
    <w:p w:rsidR="003C2F9D" w:rsidRPr="004354D7" w:rsidRDefault="003C2F9D" w:rsidP="003C2F9D">
      <w:pPr>
        <w:keepNext/>
        <w:keepLines/>
        <w:ind w:left="3686"/>
        <w:rPr>
          <w:rFonts w:ascii="Century" w:hAnsi="Century" w:cs="Times New Roman"/>
          <w:caps/>
          <w:sz w:val="28"/>
          <w:szCs w:val="28"/>
        </w:rPr>
      </w:pPr>
    </w:p>
    <w:p w:rsidR="003C2F9D" w:rsidRPr="004354D7" w:rsidRDefault="003C2F9D" w:rsidP="003C2F9D">
      <w:pPr>
        <w:keepNext/>
        <w:keepLines/>
        <w:ind w:left="3686"/>
        <w:rPr>
          <w:rFonts w:ascii="Century" w:hAnsi="Century" w:cs="Times New Roman"/>
          <w:caps/>
          <w:sz w:val="28"/>
          <w:szCs w:val="28"/>
        </w:rPr>
      </w:pPr>
    </w:p>
    <w:p w:rsidR="003C2F9D" w:rsidRPr="004354D7" w:rsidRDefault="003C2F9D" w:rsidP="003C2F9D">
      <w:pPr>
        <w:keepNext/>
        <w:keepLines/>
        <w:ind w:left="3240"/>
        <w:rPr>
          <w:rFonts w:ascii="Century" w:hAnsi="Century" w:cs="Times New Roman"/>
          <w:sz w:val="28"/>
          <w:szCs w:val="28"/>
        </w:rPr>
      </w:pPr>
      <w:proofErr w:type="gramStart"/>
      <w:r w:rsidRPr="004354D7">
        <w:rPr>
          <w:rFonts w:ascii="Century" w:hAnsi="Century" w:cs="Times New Roman"/>
          <w:sz w:val="28"/>
          <w:szCs w:val="28"/>
        </w:rPr>
        <w:t>By  /</w:t>
      </w:r>
      <w:proofErr w:type="gramEnd"/>
      <w:r w:rsidRPr="004354D7">
        <w:rPr>
          <w:rFonts w:ascii="Century" w:hAnsi="Century" w:cs="Times New Roman"/>
          <w:sz w:val="28"/>
          <w:szCs w:val="28"/>
        </w:rPr>
        <w:t xml:space="preserve">s/ </w:t>
      </w:r>
    </w:p>
    <w:p w:rsidR="003C2F9D" w:rsidRPr="004354D7" w:rsidRDefault="003C2F9D" w:rsidP="003C2F9D">
      <w:pPr>
        <w:keepNext/>
        <w:keepLines/>
        <w:pBdr>
          <w:top w:val="single" w:sz="4" w:space="1" w:color="auto"/>
        </w:pBdr>
        <w:ind w:left="3686" w:right="1440"/>
        <w:rPr>
          <w:rFonts w:ascii="Century" w:hAnsi="Century" w:cs="Times New Roman"/>
          <w:sz w:val="28"/>
          <w:szCs w:val="28"/>
        </w:rPr>
      </w:pPr>
      <w:r w:rsidRPr="004354D7">
        <w:rPr>
          <w:rFonts w:ascii="Century" w:hAnsi="Century" w:cs="Times New Roman"/>
          <w:sz w:val="28"/>
          <w:szCs w:val="28"/>
        </w:rPr>
        <w:t xml:space="preserve">J.D. </w:t>
      </w:r>
      <w:proofErr w:type="spellStart"/>
      <w:r w:rsidRPr="004354D7">
        <w:rPr>
          <w:rFonts w:ascii="Century" w:hAnsi="Century" w:cs="Times New Roman"/>
          <w:sz w:val="28"/>
          <w:szCs w:val="28"/>
        </w:rPr>
        <w:t>Mesnard</w:t>
      </w:r>
      <w:proofErr w:type="spellEnd"/>
    </w:p>
    <w:p w:rsidR="003C2F9D" w:rsidRPr="004354D7" w:rsidRDefault="003C2F9D" w:rsidP="003C2F9D">
      <w:pPr>
        <w:keepNext/>
        <w:keepLines/>
        <w:rPr>
          <w:rFonts w:ascii="Century" w:hAnsi="Century" w:cs="Times New Roman"/>
          <w:caps/>
          <w:sz w:val="28"/>
          <w:szCs w:val="28"/>
        </w:rPr>
      </w:pPr>
    </w:p>
    <w:p w:rsidR="003C2F9D" w:rsidRPr="004354D7" w:rsidRDefault="003C2F9D" w:rsidP="00775DA5">
      <w:pPr>
        <w:keepNext/>
        <w:keepLines/>
        <w:ind w:left="3686"/>
        <w:rPr>
          <w:rFonts w:ascii="Century" w:hAnsi="Century" w:cs="Times New Roman"/>
          <w:caps/>
          <w:sz w:val="28"/>
          <w:szCs w:val="28"/>
        </w:rPr>
      </w:pPr>
    </w:p>
    <w:p w:rsidR="003C2F9D" w:rsidRPr="004354D7" w:rsidRDefault="003C2F9D" w:rsidP="00775DA5">
      <w:pPr>
        <w:keepNext/>
        <w:keepLines/>
        <w:ind w:left="3686"/>
        <w:rPr>
          <w:rFonts w:ascii="Century" w:hAnsi="Century" w:cs="Times New Roman"/>
          <w:caps/>
          <w:sz w:val="28"/>
          <w:szCs w:val="28"/>
        </w:rPr>
      </w:pPr>
      <w:r w:rsidRPr="004354D7">
        <w:rPr>
          <w:rFonts w:ascii="Century" w:hAnsi="Century" w:cs="Times New Roman"/>
          <w:caps/>
          <w:sz w:val="28"/>
          <w:szCs w:val="28"/>
        </w:rPr>
        <w:t xml:space="preserve">Arizona Chamber of </w:t>
      </w:r>
    </w:p>
    <w:p w:rsidR="00775DA5" w:rsidRPr="004354D7" w:rsidRDefault="003C2F9D" w:rsidP="00775DA5">
      <w:pPr>
        <w:keepNext/>
        <w:keepLines/>
        <w:ind w:left="3686"/>
        <w:rPr>
          <w:rFonts w:ascii="Century" w:hAnsi="Century" w:cs="Times New Roman"/>
          <w:sz w:val="28"/>
          <w:szCs w:val="28"/>
        </w:rPr>
      </w:pPr>
      <w:r w:rsidRPr="004354D7">
        <w:rPr>
          <w:rFonts w:ascii="Century" w:hAnsi="Century" w:cs="Times New Roman"/>
          <w:caps/>
          <w:sz w:val="28"/>
          <w:szCs w:val="28"/>
        </w:rPr>
        <w:t>Commerce &amp; Industry</w:t>
      </w:r>
    </w:p>
    <w:p w:rsidR="00775DA5" w:rsidRPr="004354D7" w:rsidRDefault="00775DA5" w:rsidP="00775DA5">
      <w:pPr>
        <w:keepNext/>
        <w:keepLines/>
        <w:ind w:left="3686"/>
        <w:rPr>
          <w:rFonts w:ascii="Century" w:hAnsi="Century" w:cs="Times New Roman"/>
          <w:caps/>
          <w:sz w:val="28"/>
          <w:szCs w:val="28"/>
        </w:rPr>
      </w:pPr>
    </w:p>
    <w:p w:rsidR="00775DA5" w:rsidRPr="004354D7" w:rsidRDefault="00775DA5" w:rsidP="00775DA5">
      <w:pPr>
        <w:keepNext/>
        <w:keepLines/>
        <w:ind w:left="3686"/>
        <w:rPr>
          <w:rFonts w:ascii="Century" w:hAnsi="Century" w:cs="Times New Roman"/>
          <w:caps/>
          <w:sz w:val="28"/>
          <w:szCs w:val="28"/>
        </w:rPr>
      </w:pPr>
    </w:p>
    <w:p w:rsidR="00775DA5" w:rsidRPr="004354D7" w:rsidRDefault="00775DA5" w:rsidP="00775DA5">
      <w:pPr>
        <w:keepNext/>
        <w:keepLines/>
        <w:ind w:left="3686"/>
        <w:rPr>
          <w:rFonts w:ascii="Century" w:hAnsi="Century" w:cs="Times New Roman"/>
          <w:caps/>
          <w:sz w:val="28"/>
          <w:szCs w:val="28"/>
        </w:rPr>
      </w:pPr>
    </w:p>
    <w:p w:rsidR="00775DA5" w:rsidRPr="004354D7" w:rsidRDefault="00143D76" w:rsidP="00775DA5">
      <w:pPr>
        <w:keepNext/>
        <w:keepLines/>
        <w:ind w:left="3240"/>
        <w:rPr>
          <w:rFonts w:ascii="Century" w:hAnsi="Century" w:cs="Times New Roman"/>
          <w:sz w:val="28"/>
          <w:szCs w:val="28"/>
        </w:rPr>
      </w:pPr>
      <w:proofErr w:type="gramStart"/>
      <w:r w:rsidRPr="004354D7">
        <w:rPr>
          <w:rFonts w:ascii="Century" w:hAnsi="Century" w:cs="Times New Roman"/>
          <w:sz w:val="28"/>
          <w:szCs w:val="28"/>
        </w:rPr>
        <w:t>By  /</w:t>
      </w:r>
      <w:proofErr w:type="gramEnd"/>
      <w:r w:rsidRPr="004354D7">
        <w:rPr>
          <w:rFonts w:ascii="Century" w:hAnsi="Century" w:cs="Times New Roman"/>
          <w:sz w:val="28"/>
          <w:szCs w:val="28"/>
        </w:rPr>
        <w:t xml:space="preserve">s/ </w:t>
      </w:r>
    </w:p>
    <w:p w:rsidR="00775DA5" w:rsidRPr="004354D7" w:rsidRDefault="003C2F9D" w:rsidP="003C2F9D">
      <w:pPr>
        <w:keepNext/>
        <w:keepLines/>
        <w:pBdr>
          <w:top w:val="single" w:sz="4" w:space="1" w:color="auto"/>
        </w:pBdr>
        <w:ind w:left="3686" w:right="1440"/>
        <w:rPr>
          <w:rFonts w:ascii="Century" w:hAnsi="Century" w:cs="Times New Roman"/>
          <w:sz w:val="28"/>
          <w:szCs w:val="28"/>
        </w:rPr>
      </w:pPr>
      <w:r w:rsidRPr="004354D7">
        <w:rPr>
          <w:rFonts w:ascii="Century" w:hAnsi="Century" w:cs="Times New Roman"/>
          <w:sz w:val="28"/>
          <w:szCs w:val="28"/>
        </w:rPr>
        <w:t xml:space="preserve">Glenn Hamer, </w:t>
      </w:r>
      <w:proofErr w:type="gramStart"/>
      <w:r w:rsidRPr="004354D7">
        <w:rPr>
          <w:rFonts w:ascii="Century" w:hAnsi="Century" w:cs="Times New Roman"/>
          <w:sz w:val="28"/>
          <w:szCs w:val="28"/>
        </w:rPr>
        <w:t>President &amp;</w:t>
      </w:r>
      <w:proofErr w:type="gramEnd"/>
      <w:r w:rsidRPr="004354D7">
        <w:rPr>
          <w:rFonts w:ascii="Century" w:hAnsi="Century" w:cs="Times New Roman"/>
          <w:sz w:val="28"/>
          <w:szCs w:val="28"/>
        </w:rPr>
        <w:t xml:space="preserve"> Chief Executive Officer</w:t>
      </w:r>
    </w:p>
    <w:p w:rsidR="0019439E" w:rsidRPr="004354D7" w:rsidRDefault="0019439E" w:rsidP="003C2F9D">
      <w:pPr>
        <w:keepNext/>
        <w:keepLines/>
        <w:pBdr>
          <w:top w:val="single" w:sz="4" w:space="1" w:color="auto"/>
        </w:pBdr>
        <w:ind w:left="3686" w:right="1440"/>
        <w:rPr>
          <w:rFonts w:ascii="Century" w:hAnsi="Century" w:cs="Times New Roman"/>
          <w:sz w:val="28"/>
          <w:szCs w:val="28"/>
        </w:rPr>
      </w:pPr>
    </w:p>
    <w:p w:rsidR="0019439E" w:rsidRPr="004354D7" w:rsidRDefault="0019439E" w:rsidP="003C2F9D">
      <w:pPr>
        <w:keepNext/>
        <w:keepLines/>
        <w:pBdr>
          <w:top w:val="single" w:sz="4" w:space="1" w:color="auto"/>
        </w:pBdr>
        <w:ind w:left="3686" w:right="1440"/>
        <w:rPr>
          <w:rFonts w:ascii="Century" w:hAnsi="Century" w:cs="Times New Roman"/>
          <w:sz w:val="28"/>
          <w:szCs w:val="28"/>
        </w:rPr>
      </w:pPr>
    </w:p>
    <w:p w:rsidR="0019439E" w:rsidRPr="004354D7" w:rsidRDefault="0019439E" w:rsidP="0019439E">
      <w:pPr>
        <w:keepNext/>
        <w:keepLines/>
        <w:ind w:left="3686"/>
        <w:rPr>
          <w:rFonts w:ascii="Century" w:hAnsi="Century" w:cs="Times New Roman"/>
          <w:caps/>
          <w:sz w:val="28"/>
          <w:szCs w:val="28"/>
        </w:rPr>
      </w:pPr>
      <w:r w:rsidRPr="004354D7">
        <w:rPr>
          <w:rFonts w:ascii="Century" w:hAnsi="Century" w:cs="Times New Roman"/>
          <w:caps/>
          <w:sz w:val="28"/>
          <w:szCs w:val="28"/>
        </w:rPr>
        <w:t xml:space="preserve">Arizona Chamber of </w:t>
      </w:r>
    </w:p>
    <w:p w:rsidR="0019439E" w:rsidRPr="004354D7" w:rsidRDefault="0019439E" w:rsidP="0019439E">
      <w:pPr>
        <w:keepNext/>
        <w:keepLines/>
        <w:ind w:left="3686"/>
        <w:rPr>
          <w:rFonts w:ascii="Century" w:hAnsi="Century" w:cs="Times New Roman"/>
          <w:sz w:val="28"/>
          <w:szCs w:val="28"/>
        </w:rPr>
      </w:pPr>
      <w:r w:rsidRPr="004354D7">
        <w:rPr>
          <w:rFonts w:ascii="Century" w:hAnsi="Century" w:cs="Times New Roman"/>
          <w:caps/>
          <w:sz w:val="28"/>
          <w:szCs w:val="28"/>
        </w:rPr>
        <w:t>Commerce &amp; Industry</w:t>
      </w:r>
    </w:p>
    <w:p w:rsidR="0019439E" w:rsidRPr="004354D7" w:rsidRDefault="0019439E" w:rsidP="0019439E">
      <w:pPr>
        <w:keepNext/>
        <w:keepLines/>
        <w:ind w:left="3686"/>
        <w:rPr>
          <w:rFonts w:ascii="Century" w:hAnsi="Century" w:cs="Times New Roman"/>
          <w:caps/>
          <w:sz w:val="28"/>
          <w:szCs w:val="28"/>
        </w:rPr>
      </w:pPr>
    </w:p>
    <w:p w:rsidR="0019439E" w:rsidRPr="004354D7" w:rsidRDefault="0019439E" w:rsidP="0019439E">
      <w:pPr>
        <w:keepNext/>
        <w:keepLines/>
        <w:ind w:left="3686"/>
        <w:rPr>
          <w:rFonts w:ascii="Century" w:hAnsi="Century" w:cs="Times New Roman"/>
          <w:caps/>
          <w:sz w:val="28"/>
          <w:szCs w:val="28"/>
        </w:rPr>
      </w:pPr>
    </w:p>
    <w:p w:rsidR="0019439E" w:rsidRPr="004354D7" w:rsidRDefault="0019439E" w:rsidP="0019439E">
      <w:pPr>
        <w:keepNext/>
        <w:keepLines/>
        <w:ind w:left="3686"/>
        <w:rPr>
          <w:rFonts w:ascii="Century" w:hAnsi="Century" w:cs="Times New Roman"/>
          <w:caps/>
          <w:sz w:val="28"/>
          <w:szCs w:val="28"/>
        </w:rPr>
      </w:pPr>
    </w:p>
    <w:p w:rsidR="0019439E" w:rsidRPr="004354D7" w:rsidRDefault="0019439E" w:rsidP="0019439E">
      <w:pPr>
        <w:keepNext/>
        <w:keepLines/>
        <w:ind w:left="3240"/>
        <w:rPr>
          <w:rFonts w:ascii="Century" w:hAnsi="Century" w:cs="Times New Roman"/>
          <w:sz w:val="28"/>
          <w:szCs w:val="28"/>
        </w:rPr>
      </w:pPr>
      <w:proofErr w:type="gramStart"/>
      <w:r w:rsidRPr="004354D7">
        <w:rPr>
          <w:rFonts w:ascii="Century" w:hAnsi="Century" w:cs="Times New Roman"/>
          <w:sz w:val="28"/>
          <w:szCs w:val="28"/>
        </w:rPr>
        <w:t>By  /</w:t>
      </w:r>
      <w:proofErr w:type="gramEnd"/>
      <w:r w:rsidRPr="004354D7">
        <w:rPr>
          <w:rFonts w:ascii="Century" w:hAnsi="Century" w:cs="Times New Roman"/>
          <w:sz w:val="28"/>
          <w:szCs w:val="28"/>
        </w:rPr>
        <w:t xml:space="preserve">s/ </w:t>
      </w:r>
    </w:p>
    <w:p w:rsidR="0019439E" w:rsidRPr="004354D7" w:rsidRDefault="0019439E" w:rsidP="0019439E">
      <w:pPr>
        <w:keepNext/>
        <w:keepLines/>
        <w:pBdr>
          <w:top w:val="single" w:sz="4" w:space="1" w:color="auto"/>
        </w:pBdr>
        <w:ind w:left="3686" w:right="1440"/>
        <w:rPr>
          <w:rFonts w:ascii="Century" w:hAnsi="Century" w:cs="Times New Roman"/>
          <w:sz w:val="28"/>
          <w:szCs w:val="28"/>
        </w:rPr>
        <w:sectPr w:rsidR="0019439E" w:rsidRPr="004354D7" w:rsidSect="001D1C91">
          <w:footerReference w:type="default" r:id="rId9"/>
          <w:footerReference w:type="first" r:id="rId10"/>
          <w:pgSz w:w="12240" w:h="15840"/>
          <w:pgMar w:top="1440" w:right="1440" w:bottom="1440" w:left="1440" w:header="720" w:footer="720" w:gutter="0"/>
          <w:pgNumType w:start="0"/>
          <w:cols w:space="720"/>
          <w:titlePg/>
          <w:docGrid w:linePitch="360"/>
        </w:sectPr>
      </w:pPr>
      <w:r w:rsidRPr="004354D7">
        <w:rPr>
          <w:rFonts w:ascii="Century" w:hAnsi="Century" w:cs="Times New Roman"/>
          <w:sz w:val="28"/>
          <w:szCs w:val="28"/>
        </w:rPr>
        <w:t>Steven Twist, Chair, Legal, Regulatory, &amp; Financial Services Committee</w:t>
      </w:r>
    </w:p>
    <w:p w:rsidR="00CF026F" w:rsidRPr="004354D7" w:rsidRDefault="00CB0319">
      <w:pPr>
        <w:rPr>
          <w:rFonts w:ascii="Century" w:hAnsi="Century"/>
          <w:sz w:val="28"/>
          <w:szCs w:val="28"/>
        </w:rPr>
      </w:pPr>
      <w:r>
        <w:rPr>
          <w:rFonts w:ascii="Century" w:hAnsi="Century"/>
          <w:sz w:val="28"/>
          <w:szCs w:val="28"/>
        </w:rPr>
        <w:lastRenderedPageBreak/>
        <w:pict>
          <v:shapetype id="_x0000_t202" coordsize="21600,21600" o:spt="202" path="m,l,21600r21600,l21600,xe">
            <v:stroke joinstyle="miter"/>
            <v:path gradientshapeok="t" o:connecttype="rect"/>
          </v:shapetype>
          <v:shape id="zzmpTrailer_1079_21" o:spid="_x0000_s1026" type="#_x0000_t202" style="position:absolute;margin-left:0;margin-top:0;width:201.6pt;height: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" filled="f" stroked="f">
            <v:textbox inset="0,0,0,0">
              <w:txbxContent>
                <w:p w:rsidR="00775DA5" w:rsidRDefault="00775DA5">
                  <w:pPr>
                    <w:pStyle w:val="MacPacTrailer"/>
                  </w:pPr>
                  <w:r>
                    <w:t>4814-7259-9375</w:t>
                  </w:r>
                </w:p>
                <w:p w:rsidR="00775DA5" w:rsidRDefault="00775DA5">
                  <w:pPr>
                    <w:pStyle w:val="MacPacTrailer"/>
                  </w:pPr>
                </w:p>
              </w:txbxContent>
            </v:textbox>
            <w10:wrap anchorx="margin"/>
          </v:shape>
        </w:pict>
      </w:r>
    </w:p>
    <w:sectPr w:rsidR="00CF026F" w:rsidRPr="004354D7" w:rsidSect="00775DA5">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319" w:rsidRDefault="00CB0319">
      <w:r>
        <w:separator/>
      </w:r>
    </w:p>
  </w:endnote>
  <w:endnote w:type="continuationSeparator" w:id="0">
    <w:p w:rsidR="00CB0319" w:rsidRDefault="00CB0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NewCenturySchlbk-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231579"/>
      <w:docPartObj>
        <w:docPartGallery w:val="Page Numbers (Bottom of Page)"/>
        <w:docPartUnique/>
      </w:docPartObj>
    </w:sdtPr>
    <w:sdtEndPr>
      <w:rPr>
        <w:noProof/>
      </w:rPr>
    </w:sdtEndPr>
    <w:sdtContent>
      <w:p w:rsidR="00775DA5" w:rsidRDefault="00775DA5">
        <w:pPr>
          <w:pStyle w:val="Footer"/>
          <w:jc w:val="center"/>
        </w:pPr>
        <w:r w:rsidRPr="006C7DCE">
          <w:rPr>
            <w:rFonts w:ascii="Century" w:hAnsi="Century"/>
            <w:sz w:val="28"/>
            <w:szCs w:val="28"/>
          </w:rPr>
          <w:fldChar w:fldCharType="begin"/>
        </w:r>
        <w:r w:rsidRPr="006C7DCE">
          <w:rPr>
            <w:rFonts w:ascii="Century" w:hAnsi="Century"/>
            <w:sz w:val="28"/>
            <w:szCs w:val="28"/>
          </w:rPr>
          <w:instrText xml:space="preserve"> PAGE   \* MERGEFORMAT </w:instrText>
        </w:r>
        <w:r w:rsidRPr="006C7DCE">
          <w:rPr>
            <w:rFonts w:ascii="Century" w:hAnsi="Century"/>
            <w:sz w:val="28"/>
            <w:szCs w:val="28"/>
          </w:rPr>
          <w:fldChar w:fldCharType="separate"/>
        </w:r>
        <w:r w:rsidR="00BD56F2">
          <w:rPr>
            <w:rFonts w:ascii="Century" w:hAnsi="Century"/>
            <w:noProof/>
            <w:sz w:val="28"/>
            <w:szCs w:val="28"/>
          </w:rPr>
          <w:t>21</w:t>
        </w:r>
        <w:r w:rsidRPr="006C7DCE">
          <w:rPr>
            <w:rFonts w:ascii="Century" w:hAnsi="Century"/>
            <w:noProof/>
            <w:sz w:val="28"/>
            <w:szCs w:val="28"/>
          </w:rPr>
          <w:fldChar w:fldCharType="end"/>
        </w:r>
      </w:p>
    </w:sdtContent>
  </w:sdt>
  <w:p w:rsidR="00775DA5" w:rsidRDefault="00775D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DA5" w:rsidRDefault="00775DA5">
    <w:pPr>
      <w:pStyle w:val="Footer"/>
      <w:jc w:val="center"/>
    </w:pPr>
  </w:p>
  <w:p w:rsidR="00775DA5" w:rsidRDefault="00775D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DA5" w:rsidRPr="00595778" w:rsidRDefault="00775DA5">
    <w:pPr>
      <w:pStyle w:val="Footer"/>
      <w:jc w:val="center"/>
      <w:rPr>
        <w:rFonts w:ascii="Century" w:hAnsi="Century"/>
        <w:sz w:val="28"/>
        <w:szCs w:val="28"/>
      </w:rPr>
    </w:pPr>
  </w:p>
  <w:p w:rsidR="00775DA5" w:rsidRDefault="00775D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319" w:rsidRDefault="00CB0319" w:rsidP="00775DA5">
      <w:r>
        <w:separator/>
      </w:r>
    </w:p>
  </w:footnote>
  <w:footnote w:type="continuationSeparator" w:id="0">
    <w:p w:rsidR="00CB0319" w:rsidRDefault="00CB0319" w:rsidP="00775DA5">
      <w:r>
        <w:continuationSeparator/>
      </w:r>
    </w:p>
  </w:footnote>
  <w:footnote w:id="1">
    <w:p w:rsidR="004354D7" w:rsidRPr="009C1C6F" w:rsidRDefault="004354D7" w:rsidP="009C1C6F">
      <w:pPr>
        <w:pStyle w:val="FootnoteText"/>
        <w:spacing w:after="120"/>
        <w:jc w:val="both"/>
        <w:rPr>
          <w:rFonts w:ascii="Century" w:hAnsi="Century"/>
          <w:sz w:val="28"/>
          <w:szCs w:val="28"/>
        </w:rPr>
      </w:pPr>
      <w:r w:rsidRPr="009C1C6F">
        <w:rPr>
          <w:rStyle w:val="FootnoteReference"/>
          <w:rFonts w:ascii="Century" w:hAnsi="Century"/>
          <w:sz w:val="28"/>
          <w:szCs w:val="28"/>
        </w:rPr>
        <w:footnoteRef/>
      </w:r>
      <w:r w:rsidRPr="009C1C6F">
        <w:rPr>
          <w:rFonts w:ascii="Century" w:hAnsi="Century"/>
          <w:sz w:val="28"/>
          <w:szCs w:val="28"/>
        </w:rPr>
        <w:t xml:space="preserve"> Two of the undersigned, Mr. Hamer and Mr. Twist, were </w:t>
      </w:r>
      <w:r w:rsidR="006D0F43">
        <w:rPr>
          <w:rFonts w:ascii="Century" w:hAnsi="Century"/>
          <w:sz w:val="28"/>
          <w:szCs w:val="28"/>
        </w:rPr>
        <w:t xml:space="preserve">appointed to the </w:t>
      </w:r>
      <w:proofErr w:type="spellStart"/>
      <w:r w:rsidR="006D0F43">
        <w:rPr>
          <w:rFonts w:ascii="Century" w:hAnsi="Century"/>
          <w:sz w:val="28"/>
          <w:szCs w:val="28"/>
        </w:rPr>
        <w:t>CCJR</w:t>
      </w:r>
      <w:proofErr w:type="spellEnd"/>
      <w:r w:rsidR="006D0F43">
        <w:rPr>
          <w:rFonts w:ascii="Century" w:hAnsi="Century"/>
          <w:sz w:val="28"/>
          <w:szCs w:val="28"/>
        </w:rPr>
        <w:t xml:space="preserve"> by the Court’s Administrative Order establishing that body</w:t>
      </w:r>
      <w:r w:rsidRPr="009C1C6F">
        <w:rPr>
          <w:rFonts w:ascii="Century" w:hAnsi="Century"/>
          <w:sz w:val="28"/>
          <w:szCs w:val="28"/>
        </w:rPr>
        <w:t>.</w:t>
      </w:r>
    </w:p>
  </w:footnote>
  <w:footnote w:id="2">
    <w:p w:rsidR="00775DA5" w:rsidRPr="009C1C6F" w:rsidRDefault="00775DA5" w:rsidP="009C1C6F">
      <w:pPr>
        <w:pStyle w:val="FootnoteText"/>
        <w:spacing w:after="120"/>
        <w:jc w:val="both"/>
        <w:rPr>
          <w:rFonts w:ascii="Century" w:hAnsi="Century"/>
          <w:sz w:val="28"/>
          <w:szCs w:val="28"/>
        </w:rPr>
      </w:pPr>
      <w:r w:rsidRPr="009C1C6F">
        <w:rPr>
          <w:rStyle w:val="FootnoteReference"/>
          <w:rFonts w:ascii="Century" w:hAnsi="Century"/>
          <w:sz w:val="28"/>
          <w:szCs w:val="28"/>
        </w:rPr>
        <w:footnoteRef/>
      </w:r>
      <w:r w:rsidRPr="009C1C6F">
        <w:rPr>
          <w:rFonts w:ascii="Century" w:hAnsi="Century"/>
          <w:sz w:val="28"/>
          <w:szCs w:val="28"/>
        </w:rPr>
        <w:t xml:space="preserve"> </w:t>
      </w:r>
      <w:proofErr w:type="gramStart"/>
      <w:r w:rsidRPr="009C1C6F">
        <w:rPr>
          <w:rFonts w:ascii="Century" w:hAnsi="Century"/>
          <w:i/>
          <w:sz w:val="28"/>
          <w:szCs w:val="28"/>
        </w:rPr>
        <w:t>Available at</w:t>
      </w:r>
      <w:r w:rsidRPr="009C1C6F">
        <w:rPr>
          <w:rFonts w:ascii="Century" w:hAnsi="Century"/>
          <w:sz w:val="28"/>
          <w:szCs w:val="28"/>
        </w:rPr>
        <w:t xml:space="preserve"> </w:t>
      </w:r>
      <w:hyperlink r:id="rId1" w:history="1">
        <w:r w:rsidRPr="009C1C6F">
          <w:rPr>
            <w:rStyle w:val="Hyperlink"/>
            <w:rFonts w:ascii="Century" w:hAnsi="Century"/>
            <w:color w:val="auto"/>
            <w:sz w:val="28"/>
            <w:szCs w:val="28"/>
          </w:rPr>
          <w:t>http://www.azcourts.gov/Portals/20/2017%20Rules/17-0010.pdf</w:t>
        </w:r>
      </w:hyperlink>
      <w:r w:rsidRPr="009C1C6F">
        <w:rPr>
          <w:rFonts w:ascii="Century" w:hAnsi="Century"/>
          <w:sz w:val="28"/>
          <w:szCs w:val="28"/>
        </w:rPr>
        <w:t>.</w:t>
      </w:r>
      <w:proofErr w:type="gramEnd"/>
      <w:r w:rsidR="003617C0" w:rsidRPr="009C1C6F">
        <w:rPr>
          <w:rFonts w:ascii="Century" w:hAnsi="Century"/>
          <w:sz w:val="28"/>
          <w:szCs w:val="28"/>
        </w:rPr>
        <w:t xml:space="preserve"> </w:t>
      </w:r>
      <w:r w:rsidRPr="009C1C6F">
        <w:rPr>
          <w:rFonts w:ascii="Century" w:hAnsi="Century"/>
          <w:sz w:val="28"/>
          <w:szCs w:val="28"/>
        </w:rPr>
        <w:t xml:space="preserve"> </w:t>
      </w:r>
    </w:p>
  </w:footnote>
  <w:footnote w:id="3">
    <w:p w:rsidR="003617C0" w:rsidRPr="009C1C6F" w:rsidRDefault="00775DA5" w:rsidP="006D0F43">
      <w:pPr>
        <w:pStyle w:val="FootnoteText"/>
        <w:jc w:val="both"/>
        <w:rPr>
          <w:rFonts w:ascii="Century" w:hAnsi="Century"/>
          <w:i/>
          <w:sz w:val="28"/>
          <w:szCs w:val="28"/>
        </w:rPr>
      </w:pPr>
      <w:r w:rsidRPr="009C1C6F">
        <w:rPr>
          <w:rStyle w:val="FootnoteReference"/>
          <w:rFonts w:ascii="Century" w:hAnsi="Century"/>
          <w:sz w:val="28"/>
          <w:szCs w:val="28"/>
        </w:rPr>
        <w:footnoteRef/>
      </w:r>
      <w:r w:rsidRPr="009C1C6F">
        <w:rPr>
          <w:rFonts w:ascii="Century" w:hAnsi="Century"/>
          <w:sz w:val="28"/>
          <w:szCs w:val="28"/>
        </w:rPr>
        <w:t xml:space="preserve"> </w:t>
      </w:r>
      <w:r w:rsidRPr="009C1C6F">
        <w:rPr>
          <w:rFonts w:ascii="Century" w:hAnsi="Century"/>
          <w:i/>
          <w:sz w:val="28"/>
          <w:szCs w:val="28"/>
        </w:rPr>
        <w:t>Available at</w:t>
      </w:r>
    </w:p>
    <w:p w:rsidR="00775DA5" w:rsidRPr="009C1C6F" w:rsidRDefault="00CB0319" w:rsidP="009C1C6F">
      <w:pPr>
        <w:pStyle w:val="FootnoteText"/>
        <w:spacing w:after="120"/>
        <w:jc w:val="both"/>
        <w:rPr>
          <w:rFonts w:ascii="Century" w:hAnsi="Century"/>
          <w:sz w:val="28"/>
          <w:szCs w:val="28"/>
        </w:rPr>
      </w:pPr>
      <w:hyperlink r:id="rId2" w:history="1">
        <w:r w:rsidR="003617C0" w:rsidRPr="009C1C6F">
          <w:rPr>
            <w:rStyle w:val="Hyperlink"/>
            <w:rFonts w:ascii="Century" w:hAnsi="Century"/>
            <w:sz w:val="28"/>
            <w:szCs w:val="28"/>
          </w:rPr>
          <w:t>https://www.azcourts.gov/DesktopModules/ActiveForums/viewer.aspx?portalid=0&amp;moduleid=23621&amp;attachmentid=4870</w:t>
        </w:r>
      </w:hyperlink>
      <w:r w:rsidR="003617C0" w:rsidRPr="009C1C6F">
        <w:rPr>
          <w:rFonts w:ascii="Century" w:hAnsi="Century"/>
          <w:sz w:val="28"/>
          <w:szCs w:val="28"/>
        </w:rPr>
        <w:t xml:space="preserve">. </w:t>
      </w:r>
    </w:p>
  </w:footnote>
  <w:footnote w:id="4">
    <w:p w:rsidR="003617C0" w:rsidRPr="009C1C6F" w:rsidRDefault="00775DA5" w:rsidP="006D0F43">
      <w:pPr>
        <w:pStyle w:val="FootnoteText"/>
        <w:jc w:val="both"/>
        <w:rPr>
          <w:rFonts w:ascii="Century" w:hAnsi="Century"/>
          <w:i/>
          <w:sz w:val="28"/>
          <w:szCs w:val="28"/>
        </w:rPr>
      </w:pPr>
      <w:r w:rsidRPr="009C1C6F">
        <w:rPr>
          <w:rStyle w:val="FootnoteReference"/>
          <w:rFonts w:ascii="Century" w:hAnsi="Century"/>
          <w:sz w:val="28"/>
          <w:szCs w:val="28"/>
        </w:rPr>
        <w:footnoteRef/>
      </w:r>
      <w:r w:rsidRPr="009C1C6F">
        <w:rPr>
          <w:rFonts w:ascii="Century" w:hAnsi="Century"/>
          <w:sz w:val="28"/>
          <w:szCs w:val="28"/>
        </w:rPr>
        <w:t xml:space="preserve"> </w:t>
      </w:r>
      <w:r w:rsidRPr="009C1C6F">
        <w:rPr>
          <w:rFonts w:ascii="Century" w:hAnsi="Century"/>
          <w:i/>
          <w:sz w:val="28"/>
          <w:szCs w:val="28"/>
        </w:rPr>
        <w:t>See, e.g.</w:t>
      </w:r>
      <w:r w:rsidRPr="009C1C6F">
        <w:rPr>
          <w:rFonts w:ascii="Century" w:hAnsi="Century"/>
          <w:sz w:val="28"/>
          <w:szCs w:val="28"/>
        </w:rPr>
        <w:t xml:space="preserve">, Petitions, Comments, and Replies in R-15-0004 (Petition by State Bar of Arizona), R-15-0043 (Petition by Pima County Bar Association), and R-16-0010 (Petition of the Task Force on the Arizona Rules of Civil Procedure), </w:t>
      </w:r>
      <w:r w:rsidR="003617C0" w:rsidRPr="009C1C6F">
        <w:rPr>
          <w:rFonts w:ascii="Century" w:hAnsi="Century"/>
          <w:i/>
          <w:sz w:val="28"/>
          <w:szCs w:val="28"/>
        </w:rPr>
        <w:t xml:space="preserve">all </w:t>
      </w:r>
      <w:r w:rsidRPr="009C1C6F">
        <w:rPr>
          <w:rFonts w:ascii="Century" w:hAnsi="Century"/>
          <w:i/>
          <w:sz w:val="28"/>
          <w:szCs w:val="28"/>
        </w:rPr>
        <w:t>available at</w:t>
      </w:r>
    </w:p>
    <w:p w:rsidR="00775DA5" w:rsidRPr="009C1C6F" w:rsidRDefault="00CB0319" w:rsidP="009C1C6F">
      <w:pPr>
        <w:pStyle w:val="FootnoteText"/>
        <w:spacing w:after="120"/>
        <w:jc w:val="both"/>
        <w:rPr>
          <w:rFonts w:ascii="Century" w:hAnsi="Century"/>
          <w:sz w:val="28"/>
          <w:szCs w:val="28"/>
        </w:rPr>
      </w:pPr>
      <w:hyperlink r:id="rId3" w:history="1">
        <w:r w:rsidR="003617C0" w:rsidRPr="009C1C6F">
          <w:rPr>
            <w:rStyle w:val="Hyperlink"/>
            <w:rFonts w:ascii="Century" w:hAnsi="Century"/>
            <w:sz w:val="28"/>
            <w:szCs w:val="28"/>
          </w:rPr>
          <w:t>https://www.azcourts.gov/Rules-Forum/aff/118</w:t>
        </w:r>
      </w:hyperlink>
      <w:r w:rsidR="00775DA5" w:rsidRPr="009C1C6F">
        <w:rPr>
          <w:rFonts w:ascii="Century" w:hAnsi="Century"/>
          <w:sz w:val="28"/>
          <w:szCs w:val="28"/>
        </w:rPr>
        <w:t>.</w:t>
      </w:r>
      <w:r w:rsidR="003617C0" w:rsidRPr="009C1C6F">
        <w:rPr>
          <w:rFonts w:ascii="Century" w:hAnsi="Century"/>
          <w:sz w:val="28"/>
          <w:szCs w:val="28"/>
        </w:rPr>
        <w:t xml:space="preserve"> </w:t>
      </w:r>
    </w:p>
  </w:footnote>
  <w:footnote w:id="5">
    <w:p w:rsidR="00775DA5" w:rsidRPr="009C1C6F" w:rsidRDefault="00775DA5" w:rsidP="006D0F43">
      <w:pPr>
        <w:pStyle w:val="FootnoteText"/>
        <w:jc w:val="both"/>
        <w:rPr>
          <w:rFonts w:ascii="Century" w:hAnsi="Century"/>
          <w:sz w:val="28"/>
          <w:szCs w:val="28"/>
        </w:rPr>
      </w:pPr>
      <w:r w:rsidRPr="009C1C6F">
        <w:rPr>
          <w:rStyle w:val="FootnoteReference"/>
          <w:rFonts w:ascii="Century" w:hAnsi="Century"/>
          <w:sz w:val="28"/>
          <w:szCs w:val="28"/>
        </w:rPr>
        <w:footnoteRef/>
      </w:r>
      <w:r w:rsidRPr="009C1C6F">
        <w:rPr>
          <w:rFonts w:ascii="Century" w:hAnsi="Century"/>
          <w:i/>
          <w:sz w:val="28"/>
          <w:szCs w:val="28"/>
        </w:rPr>
        <w:t>Available at</w:t>
      </w:r>
      <w:r w:rsidRPr="009C1C6F">
        <w:rPr>
          <w:rFonts w:ascii="Century" w:hAnsi="Century"/>
          <w:sz w:val="28"/>
          <w:szCs w:val="28"/>
        </w:rPr>
        <w:t xml:space="preserve"> </w:t>
      </w:r>
    </w:p>
    <w:p w:rsidR="00775DA5" w:rsidRPr="009C1C6F" w:rsidRDefault="00CB0319" w:rsidP="009C1C6F">
      <w:pPr>
        <w:pStyle w:val="FootnoteText"/>
        <w:spacing w:after="120"/>
        <w:jc w:val="both"/>
        <w:rPr>
          <w:rFonts w:ascii="Century" w:hAnsi="Century"/>
          <w:sz w:val="28"/>
          <w:szCs w:val="28"/>
        </w:rPr>
      </w:pPr>
      <w:hyperlink r:id="rId4" w:history="1">
        <w:r w:rsidR="00775DA5" w:rsidRPr="009C1C6F">
          <w:rPr>
            <w:rStyle w:val="Hyperlink"/>
            <w:rFonts w:ascii="Century" w:hAnsi="Century"/>
            <w:sz w:val="28"/>
            <w:szCs w:val="28"/>
          </w:rPr>
          <w:t>https://www.azcourts.gov/DesktopModules/ActiveForums/viewer.aspx?portalid=0&amp;moduleid=23621&amp;attachmentid=5419</w:t>
        </w:r>
      </w:hyperlink>
      <w:r w:rsidR="00775DA5" w:rsidRPr="009C1C6F">
        <w:rPr>
          <w:rFonts w:ascii="Century" w:hAnsi="Century"/>
          <w:sz w:val="28"/>
          <w:szCs w:val="28"/>
        </w:rPr>
        <w:t xml:space="preserve">, (Appendix A to </w:t>
      </w:r>
      <w:proofErr w:type="spellStart"/>
      <w:r w:rsidR="00775DA5" w:rsidRPr="009C1C6F">
        <w:rPr>
          <w:rFonts w:ascii="Century" w:hAnsi="Century"/>
          <w:sz w:val="28"/>
          <w:szCs w:val="28"/>
        </w:rPr>
        <w:t>CCJR</w:t>
      </w:r>
      <w:proofErr w:type="spellEnd"/>
      <w:r w:rsidR="00775DA5" w:rsidRPr="009C1C6F">
        <w:rPr>
          <w:rFonts w:ascii="Century" w:hAnsi="Century"/>
          <w:sz w:val="28"/>
          <w:szCs w:val="28"/>
        </w:rPr>
        <w:t xml:space="preserve"> Reply in Support of Petition R-17-0010, at page 36).</w:t>
      </w:r>
    </w:p>
  </w:footnote>
  <w:footnote w:id="6">
    <w:p w:rsidR="00775DA5" w:rsidRPr="009C1C6F" w:rsidRDefault="00775DA5" w:rsidP="009C1C6F">
      <w:pPr>
        <w:pStyle w:val="FootnoteText"/>
        <w:spacing w:after="120"/>
        <w:jc w:val="both"/>
        <w:rPr>
          <w:rFonts w:ascii="Century" w:hAnsi="Century" w:cs="Arial"/>
          <w:sz w:val="28"/>
          <w:szCs w:val="28"/>
          <w:lang w:val="en"/>
        </w:rPr>
      </w:pPr>
      <w:r w:rsidRPr="009C1C6F">
        <w:rPr>
          <w:rStyle w:val="FootnoteReference"/>
          <w:rFonts w:ascii="Century" w:hAnsi="Century"/>
          <w:sz w:val="28"/>
          <w:szCs w:val="28"/>
        </w:rPr>
        <w:footnoteRef/>
      </w:r>
      <w:r w:rsidRPr="009C1C6F">
        <w:rPr>
          <w:rFonts w:ascii="Century" w:hAnsi="Century"/>
          <w:sz w:val="28"/>
          <w:szCs w:val="28"/>
        </w:rPr>
        <w:t xml:space="preserve"> Experimental Rule 8.1, Ariz. R. Civ. P., applies in counties that have established specialized courts for commercial cases. </w:t>
      </w:r>
      <w:proofErr w:type="gramStart"/>
      <w:r w:rsidRPr="009C1C6F">
        <w:rPr>
          <w:rFonts w:ascii="Century" w:hAnsi="Century"/>
          <w:sz w:val="28"/>
          <w:szCs w:val="28"/>
        </w:rPr>
        <w:t>Ariz. R. Civ. P. 8.1(a).</w:t>
      </w:r>
      <w:proofErr w:type="gramEnd"/>
      <w:r w:rsidRPr="009C1C6F">
        <w:rPr>
          <w:rFonts w:ascii="Century" w:hAnsi="Century"/>
          <w:sz w:val="28"/>
          <w:szCs w:val="28"/>
        </w:rPr>
        <w:t xml:space="preserve"> Rule 8.1(a)(3) defines a “business contract or transaction” as “</w:t>
      </w:r>
      <w:r w:rsidRPr="009C1C6F">
        <w:rPr>
          <w:rFonts w:ascii="Century" w:hAnsi="Century" w:cs="Arial"/>
          <w:sz w:val="28"/>
          <w:szCs w:val="28"/>
          <w:lang w:val="en"/>
        </w:rPr>
        <w:t xml:space="preserve">one in which a </w:t>
      </w:r>
      <w:r w:rsidRPr="009C1C6F">
        <w:rPr>
          <w:rFonts w:ascii="Century" w:hAnsi="Century" w:cs="Arial"/>
          <w:i/>
          <w:sz w:val="28"/>
          <w:szCs w:val="28"/>
          <w:lang w:val="en"/>
        </w:rPr>
        <w:t>business organization</w:t>
      </w:r>
      <w:r w:rsidRPr="009C1C6F">
        <w:rPr>
          <w:rFonts w:ascii="Century" w:hAnsi="Century" w:cs="Arial"/>
          <w:sz w:val="28"/>
          <w:szCs w:val="28"/>
          <w:lang w:val="en"/>
        </w:rPr>
        <w:t xml:space="preserve"> sold, purchased, licensed, transferred, or otherwise provided goods, materials, services, intellectual property, funds, realty, or other obligations.” (Emphasis added.) </w:t>
      </w:r>
    </w:p>
    <w:p w:rsidR="00775DA5" w:rsidRPr="009C1C6F" w:rsidRDefault="00775DA5" w:rsidP="009C1C6F">
      <w:pPr>
        <w:pStyle w:val="FootnoteText"/>
        <w:spacing w:after="120"/>
        <w:ind w:firstLine="720"/>
        <w:jc w:val="both"/>
        <w:rPr>
          <w:rFonts w:ascii="Century" w:hAnsi="Century" w:cs="Arial"/>
          <w:sz w:val="28"/>
          <w:szCs w:val="28"/>
          <w:lang w:val="en"/>
        </w:rPr>
      </w:pPr>
      <w:r w:rsidRPr="009C1C6F">
        <w:rPr>
          <w:rFonts w:ascii="Century" w:hAnsi="Century" w:cs="Arial"/>
          <w:sz w:val="28"/>
          <w:szCs w:val="28"/>
          <w:lang w:val="en"/>
        </w:rPr>
        <w:t xml:space="preserve">A “business organization,” then, is defined for purposes of the civil rules as including “a sole proprietorship, corporation, partnership, limited liability company, limited partnership, master limited partnership, professional association, joint venture, business trust, or a political subdivision or government entity that is a party to a business contract or transaction.” </w:t>
      </w:r>
    </w:p>
    <w:p w:rsidR="00775DA5" w:rsidRPr="009C1C6F" w:rsidRDefault="00775DA5" w:rsidP="009C1C6F">
      <w:pPr>
        <w:pStyle w:val="FootnoteText"/>
        <w:spacing w:after="120"/>
        <w:ind w:firstLine="720"/>
        <w:jc w:val="both"/>
        <w:rPr>
          <w:rFonts w:ascii="Century" w:hAnsi="Century"/>
          <w:sz w:val="28"/>
          <w:szCs w:val="28"/>
        </w:rPr>
      </w:pPr>
      <w:r w:rsidRPr="009C1C6F">
        <w:rPr>
          <w:rFonts w:ascii="Century" w:hAnsi="Century" w:cs="Arial"/>
          <w:sz w:val="28"/>
          <w:szCs w:val="28"/>
          <w:lang w:val="en"/>
        </w:rPr>
        <w:t xml:space="preserve">To be clear, the definition of a business organization “excludes an individual, a family trust, or a political subdivision or government entity that is not a party to a business contract or transaction.” </w:t>
      </w:r>
    </w:p>
  </w:footnote>
  <w:footnote w:id="7">
    <w:p w:rsidR="003D67B0" w:rsidRPr="009C1C6F" w:rsidRDefault="003D67B0" w:rsidP="006D0F43">
      <w:pPr>
        <w:pStyle w:val="FootnoteText"/>
        <w:jc w:val="both"/>
        <w:rPr>
          <w:rFonts w:ascii="Century" w:hAnsi="Century"/>
          <w:i/>
          <w:sz w:val="28"/>
          <w:szCs w:val="28"/>
        </w:rPr>
      </w:pPr>
      <w:r w:rsidRPr="009C1C6F">
        <w:rPr>
          <w:rStyle w:val="FootnoteReference"/>
          <w:rFonts w:ascii="Century" w:hAnsi="Century"/>
          <w:sz w:val="28"/>
          <w:szCs w:val="28"/>
        </w:rPr>
        <w:footnoteRef/>
      </w:r>
      <w:r w:rsidRPr="009C1C6F">
        <w:rPr>
          <w:rFonts w:ascii="Century" w:hAnsi="Century"/>
          <w:sz w:val="28"/>
          <w:szCs w:val="28"/>
        </w:rPr>
        <w:t xml:space="preserve"> </w:t>
      </w:r>
      <w:r w:rsidRPr="009C1C6F">
        <w:rPr>
          <w:rFonts w:ascii="Century" w:hAnsi="Century"/>
          <w:i/>
          <w:sz w:val="28"/>
          <w:szCs w:val="28"/>
        </w:rPr>
        <w:t>Available at</w:t>
      </w:r>
    </w:p>
    <w:p w:rsidR="003D67B0" w:rsidRPr="009C1C6F" w:rsidRDefault="00CB0319" w:rsidP="009C1C6F">
      <w:pPr>
        <w:pStyle w:val="FootnoteText"/>
        <w:spacing w:after="120"/>
        <w:rPr>
          <w:rFonts w:ascii="Century" w:hAnsi="Century"/>
          <w:sz w:val="28"/>
          <w:szCs w:val="28"/>
        </w:rPr>
      </w:pPr>
      <w:hyperlink r:id="rId5" w:history="1">
        <w:r w:rsidR="003D67B0" w:rsidRPr="009C1C6F">
          <w:rPr>
            <w:rStyle w:val="Hyperlink"/>
            <w:rFonts w:ascii="Century" w:hAnsi="Century"/>
            <w:sz w:val="28"/>
            <w:szCs w:val="28"/>
          </w:rPr>
          <w:t>https://www.azcourts.gov/DesktopModules/ActiveForums/viewer.aspx?portalid=0&amp;moduleid=23621&amp;attachmentid=5416</w:t>
        </w:r>
      </w:hyperlink>
      <w:r w:rsidR="003D67B0" w:rsidRPr="009C1C6F">
        <w:rPr>
          <w:rStyle w:val="Hyperlink"/>
          <w:rFonts w:ascii="Century" w:hAnsi="Century"/>
          <w:color w:val="auto"/>
          <w:sz w:val="28"/>
          <w:szCs w:val="28"/>
          <w:u w:val="none"/>
        </w:rPr>
        <w:t>.</w:t>
      </w:r>
    </w:p>
  </w:footnote>
  <w:footnote w:id="8">
    <w:p w:rsidR="00775DA5" w:rsidRPr="009C1C6F" w:rsidRDefault="00775DA5" w:rsidP="009C1C6F">
      <w:pPr>
        <w:pStyle w:val="FootnoteText"/>
        <w:spacing w:after="120"/>
        <w:jc w:val="both"/>
        <w:rPr>
          <w:rFonts w:ascii="Century" w:hAnsi="Century"/>
          <w:sz w:val="28"/>
          <w:szCs w:val="28"/>
        </w:rPr>
      </w:pPr>
      <w:r w:rsidRPr="009C1C6F">
        <w:rPr>
          <w:rStyle w:val="FootnoteReference"/>
          <w:rFonts w:ascii="Century" w:hAnsi="Century"/>
          <w:sz w:val="28"/>
          <w:szCs w:val="28"/>
        </w:rPr>
        <w:footnoteRef/>
      </w:r>
      <w:r w:rsidRPr="009C1C6F">
        <w:rPr>
          <w:rFonts w:ascii="Century" w:hAnsi="Century"/>
          <w:sz w:val="28"/>
          <w:szCs w:val="28"/>
        </w:rPr>
        <w:t xml:space="preserve"> The SBA might be described as somewhat lukewarm on the thrust of the </w:t>
      </w:r>
      <w:proofErr w:type="spellStart"/>
      <w:r w:rsidRPr="009C1C6F">
        <w:rPr>
          <w:rFonts w:ascii="Century" w:hAnsi="Century"/>
          <w:sz w:val="28"/>
          <w:szCs w:val="28"/>
        </w:rPr>
        <w:t>CCJR</w:t>
      </w:r>
      <w:proofErr w:type="spellEnd"/>
      <w:r w:rsidRPr="009C1C6F">
        <w:rPr>
          <w:rFonts w:ascii="Century" w:hAnsi="Century"/>
          <w:sz w:val="28"/>
          <w:szCs w:val="28"/>
        </w:rPr>
        <w:t xml:space="preserve"> proposals in general. Its comment notes that “[s]</w:t>
      </w:r>
      <w:proofErr w:type="spellStart"/>
      <w:r w:rsidRPr="009C1C6F">
        <w:rPr>
          <w:rFonts w:ascii="Century" w:hAnsi="Century"/>
          <w:sz w:val="28"/>
          <w:szCs w:val="28"/>
        </w:rPr>
        <w:t>eparate</w:t>
      </w:r>
      <w:proofErr w:type="spellEnd"/>
      <w:r w:rsidRPr="009C1C6F">
        <w:rPr>
          <w:rFonts w:ascii="Century" w:hAnsi="Century"/>
          <w:sz w:val="28"/>
          <w:szCs w:val="28"/>
        </w:rPr>
        <w:t xml:space="preserve"> and apart from misgivings about the </w:t>
      </w:r>
      <w:proofErr w:type="spellStart"/>
      <w:r w:rsidRPr="009C1C6F">
        <w:rPr>
          <w:rFonts w:ascii="Century" w:hAnsi="Century"/>
          <w:sz w:val="28"/>
          <w:szCs w:val="28"/>
        </w:rPr>
        <w:t>CCJR’s</w:t>
      </w:r>
      <w:proofErr w:type="spellEnd"/>
      <w:r w:rsidRPr="009C1C6F">
        <w:rPr>
          <w:rFonts w:ascii="Century" w:hAnsi="Century"/>
          <w:sz w:val="28"/>
          <w:szCs w:val="28"/>
        </w:rPr>
        <w:t xml:space="preserve"> </w:t>
      </w:r>
      <w:proofErr w:type="spellStart"/>
      <w:r w:rsidRPr="009C1C6F">
        <w:rPr>
          <w:rFonts w:ascii="Century" w:hAnsi="Century"/>
          <w:sz w:val="28"/>
          <w:szCs w:val="28"/>
        </w:rPr>
        <w:t>tiering</w:t>
      </w:r>
      <w:proofErr w:type="spellEnd"/>
      <w:r w:rsidRPr="009C1C6F">
        <w:rPr>
          <w:rFonts w:ascii="Century" w:hAnsi="Century"/>
          <w:sz w:val="28"/>
          <w:szCs w:val="28"/>
        </w:rPr>
        <w:t xml:space="preserve">, there is some opposition to the proposed </w:t>
      </w:r>
      <w:proofErr w:type="spellStart"/>
      <w:r w:rsidRPr="009C1C6F">
        <w:rPr>
          <w:rFonts w:ascii="Century" w:hAnsi="Century"/>
          <w:sz w:val="28"/>
          <w:szCs w:val="28"/>
        </w:rPr>
        <w:t>tiering</w:t>
      </w:r>
      <w:proofErr w:type="spellEnd"/>
      <w:r w:rsidRPr="009C1C6F">
        <w:rPr>
          <w:rFonts w:ascii="Century" w:hAnsi="Century"/>
          <w:sz w:val="28"/>
          <w:szCs w:val="28"/>
        </w:rPr>
        <w:t xml:space="preserve"> reform centered </w:t>
      </w:r>
      <w:proofErr w:type="gramStart"/>
      <w:r w:rsidRPr="009C1C6F">
        <w:rPr>
          <w:rFonts w:ascii="Century" w:hAnsi="Century"/>
          <w:sz w:val="28"/>
          <w:szCs w:val="28"/>
        </w:rPr>
        <w:t>around</w:t>
      </w:r>
      <w:proofErr w:type="gramEnd"/>
      <w:r w:rsidRPr="009C1C6F">
        <w:rPr>
          <w:rFonts w:ascii="Century" w:hAnsi="Century"/>
          <w:sz w:val="28"/>
          <w:szCs w:val="28"/>
        </w:rPr>
        <w:t xml:space="preserve"> a preference for the existing rule-se</w:t>
      </w:r>
      <w:r w:rsidR="008D1DAD" w:rsidRPr="009C1C6F">
        <w:rPr>
          <w:rFonts w:ascii="Century" w:hAnsi="Century"/>
          <w:sz w:val="28"/>
          <w:szCs w:val="28"/>
        </w:rPr>
        <w:t>t.</w:t>
      </w:r>
      <w:r w:rsidRPr="009C1C6F">
        <w:rPr>
          <w:rFonts w:ascii="Century" w:hAnsi="Century"/>
          <w:sz w:val="28"/>
          <w:szCs w:val="28"/>
        </w:rPr>
        <w:t xml:space="preserve">” Yet the Court largely adopted </w:t>
      </w:r>
      <w:proofErr w:type="spellStart"/>
      <w:r w:rsidRPr="009C1C6F">
        <w:rPr>
          <w:rFonts w:ascii="Century" w:hAnsi="Century"/>
          <w:sz w:val="28"/>
          <w:szCs w:val="28"/>
        </w:rPr>
        <w:t>CCJR</w:t>
      </w:r>
      <w:proofErr w:type="spellEnd"/>
      <w:r w:rsidRPr="009C1C6F">
        <w:rPr>
          <w:rFonts w:ascii="Century" w:hAnsi="Century"/>
          <w:sz w:val="28"/>
          <w:szCs w:val="28"/>
        </w:rPr>
        <w:t xml:space="preserve"> proposals </w:t>
      </w:r>
      <w:r w:rsidR="008D1DAD" w:rsidRPr="009C1C6F">
        <w:rPr>
          <w:rFonts w:ascii="Century" w:hAnsi="Century"/>
          <w:sz w:val="28"/>
          <w:szCs w:val="28"/>
        </w:rPr>
        <w:t xml:space="preserve">anyway, </w:t>
      </w:r>
      <w:r w:rsidR="00AB54CD" w:rsidRPr="009C1C6F">
        <w:rPr>
          <w:rFonts w:ascii="Century" w:hAnsi="Century"/>
          <w:sz w:val="28"/>
          <w:szCs w:val="28"/>
        </w:rPr>
        <w:t>with not-the-only-but-</w:t>
      </w:r>
      <w:r w:rsidRPr="009C1C6F">
        <w:rPr>
          <w:rFonts w:ascii="Century" w:hAnsi="Century"/>
          <w:sz w:val="28"/>
          <w:szCs w:val="28"/>
        </w:rPr>
        <w:t>perh</w:t>
      </w:r>
      <w:r w:rsidR="00AB54CD" w:rsidRPr="009C1C6F">
        <w:rPr>
          <w:rFonts w:ascii="Century" w:hAnsi="Century"/>
          <w:sz w:val="28"/>
          <w:szCs w:val="28"/>
        </w:rPr>
        <w:t>aps-the-most-</w:t>
      </w:r>
      <w:r w:rsidR="003345A9" w:rsidRPr="009C1C6F">
        <w:rPr>
          <w:rFonts w:ascii="Century" w:hAnsi="Century"/>
          <w:sz w:val="28"/>
          <w:szCs w:val="28"/>
        </w:rPr>
        <w:t xml:space="preserve">notable </w:t>
      </w:r>
      <w:r w:rsidRPr="009C1C6F">
        <w:rPr>
          <w:rFonts w:ascii="Century" w:hAnsi="Century"/>
          <w:sz w:val="28"/>
          <w:szCs w:val="28"/>
        </w:rPr>
        <w:t>exceptions being those proposals contained in this Petition.</w:t>
      </w:r>
    </w:p>
  </w:footnote>
  <w:footnote w:id="9">
    <w:p w:rsidR="00775DA5" w:rsidRPr="009C1C6F" w:rsidRDefault="00775DA5" w:rsidP="009C1C6F">
      <w:pPr>
        <w:pStyle w:val="FootnoteText"/>
        <w:spacing w:after="120"/>
        <w:jc w:val="both"/>
        <w:rPr>
          <w:rFonts w:ascii="Century" w:hAnsi="Century"/>
          <w:sz w:val="28"/>
          <w:szCs w:val="28"/>
        </w:rPr>
      </w:pPr>
      <w:r w:rsidRPr="009C1C6F">
        <w:rPr>
          <w:rStyle w:val="FootnoteReference"/>
          <w:rFonts w:ascii="Century" w:hAnsi="Century"/>
          <w:sz w:val="28"/>
          <w:szCs w:val="28"/>
        </w:rPr>
        <w:footnoteRef/>
      </w:r>
      <w:r w:rsidRPr="009C1C6F">
        <w:rPr>
          <w:rFonts w:ascii="Century" w:hAnsi="Century"/>
          <w:sz w:val="28"/>
          <w:szCs w:val="28"/>
        </w:rPr>
        <w:t xml:space="preserve"> The changes to Rule 111, of this Court’s rules, regarding citation of memorandum decisions (this Court’s order on Petition R-14-0004), are one example, and the experimental program now in effect allowing change of judge in eviction actions (this Court’s order on Petition R-16-0022)</w:t>
      </w:r>
      <w:r w:rsidR="00AB54CD" w:rsidRPr="009C1C6F">
        <w:rPr>
          <w:rFonts w:ascii="Century" w:hAnsi="Century"/>
          <w:sz w:val="28"/>
          <w:szCs w:val="28"/>
        </w:rPr>
        <w:t xml:space="preserve"> is</w:t>
      </w:r>
      <w:r w:rsidRPr="009C1C6F">
        <w:rPr>
          <w:rFonts w:ascii="Century" w:hAnsi="Century"/>
          <w:sz w:val="28"/>
          <w:szCs w:val="28"/>
        </w:rPr>
        <w:t xml:space="preserve"> another.</w:t>
      </w:r>
    </w:p>
  </w:footnote>
  <w:footnote w:id="10">
    <w:p w:rsidR="00775DA5" w:rsidRPr="009C1C6F" w:rsidRDefault="00775DA5" w:rsidP="009C1C6F">
      <w:pPr>
        <w:pStyle w:val="FootnoteText"/>
        <w:spacing w:after="120"/>
        <w:jc w:val="both"/>
        <w:rPr>
          <w:rFonts w:ascii="Century" w:hAnsi="Century"/>
          <w:sz w:val="28"/>
          <w:szCs w:val="28"/>
        </w:rPr>
      </w:pPr>
      <w:r w:rsidRPr="009C1C6F">
        <w:rPr>
          <w:rStyle w:val="FootnoteReference"/>
          <w:rFonts w:ascii="Century" w:hAnsi="Century"/>
          <w:sz w:val="28"/>
          <w:szCs w:val="28"/>
        </w:rPr>
        <w:footnoteRef/>
      </w:r>
      <w:r w:rsidRPr="009C1C6F">
        <w:rPr>
          <w:rFonts w:ascii="Century" w:hAnsi="Century"/>
          <w:sz w:val="28"/>
          <w:szCs w:val="28"/>
        </w:rPr>
        <w:t xml:space="preserve"> When the Task Force filed its Amended Petition and Reply, it proposed “may,” in the view that “the benefits of uniformity with Federal Rule 11 weigh in favor” of “</w:t>
      </w:r>
      <w:proofErr w:type="gramStart"/>
      <w:r w:rsidRPr="009C1C6F">
        <w:rPr>
          <w:rFonts w:ascii="Century" w:hAnsi="Century"/>
          <w:sz w:val="28"/>
          <w:szCs w:val="28"/>
        </w:rPr>
        <w:t>may</w:t>
      </w:r>
      <w:proofErr w:type="gramEnd"/>
      <w:r w:rsidRPr="009C1C6F">
        <w:rPr>
          <w:rFonts w:ascii="Century" w:hAnsi="Century"/>
          <w:sz w:val="28"/>
          <w:szCs w:val="28"/>
        </w:rPr>
        <w:t>” in place of “must.” (</w:t>
      </w:r>
      <w:r w:rsidRPr="009C1C6F">
        <w:rPr>
          <w:rFonts w:ascii="Century" w:hAnsi="Century"/>
          <w:i/>
          <w:sz w:val="28"/>
          <w:szCs w:val="28"/>
        </w:rPr>
        <w:t>See</w:t>
      </w:r>
      <w:r w:rsidRPr="009C1C6F">
        <w:rPr>
          <w:rFonts w:ascii="Century" w:hAnsi="Century"/>
          <w:sz w:val="28"/>
          <w:szCs w:val="28"/>
        </w:rPr>
        <w:t xml:space="preserve"> Am. </w:t>
      </w:r>
      <w:proofErr w:type="spellStart"/>
      <w:r w:rsidRPr="009C1C6F">
        <w:rPr>
          <w:rFonts w:ascii="Century" w:hAnsi="Century"/>
          <w:sz w:val="28"/>
          <w:szCs w:val="28"/>
        </w:rPr>
        <w:t>Pet’n</w:t>
      </w:r>
      <w:proofErr w:type="spellEnd"/>
      <w:r w:rsidRPr="009C1C6F">
        <w:rPr>
          <w:rFonts w:ascii="Century" w:hAnsi="Century"/>
          <w:sz w:val="28"/>
          <w:szCs w:val="28"/>
        </w:rPr>
        <w:t xml:space="preserve"> R-16-0010, </w:t>
      </w:r>
      <w:r w:rsidRPr="009C1C6F">
        <w:rPr>
          <w:rFonts w:ascii="Century" w:hAnsi="Century"/>
          <w:i/>
          <w:sz w:val="28"/>
          <w:szCs w:val="28"/>
        </w:rPr>
        <w:t>available at</w:t>
      </w:r>
      <w:r w:rsidRPr="009C1C6F">
        <w:rPr>
          <w:rFonts w:ascii="Century" w:hAnsi="Century"/>
          <w:sz w:val="28"/>
          <w:szCs w:val="28"/>
        </w:rPr>
        <w:t xml:space="preserve"> </w:t>
      </w:r>
      <w:hyperlink r:id="rId6" w:history="1">
        <w:r w:rsidRPr="009C1C6F">
          <w:rPr>
            <w:rStyle w:val="Hyperlink"/>
            <w:rFonts w:ascii="Century" w:hAnsi="Century"/>
            <w:sz w:val="28"/>
            <w:szCs w:val="28"/>
          </w:rPr>
          <w:t>https://www.azcourts.gov/Rules-Forum/aft/578</w:t>
        </w:r>
      </w:hyperlink>
      <w:r w:rsidRPr="009C1C6F">
        <w:rPr>
          <w:rFonts w:ascii="Century" w:hAnsi="Century"/>
          <w:sz w:val="28"/>
          <w:szCs w:val="28"/>
        </w:rPr>
        <w:t xml:space="preserve">.) </w:t>
      </w:r>
    </w:p>
  </w:footnote>
  <w:footnote w:id="11">
    <w:p w:rsidR="00775DA5" w:rsidRPr="009C1C6F" w:rsidRDefault="00775DA5" w:rsidP="009C1C6F">
      <w:pPr>
        <w:pStyle w:val="FootnoteText"/>
        <w:spacing w:after="120"/>
        <w:jc w:val="both"/>
        <w:rPr>
          <w:rFonts w:ascii="Century" w:hAnsi="Century"/>
          <w:sz w:val="28"/>
          <w:szCs w:val="28"/>
        </w:rPr>
      </w:pPr>
      <w:r w:rsidRPr="009C1C6F">
        <w:rPr>
          <w:rStyle w:val="FootnoteReference"/>
          <w:rFonts w:ascii="Century" w:hAnsi="Century"/>
          <w:sz w:val="28"/>
          <w:szCs w:val="28"/>
        </w:rPr>
        <w:footnoteRef/>
      </w:r>
      <w:r w:rsidRPr="009C1C6F">
        <w:rPr>
          <w:rFonts w:ascii="Century" w:hAnsi="Century"/>
          <w:sz w:val="28"/>
          <w:szCs w:val="28"/>
        </w:rPr>
        <w:t xml:space="preserve"> Commenters on R-17-0010 included such diverse and sophisticated entities and persons as </w:t>
      </w:r>
      <w:proofErr w:type="spellStart"/>
      <w:r w:rsidRPr="009C1C6F">
        <w:rPr>
          <w:rFonts w:ascii="Century" w:hAnsi="Century"/>
          <w:sz w:val="28"/>
          <w:szCs w:val="28"/>
        </w:rPr>
        <w:t>Aderant</w:t>
      </w:r>
      <w:proofErr w:type="spellEnd"/>
      <w:r w:rsidRPr="009C1C6F">
        <w:rPr>
          <w:rFonts w:ascii="Century" w:hAnsi="Century"/>
          <w:sz w:val="28"/>
          <w:szCs w:val="28"/>
        </w:rPr>
        <w:t xml:space="preserve"> </w:t>
      </w:r>
      <w:proofErr w:type="gramStart"/>
      <w:r w:rsidRPr="009C1C6F">
        <w:rPr>
          <w:rFonts w:ascii="Century" w:hAnsi="Century"/>
          <w:sz w:val="28"/>
          <w:szCs w:val="28"/>
        </w:rPr>
        <w:t>(a global</w:t>
      </w:r>
      <w:proofErr w:type="gramEnd"/>
      <w:r w:rsidRPr="009C1C6F">
        <w:rPr>
          <w:rFonts w:ascii="Century" w:hAnsi="Century"/>
          <w:sz w:val="28"/>
          <w:szCs w:val="28"/>
        </w:rPr>
        <w:t xml:space="preserve"> entity providing business management software), the Civil Department Presiding Judge in Maricopa County, the Arizona Association for Justice</w:t>
      </w:r>
      <w:r w:rsidR="00AB54CD" w:rsidRPr="009C1C6F">
        <w:rPr>
          <w:rFonts w:ascii="Century" w:hAnsi="Century"/>
          <w:sz w:val="28"/>
          <w:szCs w:val="28"/>
        </w:rPr>
        <w:t>’s</w:t>
      </w:r>
      <w:r w:rsidRPr="009C1C6F">
        <w:rPr>
          <w:rFonts w:ascii="Century" w:hAnsi="Century"/>
          <w:sz w:val="28"/>
          <w:szCs w:val="28"/>
        </w:rPr>
        <w:t xml:space="preserve"> own Committee on Civil Justice Reform, and Mutual Insurance Company of Arizona (MICA)</w:t>
      </w:r>
      <w:r w:rsidR="00F6155A" w:rsidRPr="009C1C6F">
        <w:rPr>
          <w:rFonts w:ascii="Century" w:hAnsi="Century"/>
          <w:sz w:val="28"/>
          <w:szCs w:val="28"/>
        </w:rPr>
        <w:t>, among others</w:t>
      </w:r>
      <w:r w:rsidRPr="009C1C6F">
        <w:rPr>
          <w:rFonts w:ascii="Century" w:hAnsi="Century"/>
          <w:sz w:val="28"/>
          <w:szCs w:val="28"/>
        </w:rPr>
        <w:t xml:space="preserve">. The MICA comment was signed by more than a dozen Arizona lawyers. No commenter other than the State Bar opposed the addition of Rule 26(b)(2)(D), and the State Bar comment was the second-to-last comment filed on the Petition, so it cannot be said that other commenters deferred to its opposition in lieu of bringing their own. </w:t>
      </w:r>
    </w:p>
  </w:footnote>
  <w:footnote w:id="12">
    <w:p w:rsidR="00775DA5" w:rsidRPr="009C1C6F" w:rsidRDefault="00775DA5" w:rsidP="009C1C6F">
      <w:pPr>
        <w:pStyle w:val="FootnoteText"/>
        <w:spacing w:after="120"/>
        <w:jc w:val="both"/>
        <w:rPr>
          <w:rFonts w:ascii="Century" w:hAnsi="Century"/>
          <w:sz w:val="28"/>
          <w:szCs w:val="28"/>
        </w:rPr>
      </w:pPr>
      <w:r w:rsidRPr="009C1C6F">
        <w:rPr>
          <w:rStyle w:val="FootnoteReference"/>
          <w:rFonts w:ascii="Century" w:hAnsi="Century"/>
          <w:sz w:val="28"/>
          <w:szCs w:val="28"/>
        </w:rPr>
        <w:footnoteRef/>
      </w:r>
      <w:r w:rsidRPr="009C1C6F">
        <w:rPr>
          <w:rFonts w:ascii="Century" w:hAnsi="Century"/>
          <w:sz w:val="28"/>
          <w:szCs w:val="28"/>
        </w:rPr>
        <w:t xml:space="preserve"> With the exceptions of Arkansas and Louisiana, those states are all reciprocal jurisdictions to Arizona, meaning they allow for admission of Arizona lawyers on a basis similar to that on which Arizona admits lawyers on motion. Ariz. R. Supreme Ct. 34(f</w:t>
      </w:r>
      <w:proofErr w:type="gramStart"/>
      <w:r w:rsidRPr="009C1C6F">
        <w:rPr>
          <w:rFonts w:ascii="Century" w:hAnsi="Century"/>
          <w:sz w:val="28"/>
          <w:szCs w:val="28"/>
        </w:rPr>
        <w:t>)(</w:t>
      </w:r>
      <w:proofErr w:type="gramEnd"/>
      <w:r w:rsidRPr="009C1C6F">
        <w:rPr>
          <w:rFonts w:ascii="Century" w:hAnsi="Century"/>
          <w:sz w:val="28"/>
          <w:szCs w:val="28"/>
        </w:rPr>
        <w:t xml:space="preserve">1)(A); </w:t>
      </w:r>
      <w:r w:rsidRPr="009C1C6F">
        <w:rPr>
          <w:rFonts w:ascii="Century" w:hAnsi="Century"/>
          <w:i/>
          <w:sz w:val="28"/>
          <w:szCs w:val="28"/>
        </w:rPr>
        <w:t>see also</w:t>
      </w:r>
      <w:r w:rsidRPr="009C1C6F">
        <w:rPr>
          <w:rFonts w:ascii="Century" w:hAnsi="Century"/>
          <w:sz w:val="28"/>
          <w:szCs w:val="28"/>
        </w:rPr>
        <w:t xml:space="preserve"> “List of Reciprocal and Non-Reciprocal Jurisdictions with Arizona for Admission on Motion,” </w:t>
      </w:r>
      <w:r w:rsidRPr="009C1C6F">
        <w:rPr>
          <w:rFonts w:ascii="Century" w:hAnsi="Century"/>
          <w:i/>
          <w:sz w:val="28"/>
          <w:szCs w:val="28"/>
        </w:rPr>
        <w:t>available at</w:t>
      </w:r>
      <w:r w:rsidRPr="009C1C6F">
        <w:rPr>
          <w:rFonts w:ascii="Century" w:hAnsi="Century"/>
          <w:sz w:val="28"/>
          <w:szCs w:val="28"/>
        </w:rPr>
        <w:t xml:space="preserve"> </w:t>
      </w:r>
      <w:hyperlink r:id="rId7" w:history="1">
        <w:r w:rsidRPr="009C1C6F">
          <w:rPr>
            <w:rStyle w:val="Hyperlink"/>
            <w:rFonts w:ascii="Century" w:hAnsi="Century"/>
            <w:sz w:val="28"/>
            <w:szCs w:val="28"/>
          </w:rPr>
          <w:t>http://www.azcourts.gov/Portals/26/AOM/Reciprocal_AndNON2016JULY12.pdf</w:t>
        </w:r>
      </w:hyperlink>
      <w:r w:rsidRPr="009C1C6F">
        <w:rPr>
          <w:rFonts w:ascii="Century" w:hAnsi="Century"/>
          <w:sz w:val="28"/>
          <w:szCs w:val="28"/>
        </w:rPr>
        <w:t xml:space="preserve">. Given the certainty that a mandatory—rather than discretionary—sanctions regime would provide to both lawyers and clients in Arizona, the state should join its largely reciprocal brethren in maintaining the mandatory sanctions provision in its Rule 11(c).   </w:t>
      </w:r>
    </w:p>
  </w:footnote>
  <w:footnote w:id="13">
    <w:p w:rsidR="00775DA5" w:rsidRPr="009C1C6F" w:rsidRDefault="00775DA5" w:rsidP="009C1C6F">
      <w:pPr>
        <w:pStyle w:val="FootnoteText"/>
        <w:spacing w:after="120"/>
        <w:jc w:val="both"/>
        <w:rPr>
          <w:rFonts w:ascii="Century" w:hAnsi="Century"/>
          <w:sz w:val="28"/>
          <w:szCs w:val="28"/>
        </w:rPr>
      </w:pPr>
      <w:r w:rsidRPr="009C1C6F">
        <w:rPr>
          <w:rStyle w:val="FootnoteReference"/>
          <w:rFonts w:ascii="Century" w:hAnsi="Century"/>
          <w:sz w:val="28"/>
          <w:szCs w:val="28"/>
        </w:rPr>
        <w:footnoteRef/>
      </w:r>
      <w:r w:rsidRPr="009C1C6F">
        <w:rPr>
          <w:rFonts w:ascii="Century" w:hAnsi="Century"/>
          <w:sz w:val="28"/>
          <w:szCs w:val="28"/>
        </w:rPr>
        <w:t xml:space="preserve"> </w:t>
      </w:r>
      <w:r w:rsidRPr="009C1C6F">
        <w:rPr>
          <w:rFonts w:ascii="Century" w:hAnsi="Century"/>
          <w:i/>
          <w:sz w:val="28"/>
          <w:szCs w:val="28"/>
        </w:rPr>
        <w:t>See</w:t>
      </w:r>
      <w:r w:rsidRPr="009C1C6F">
        <w:rPr>
          <w:rFonts w:ascii="Century" w:hAnsi="Century"/>
          <w:sz w:val="28"/>
          <w:szCs w:val="28"/>
        </w:rPr>
        <w:t xml:space="preserve"> Ark. R. Civ. P. 11(c); Colo. R. Civ. P. 11(a); Iowa Code Ann. R. 1.413(1); Ky. Rule Civ. P. 11; La. Code Civ. P. art. </w:t>
      </w:r>
      <w:proofErr w:type="gramStart"/>
      <w:r w:rsidRPr="009C1C6F">
        <w:rPr>
          <w:rFonts w:ascii="Century" w:hAnsi="Century"/>
          <w:sz w:val="28"/>
          <w:szCs w:val="28"/>
        </w:rPr>
        <w:t xml:space="preserve">863(D); Mich. Ct. R. 2.114(E); Neb. Rev. St. § 25-824(4); North Carolina R. Civ. P. 11(a); 12 </w:t>
      </w:r>
      <w:proofErr w:type="spellStart"/>
      <w:r w:rsidRPr="009C1C6F">
        <w:rPr>
          <w:rFonts w:ascii="Century" w:hAnsi="Century"/>
          <w:sz w:val="28"/>
          <w:szCs w:val="28"/>
        </w:rPr>
        <w:t>Okl</w:t>
      </w:r>
      <w:proofErr w:type="spellEnd"/>
      <w:r w:rsidRPr="009C1C6F">
        <w:rPr>
          <w:rFonts w:ascii="Century" w:hAnsi="Century"/>
          <w:sz w:val="28"/>
          <w:szCs w:val="28"/>
        </w:rPr>
        <w:t>.</w:t>
      </w:r>
      <w:proofErr w:type="gramEnd"/>
      <w:r w:rsidRPr="009C1C6F">
        <w:rPr>
          <w:rFonts w:ascii="Century" w:hAnsi="Century"/>
          <w:sz w:val="28"/>
          <w:szCs w:val="28"/>
        </w:rPr>
        <w:t xml:space="preserve"> St. Ann. § 2011(C); Tex. R. Civ. P. 13. </w:t>
      </w:r>
    </w:p>
  </w:footnote>
  <w:footnote w:id="14">
    <w:p w:rsidR="00775DA5" w:rsidRPr="009C1C6F" w:rsidRDefault="00775DA5" w:rsidP="009C1C6F">
      <w:pPr>
        <w:pStyle w:val="FootnoteText"/>
        <w:spacing w:after="120"/>
        <w:jc w:val="both"/>
        <w:rPr>
          <w:rFonts w:ascii="Century" w:hAnsi="Century"/>
          <w:sz w:val="28"/>
          <w:szCs w:val="28"/>
        </w:rPr>
      </w:pPr>
      <w:r w:rsidRPr="009C1C6F">
        <w:rPr>
          <w:rStyle w:val="FootnoteReference"/>
          <w:rFonts w:ascii="Century" w:hAnsi="Century"/>
          <w:sz w:val="28"/>
          <w:szCs w:val="28"/>
        </w:rPr>
        <w:footnoteRef/>
      </w:r>
      <w:r w:rsidR="00FC2F27" w:rsidRPr="009C1C6F">
        <w:rPr>
          <w:rFonts w:ascii="Century" w:hAnsi="Century"/>
          <w:sz w:val="28"/>
          <w:szCs w:val="28"/>
        </w:rPr>
        <w:t xml:space="preserve"> Sense 1 is “</w:t>
      </w:r>
      <w:r w:rsidRPr="009C1C6F">
        <w:rPr>
          <w:rFonts w:ascii="Century" w:hAnsi="Century"/>
          <w:sz w:val="28"/>
          <w:szCs w:val="28"/>
        </w:rPr>
        <w:t>Has a duty to; more broadly, is required to  . . . This is the mandatory sense that drafters typically intend and that courts typically uphold.”</w:t>
      </w:r>
    </w:p>
  </w:footnote>
  <w:footnote w:id="15">
    <w:p w:rsidR="00CD2DEA" w:rsidRPr="009C1C6F" w:rsidRDefault="00CD2DEA" w:rsidP="00A860D6">
      <w:pPr>
        <w:pStyle w:val="FootnoteText"/>
        <w:jc w:val="both"/>
        <w:rPr>
          <w:rFonts w:ascii="Century" w:hAnsi="Century"/>
          <w:i/>
          <w:sz w:val="28"/>
          <w:szCs w:val="28"/>
        </w:rPr>
      </w:pPr>
      <w:r w:rsidRPr="009C1C6F">
        <w:rPr>
          <w:rStyle w:val="FootnoteReference"/>
          <w:rFonts w:ascii="Century" w:hAnsi="Century"/>
          <w:sz w:val="28"/>
          <w:szCs w:val="28"/>
        </w:rPr>
        <w:footnoteRef/>
      </w:r>
      <w:r w:rsidRPr="009C1C6F">
        <w:rPr>
          <w:rFonts w:ascii="Century" w:hAnsi="Century"/>
          <w:sz w:val="28"/>
          <w:szCs w:val="28"/>
        </w:rPr>
        <w:t xml:space="preserve"> </w:t>
      </w:r>
      <w:r w:rsidRPr="009C1C6F">
        <w:rPr>
          <w:rFonts w:ascii="Century" w:hAnsi="Century"/>
          <w:i/>
          <w:sz w:val="28"/>
          <w:szCs w:val="28"/>
        </w:rPr>
        <w:t>Available at</w:t>
      </w:r>
    </w:p>
    <w:p w:rsidR="00CD2DEA" w:rsidRPr="009C1C6F" w:rsidRDefault="00CB0319" w:rsidP="009C1C6F">
      <w:pPr>
        <w:pStyle w:val="FootnoteText"/>
        <w:spacing w:after="120"/>
        <w:jc w:val="both"/>
        <w:rPr>
          <w:rFonts w:ascii="Century" w:hAnsi="Century"/>
          <w:sz w:val="28"/>
          <w:szCs w:val="28"/>
        </w:rPr>
      </w:pPr>
      <w:hyperlink r:id="rId8" w:history="1">
        <w:r w:rsidR="00CD2DEA" w:rsidRPr="009C1C6F">
          <w:rPr>
            <w:rStyle w:val="Hyperlink"/>
            <w:rFonts w:ascii="Century" w:hAnsi="Century"/>
            <w:sz w:val="28"/>
            <w:szCs w:val="28"/>
          </w:rPr>
          <w:t>http://www.azcourts.gov/Portals/74/CJRC/Master%20CJRC%20Final%20Report%20and%20Recommendations.pdf</w:t>
        </w:r>
      </w:hyperlink>
      <w:r w:rsidR="00CD2DEA" w:rsidRPr="009C1C6F">
        <w:rPr>
          <w:rFonts w:ascii="Century" w:hAnsi="Century"/>
          <w:sz w:val="28"/>
          <w:szCs w:val="28"/>
        </w:rPr>
        <w:t xml:space="preserve">. </w:t>
      </w:r>
    </w:p>
  </w:footnote>
  <w:footnote w:id="16">
    <w:p w:rsidR="00775DA5" w:rsidRPr="009C1C6F" w:rsidRDefault="00775DA5" w:rsidP="009C1C6F">
      <w:pPr>
        <w:pStyle w:val="FootnoteText"/>
        <w:spacing w:after="120"/>
        <w:jc w:val="both"/>
        <w:rPr>
          <w:rFonts w:ascii="Century" w:hAnsi="Century"/>
          <w:sz w:val="28"/>
          <w:szCs w:val="28"/>
        </w:rPr>
      </w:pPr>
      <w:r w:rsidRPr="009C1C6F">
        <w:rPr>
          <w:rStyle w:val="FootnoteReference"/>
          <w:rFonts w:ascii="Century" w:hAnsi="Century"/>
          <w:sz w:val="28"/>
          <w:szCs w:val="28"/>
        </w:rPr>
        <w:footnoteRef/>
      </w:r>
      <w:r w:rsidRPr="009C1C6F">
        <w:rPr>
          <w:rFonts w:ascii="Century" w:hAnsi="Century"/>
          <w:sz w:val="28"/>
          <w:szCs w:val="28"/>
        </w:rPr>
        <w:t xml:space="preserve"> Entitled “Failure to Preserve Electronically Stored Information,” and also proposed</w:t>
      </w:r>
      <w:r w:rsidR="006D6AEB" w:rsidRPr="009C1C6F">
        <w:rPr>
          <w:rFonts w:ascii="Century" w:hAnsi="Century"/>
          <w:sz w:val="28"/>
          <w:szCs w:val="28"/>
        </w:rPr>
        <w:t xml:space="preserve"> to be modified by the </w:t>
      </w:r>
      <w:proofErr w:type="spellStart"/>
      <w:r w:rsidR="006D6AEB" w:rsidRPr="009C1C6F">
        <w:rPr>
          <w:rFonts w:ascii="Century" w:hAnsi="Century"/>
          <w:sz w:val="28"/>
          <w:szCs w:val="28"/>
        </w:rPr>
        <w:t>CCJR</w:t>
      </w:r>
      <w:proofErr w:type="spellEnd"/>
      <w:r w:rsidR="006D6AEB" w:rsidRPr="009C1C6F">
        <w:rPr>
          <w:rFonts w:ascii="Century" w:hAnsi="Century"/>
          <w:sz w:val="28"/>
          <w:szCs w:val="28"/>
        </w:rPr>
        <w:t>, which modifications were</w:t>
      </w:r>
      <w:r w:rsidRPr="009C1C6F">
        <w:rPr>
          <w:rFonts w:ascii="Century" w:hAnsi="Century"/>
          <w:sz w:val="28"/>
          <w:szCs w:val="28"/>
        </w:rPr>
        <w:t xml:space="preserve"> thereafter adopted by the Court.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7711D"/>
    <w:multiLevelType w:val="hybridMultilevel"/>
    <w:tmpl w:val="5D46D272"/>
    <w:lvl w:ilvl="0" w:tplc="4BC40006">
      <w:start w:val="1"/>
      <w:numFmt w:val="bullet"/>
      <w:lvlText w:val=""/>
      <w:lvlJc w:val="left"/>
      <w:pPr>
        <w:ind w:left="720" w:hanging="360"/>
      </w:pPr>
      <w:rPr>
        <w:rFonts w:ascii="Symbol" w:hAnsi="Symbol" w:hint="default"/>
      </w:rPr>
    </w:lvl>
    <w:lvl w:ilvl="1" w:tplc="2F925132" w:tentative="1">
      <w:start w:val="1"/>
      <w:numFmt w:val="bullet"/>
      <w:lvlText w:val="o"/>
      <w:lvlJc w:val="left"/>
      <w:pPr>
        <w:ind w:left="1440" w:hanging="360"/>
      </w:pPr>
      <w:rPr>
        <w:rFonts w:ascii="Courier New" w:hAnsi="Courier New" w:cs="Courier New" w:hint="default"/>
      </w:rPr>
    </w:lvl>
    <w:lvl w:ilvl="2" w:tplc="64881D9C" w:tentative="1">
      <w:start w:val="1"/>
      <w:numFmt w:val="bullet"/>
      <w:lvlText w:val=""/>
      <w:lvlJc w:val="left"/>
      <w:pPr>
        <w:ind w:left="2160" w:hanging="360"/>
      </w:pPr>
      <w:rPr>
        <w:rFonts w:ascii="Wingdings" w:hAnsi="Wingdings" w:hint="default"/>
      </w:rPr>
    </w:lvl>
    <w:lvl w:ilvl="3" w:tplc="447CD8A2" w:tentative="1">
      <w:start w:val="1"/>
      <w:numFmt w:val="bullet"/>
      <w:lvlText w:val=""/>
      <w:lvlJc w:val="left"/>
      <w:pPr>
        <w:ind w:left="2880" w:hanging="360"/>
      </w:pPr>
      <w:rPr>
        <w:rFonts w:ascii="Symbol" w:hAnsi="Symbol" w:hint="default"/>
      </w:rPr>
    </w:lvl>
    <w:lvl w:ilvl="4" w:tplc="51CEA17C" w:tentative="1">
      <w:start w:val="1"/>
      <w:numFmt w:val="bullet"/>
      <w:lvlText w:val="o"/>
      <w:lvlJc w:val="left"/>
      <w:pPr>
        <w:ind w:left="3600" w:hanging="360"/>
      </w:pPr>
      <w:rPr>
        <w:rFonts w:ascii="Courier New" w:hAnsi="Courier New" w:cs="Courier New" w:hint="default"/>
      </w:rPr>
    </w:lvl>
    <w:lvl w:ilvl="5" w:tplc="82962288" w:tentative="1">
      <w:start w:val="1"/>
      <w:numFmt w:val="bullet"/>
      <w:lvlText w:val=""/>
      <w:lvlJc w:val="left"/>
      <w:pPr>
        <w:ind w:left="4320" w:hanging="360"/>
      </w:pPr>
      <w:rPr>
        <w:rFonts w:ascii="Wingdings" w:hAnsi="Wingdings" w:hint="default"/>
      </w:rPr>
    </w:lvl>
    <w:lvl w:ilvl="6" w:tplc="1A848822" w:tentative="1">
      <w:start w:val="1"/>
      <w:numFmt w:val="bullet"/>
      <w:lvlText w:val=""/>
      <w:lvlJc w:val="left"/>
      <w:pPr>
        <w:ind w:left="5040" w:hanging="360"/>
      </w:pPr>
      <w:rPr>
        <w:rFonts w:ascii="Symbol" w:hAnsi="Symbol" w:hint="default"/>
      </w:rPr>
    </w:lvl>
    <w:lvl w:ilvl="7" w:tplc="EBE67784" w:tentative="1">
      <w:start w:val="1"/>
      <w:numFmt w:val="bullet"/>
      <w:lvlText w:val="o"/>
      <w:lvlJc w:val="left"/>
      <w:pPr>
        <w:ind w:left="5760" w:hanging="360"/>
      </w:pPr>
      <w:rPr>
        <w:rFonts w:ascii="Courier New" w:hAnsi="Courier New" w:cs="Courier New" w:hint="default"/>
      </w:rPr>
    </w:lvl>
    <w:lvl w:ilvl="8" w:tplc="766CA87E" w:tentative="1">
      <w:start w:val="1"/>
      <w:numFmt w:val="bullet"/>
      <w:lvlText w:val=""/>
      <w:lvlJc w:val="left"/>
      <w:pPr>
        <w:ind w:left="6480" w:hanging="360"/>
      </w:pPr>
      <w:rPr>
        <w:rFonts w:ascii="Wingdings" w:hAnsi="Wingdings" w:hint="default"/>
      </w:rPr>
    </w:lvl>
  </w:abstractNum>
  <w:abstractNum w:abstractNumId="1">
    <w:nsid w:val="4021656F"/>
    <w:multiLevelType w:val="hybridMultilevel"/>
    <w:tmpl w:val="F3523948"/>
    <w:lvl w:ilvl="0" w:tplc="88327F86">
      <w:start w:val="1"/>
      <w:numFmt w:val="decimal"/>
      <w:lvlText w:val="%1)"/>
      <w:lvlJc w:val="left"/>
      <w:pPr>
        <w:ind w:left="720" w:hanging="360"/>
      </w:pPr>
      <w:rPr>
        <w:rFonts w:hint="default"/>
      </w:rPr>
    </w:lvl>
    <w:lvl w:ilvl="1" w:tplc="963A9986" w:tentative="1">
      <w:start w:val="1"/>
      <w:numFmt w:val="lowerLetter"/>
      <w:lvlText w:val="%2."/>
      <w:lvlJc w:val="left"/>
      <w:pPr>
        <w:ind w:left="1440" w:hanging="360"/>
      </w:pPr>
    </w:lvl>
    <w:lvl w:ilvl="2" w:tplc="45FE9DDE" w:tentative="1">
      <w:start w:val="1"/>
      <w:numFmt w:val="lowerRoman"/>
      <w:lvlText w:val="%3."/>
      <w:lvlJc w:val="right"/>
      <w:pPr>
        <w:ind w:left="2160" w:hanging="180"/>
      </w:pPr>
    </w:lvl>
    <w:lvl w:ilvl="3" w:tplc="CD085992" w:tentative="1">
      <w:start w:val="1"/>
      <w:numFmt w:val="decimal"/>
      <w:lvlText w:val="%4."/>
      <w:lvlJc w:val="left"/>
      <w:pPr>
        <w:ind w:left="2880" w:hanging="360"/>
      </w:pPr>
    </w:lvl>
    <w:lvl w:ilvl="4" w:tplc="B5F2A04A" w:tentative="1">
      <w:start w:val="1"/>
      <w:numFmt w:val="lowerLetter"/>
      <w:lvlText w:val="%5."/>
      <w:lvlJc w:val="left"/>
      <w:pPr>
        <w:ind w:left="3600" w:hanging="360"/>
      </w:pPr>
    </w:lvl>
    <w:lvl w:ilvl="5" w:tplc="DEA88DBA" w:tentative="1">
      <w:start w:val="1"/>
      <w:numFmt w:val="lowerRoman"/>
      <w:lvlText w:val="%6."/>
      <w:lvlJc w:val="right"/>
      <w:pPr>
        <w:ind w:left="4320" w:hanging="180"/>
      </w:pPr>
    </w:lvl>
    <w:lvl w:ilvl="6" w:tplc="89FC19A8" w:tentative="1">
      <w:start w:val="1"/>
      <w:numFmt w:val="decimal"/>
      <w:lvlText w:val="%7."/>
      <w:lvlJc w:val="left"/>
      <w:pPr>
        <w:ind w:left="5040" w:hanging="360"/>
      </w:pPr>
    </w:lvl>
    <w:lvl w:ilvl="7" w:tplc="B6345662" w:tentative="1">
      <w:start w:val="1"/>
      <w:numFmt w:val="lowerLetter"/>
      <w:lvlText w:val="%8."/>
      <w:lvlJc w:val="left"/>
      <w:pPr>
        <w:ind w:left="5760" w:hanging="360"/>
      </w:pPr>
    </w:lvl>
    <w:lvl w:ilvl="8" w:tplc="76DC4A30" w:tentative="1">
      <w:start w:val="1"/>
      <w:numFmt w:val="lowerRoman"/>
      <w:lvlText w:val="%9."/>
      <w:lvlJc w:val="right"/>
      <w:pPr>
        <w:ind w:left="6480" w:hanging="180"/>
      </w:pPr>
    </w:lvl>
  </w:abstractNum>
  <w:abstractNum w:abstractNumId="2">
    <w:nsid w:val="56D60837"/>
    <w:multiLevelType w:val="hybridMultilevel"/>
    <w:tmpl w:val="A766698A"/>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3">
    <w:nsid w:val="62E41317"/>
    <w:multiLevelType w:val="multilevel"/>
    <w:tmpl w:val="012AE074"/>
    <w:name w:val="zzmpPleading1||Pleading1|2|1|1|1|4|45||1|4|37||1|4|32||1|4|32||1|4|32||1|4|32||1|4|32||1|4|32||1|4|32||"/>
    <w:lvl w:ilvl="0">
      <w:start w:val="1"/>
      <w:numFmt w:val="upperRoman"/>
      <w:pStyle w:val="Pleading1L1"/>
      <w:lvlText w:val="%1."/>
      <w:lvlJc w:val="left"/>
      <w:pPr>
        <w:tabs>
          <w:tab w:val="num" w:pos="720"/>
        </w:tabs>
        <w:ind w:left="720" w:hanging="72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1L2"/>
      <w:lvlText w:val="%2."/>
      <w:lvlJc w:val="left"/>
      <w:pPr>
        <w:tabs>
          <w:tab w:val="num" w:pos="1440"/>
        </w:tabs>
        <w:ind w:left="1440" w:hanging="72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1L3"/>
      <w:lvlText w:val="%3."/>
      <w:lvlJc w:val="left"/>
      <w:pPr>
        <w:tabs>
          <w:tab w:val="num" w:pos="2160"/>
        </w:tabs>
        <w:ind w:left="21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1L4"/>
      <w:lvlText w:val="%4."/>
      <w:lvlJc w:val="left"/>
      <w:pPr>
        <w:tabs>
          <w:tab w:val="num" w:pos="2880"/>
        </w:tabs>
        <w:ind w:left="28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1L5"/>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1L6"/>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1L7"/>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1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1L9"/>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0"/>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Temp" w:val="ndOffice||ID~4814-7259-9375||Version~1||Cabinet~NG-5ORJJGOT||FileName~Petition for Amendments to Rules 11, 26.docx||LastModified~9/18/2017 4:08:26 PM||Client~SW001||Matter~27797||Author~Agne, Sara||Document Type~Pleadings||"/>
    <w:docVar w:name="zzmp10LastTrailerInserted" w:val="^`~#mp!@-X⌛#R├┦;?6ŕm_⌔•R⌚NÁ­pð⌆Ś´¦ŚF1Ð&quot;!¬5⌍I⌑ú⌄ÒbY@sñv‸ðClèàKwÐ⌆]8À®b,Ü…á}d)ÚU ⌏=,ÝÒ*½⌈ℤð¶⌇Rµ‣_ƆÒˈ¼‖¾p⌉r·⌏ùÑt¥-2¼¼x³zzß⌊ÁÃ³Æ5þX⌊9⌅ÜſÝLæ{e#Ï±Þþ&quot;e:n9&gt;ƚTi¿8Á6s‟àv\[⌃ÑÃV¬L\Ɔ⌆özÖ⌘Sò:6»ØR@·ÏgoìE6ÄXuª₴®Wí⌟OÿIäO66V011"/>
    <w:docVar w:name="zzmp10LastTrailerInserted_1079" w:val="^`~#mp!@-X⌛#R├┦;?6ŕm_⌔•R⌚NÁ­pð⌆Ś´¦ŚF1Ð&quot;!¬5⌍I⌑ú⌄ÒbY@sñv‸ðClèàKwÐ⌆]8À®b,Ü…á}d)ÚU ⌏=,ÝÒ*½⌈ℤð¶⌇Rµ‣_ƆÒˈ¼‖¾p⌉r·⌏ùÑt¥-2¼¼x³zzß⌊ÁÃ³Æ5þX⌊9⌅ÜſÝLæ{e#Ï±Þþ&quot;e:n9&gt;ƚTi¿8Á6s‟àv\[⌃ÑÃV¬L\Ɔ⌆özÖ⌘Sò:6»ØR@·ÏgoìE6ÄXuª₴®Wí⌟OÿIäO66V011"/>
    <w:docVar w:name="zzmp10mSEGsValidated" w:val="1"/>
  </w:docVars>
  <w:rsids>
    <w:rsidRoot w:val="00F02A99"/>
    <w:rsid w:val="00051EF7"/>
    <w:rsid w:val="000775EA"/>
    <w:rsid w:val="000875B7"/>
    <w:rsid w:val="00095E90"/>
    <w:rsid w:val="000B7762"/>
    <w:rsid w:val="000E41F7"/>
    <w:rsid w:val="000F5D68"/>
    <w:rsid w:val="00106B65"/>
    <w:rsid w:val="00122027"/>
    <w:rsid w:val="001415A5"/>
    <w:rsid w:val="00143D76"/>
    <w:rsid w:val="00173A03"/>
    <w:rsid w:val="0019439E"/>
    <w:rsid w:val="001B23C4"/>
    <w:rsid w:val="001B783A"/>
    <w:rsid w:val="001D17A8"/>
    <w:rsid w:val="001D1C91"/>
    <w:rsid w:val="001D4D7D"/>
    <w:rsid w:val="001E16C2"/>
    <w:rsid w:val="001E1EBF"/>
    <w:rsid w:val="001E2CF6"/>
    <w:rsid w:val="00207B85"/>
    <w:rsid w:val="00226F1C"/>
    <w:rsid w:val="002342CC"/>
    <w:rsid w:val="00271872"/>
    <w:rsid w:val="002D063E"/>
    <w:rsid w:val="002E0E10"/>
    <w:rsid w:val="002E11B2"/>
    <w:rsid w:val="002E66DF"/>
    <w:rsid w:val="002F126F"/>
    <w:rsid w:val="0031235D"/>
    <w:rsid w:val="00327841"/>
    <w:rsid w:val="0033426B"/>
    <w:rsid w:val="003345A9"/>
    <w:rsid w:val="00342A50"/>
    <w:rsid w:val="00352B9F"/>
    <w:rsid w:val="003617C0"/>
    <w:rsid w:val="003741F2"/>
    <w:rsid w:val="00395E51"/>
    <w:rsid w:val="003B40DE"/>
    <w:rsid w:val="003C2F9D"/>
    <w:rsid w:val="003D67B0"/>
    <w:rsid w:val="0040106D"/>
    <w:rsid w:val="00401932"/>
    <w:rsid w:val="004354D7"/>
    <w:rsid w:val="0044234D"/>
    <w:rsid w:val="004457B5"/>
    <w:rsid w:val="0046729D"/>
    <w:rsid w:val="004803E4"/>
    <w:rsid w:val="004A5318"/>
    <w:rsid w:val="004C1E24"/>
    <w:rsid w:val="004C3CFF"/>
    <w:rsid w:val="004D2D17"/>
    <w:rsid w:val="00512047"/>
    <w:rsid w:val="005207DF"/>
    <w:rsid w:val="00536617"/>
    <w:rsid w:val="00577BB9"/>
    <w:rsid w:val="005C443C"/>
    <w:rsid w:val="005E1DC5"/>
    <w:rsid w:val="005E3448"/>
    <w:rsid w:val="00621BB7"/>
    <w:rsid w:val="00643159"/>
    <w:rsid w:val="00650285"/>
    <w:rsid w:val="00661B84"/>
    <w:rsid w:val="00685CA6"/>
    <w:rsid w:val="00685DB6"/>
    <w:rsid w:val="006A1D13"/>
    <w:rsid w:val="006A456E"/>
    <w:rsid w:val="006A76C2"/>
    <w:rsid w:val="006D0F43"/>
    <w:rsid w:val="006D6AEB"/>
    <w:rsid w:val="006F089D"/>
    <w:rsid w:val="00716851"/>
    <w:rsid w:val="00727FB6"/>
    <w:rsid w:val="00730C3A"/>
    <w:rsid w:val="007469FC"/>
    <w:rsid w:val="00755CE4"/>
    <w:rsid w:val="0077596A"/>
    <w:rsid w:val="00775DA5"/>
    <w:rsid w:val="007A507E"/>
    <w:rsid w:val="007B4789"/>
    <w:rsid w:val="007D52BF"/>
    <w:rsid w:val="007D6348"/>
    <w:rsid w:val="00815302"/>
    <w:rsid w:val="00827690"/>
    <w:rsid w:val="00830D76"/>
    <w:rsid w:val="00845A54"/>
    <w:rsid w:val="00860A35"/>
    <w:rsid w:val="0088631F"/>
    <w:rsid w:val="008A0F8E"/>
    <w:rsid w:val="008A3187"/>
    <w:rsid w:val="008C7442"/>
    <w:rsid w:val="008D1DAD"/>
    <w:rsid w:val="008D6274"/>
    <w:rsid w:val="009112ED"/>
    <w:rsid w:val="00920E1E"/>
    <w:rsid w:val="009324EE"/>
    <w:rsid w:val="00977C98"/>
    <w:rsid w:val="0098204D"/>
    <w:rsid w:val="00994603"/>
    <w:rsid w:val="009C1C6F"/>
    <w:rsid w:val="009E14DF"/>
    <w:rsid w:val="009F3B10"/>
    <w:rsid w:val="00A24E46"/>
    <w:rsid w:val="00A74EB5"/>
    <w:rsid w:val="00A75863"/>
    <w:rsid w:val="00A860D6"/>
    <w:rsid w:val="00A90AEB"/>
    <w:rsid w:val="00AB54CD"/>
    <w:rsid w:val="00AD607C"/>
    <w:rsid w:val="00AE135A"/>
    <w:rsid w:val="00B410A0"/>
    <w:rsid w:val="00BA0231"/>
    <w:rsid w:val="00BC6D75"/>
    <w:rsid w:val="00BD1256"/>
    <w:rsid w:val="00BD56F2"/>
    <w:rsid w:val="00C410F0"/>
    <w:rsid w:val="00C5146C"/>
    <w:rsid w:val="00CB0319"/>
    <w:rsid w:val="00CB608F"/>
    <w:rsid w:val="00CC55B7"/>
    <w:rsid w:val="00CC5A21"/>
    <w:rsid w:val="00CD0095"/>
    <w:rsid w:val="00CD2DEA"/>
    <w:rsid w:val="00CF026F"/>
    <w:rsid w:val="00D028B5"/>
    <w:rsid w:val="00D406C1"/>
    <w:rsid w:val="00D65E86"/>
    <w:rsid w:val="00D77251"/>
    <w:rsid w:val="00DA75B7"/>
    <w:rsid w:val="00DC5A7B"/>
    <w:rsid w:val="00E06B47"/>
    <w:rsid w:val="00E169F3"/>
    <w:rsid w:val="00E21692"/>
    <w:rsid w:val="00E23420"/>
    <w:rsid w:val="00E56EED"/>
    <w:rsid w:val="00EA43D3"/>
    <w:rsid w:val="00EB446A"/>
    <w:rsid w:val="00EB5620"/>
    <w:rsid w:val="00EF01C0"/>
    <w:rsid w:val="00EF3FDF"/>
    <w:rsid w:val="00EF56F2"/>
    <w:rsid w:val="00F02A99"/>
    <w:rsid w:val="00F07C5C"/>
    <w:rsid w:val="00F6155A"/>
    <w:rsid w:val="00F8163E"/>
    <w:rsid w:val="00FA2C21"/>
    <w:rsid w:val="00FB623F"/>
    <w:rsid w:val="00FC2F27"/>
    <w:rsid w:val="00FD5DB1"/>
    <w:rsid w:val="00FE48BB"/>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242"/>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E85242"/>
    <w:pPr>
      <w:keepNext/>
      <w:spacing w:after="240"/>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E85242"/>
    <w:pPr>
      <w:keepNext/>
      <w:keepLines/>
      <w:spacing w:after="24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68E0"/>
    <w:pPr>
      <w:tabs>
        <w:tab w:val="center" w:pos="4680"/>
        <w:tab w:val="right" w:pos="9360"/>
      </w:tabs>
    </w:pPr>
  </w:style>
  <w:style w:type="character" w:customStyle="1" w:styleId="HeaderChar">
    <w:name w:val="Header Char"/>
    <w:basedOn w:val="DefaultParagraphFont"/>
    <w:link w:val="Header"/>
    <w:uiPriority w:val="99"/>
    <w:rsid w:val="00C568E0"/>
  </w:style>
  <w:style w:type="paragraph" w:styleId="Footer">
    <w:name w:val="footer"/>
    <w:basedOn w:val="Normal"/>
    <w:link w:val="FooterChar"/>
    <w:uiPriority w:val="99"/>
    <w:unhideWhenUsed/>
    <w:rsid w:val="00C568E0"/>
    <w:pPr>
      <w:tabs>
        <w:tab w:val="center" w:pos="4680"/>
        <w:tab w:val="right" w:pos="9360"/>
      </w:tabs>
    </w:pPr>
  </w:style>
  <w:style w:type="character" w:customStyle="1" w:styleId="FooterChar">
    <w:name w:val="Footer Char"/>
    <w:basedOn w:val="DefaultParagraphFont"/>
    <w:link w:val="Footer"/>
    <w:uiPriority w:val="99"/>
    <w:rsid w:val="00C568E0"/>
  </w:style>
  <w:style w:type="paragraph" w:styleId="Quote">
    <w:name w:val="Quote"/>
    <w:basedOn w:val="Normal"/>
    <w:next w:val="BodyTextContinued"/>
    <w:link w:val="QuoteChar"/>
    <w:qFormat/>
    <w:rsid w:val="00101FA8"/>
    <w:pPr>
      <w:spacing w:after="240"/>
      <w:ind w:left="1440" w:right="1440"/>
    </w:pPr>
    <w:rPr>
      <w:iCs/>
      <w:color w:val="000000" w:themeColor="text1"/>
    </w:rPr>
  </w:style>
  <w:style w:type="paragraph" w:styleId="Salutation">
    <w:name w:val="Salutation"/>
    <w:basedOn w:val="Normal"/>
    <w:next w:val="Normal"/>
    <w:link w:val="SalutationChar"/>
    <w:uiPriority w:val="99"/>
    <w:semiHidden/>
    <w:unhideWhenUsed/>
    <w:rsid w:val="001178B8"/>
  </w:style>
  <w:style w:type="character" w:customStyle="1" w:styleId="SalutationChar">
    <w:name w:val="Salutation Char"/>
    <w:basedOn w:val="DefaultParagraphFont"/>
    <w:link w:val="Salutation"/>
    <w:uiPriority w:val="99"/>
    <w:semiHidden/>
    <w:rsid w:val="001178B8"/>
  </w:style>
  <w:style w:type="character" w:customStyle="1" w:styleId="QuoteChar">
    <w:name w:val="Quote Char"/>
    <w:basedOn w:val="DefaultParagraphFont"/>
    <w:link w:val="Quote"/>
    <w:rsid w:val="00101FA8"/>
    <w:rPr>
      <w:rFonts w:ascii="Times New Roman" w:hAnsi="Times New Roman"/>
      <w:iCs/>
      <w:color w:val="000000" w:themeColor="text1"/>
      <w:sz w:val="24"/>
    </w:rPr>
  </w:style>
  <w:style w:type="paragraph" w:styleId="BodyText">
    <w:name w:val="Body Text"/>
    <w:basedOn w:val="Normal"/>
    <w:link w:val="BodyTextChar"/>
    <w:qFormat/>
    <w:rsid w:val="00101FA8"/>
    <w:pPr>
      <w:widowControl w:val="0"/>
      <w:spacing w:after="240"/>
      <w:ind w:firstLine="720"/>
    </w:pPr>
    <w:rPr>
      <w:rFonts w:eastAsia="Times New Roman" w:cs="Times New Roman"/>
      <w:szCs w:val="24"/>
    </w:rPr>
  </w:style>
  <w:style w:type="character" w:customStyle="1" w:styleId="BodyTextChar">
    <w:name w:val="Body Text Char"/>
    <w:link w:val="BodyText"/>
    <w:rsid w:val="00101FA8"/>
    <w:rPr>
      <w:rFonts w:ascii="Times New Roman" w:eastAsia="Times New Roman" w:hAnsi="Times New Roman" w:cs="Times New Roman"/>
      <w:sz w:val="24"/>
      <w:szCs w:val="24"/>
    </w:rPr>
  </w:style>
  <w:style w:type="paragraph" w:customStyle="1" w:styleId="BodyTextContinued">
    <w:name w:val="Body Text Continued"/>
    <w:basedOn w:val="BodyText"/>
    <w:next w:val="BodyText"/>
    <w:qFormat/>
    <w:rsid w:val="00101FA8"/>
    <w:pPr>
      <w:ind w:firstLine="0"/>
    </w:pPr>
  </w:style>
  <w:style w:type="paragraph" w:styleId="Title">
    <w:name w:val="Title"/>
    <w:basedOn w:val="Normal"/>
    <w:next w:val="Normal"/>
    <w:link w:val="TitleChar"/>
    <w:qFormat/>
    <w:rsid w:val="00101FA8"/>
    <w:pPr>
      <w:spacing w:after="240"/>
      <w:contextualSpacing/>
      <w:jc w:val="center"/>
    </w:pPr>
    <w:rPr>
      <w:rFonts w:eastAsiaTheme="majorEastAsia" w:cstheme="majorBidi"/>
      <w:b/>
      <w:caps/>
      <w:szCs w:val="52"/>
    </w:rPr>
  </w:style>
  <w:style w:type="character" w:customStyle="1" w:styleId="TitleChar">
    <w:name w:val="Title Char"/>
    <w:basedOn w:val="DefaultParagraphFont"/>
    <w:link w:val="Title"/>
    <w:rsid w:val="00E85242"/>
    <w:rPr>
      <w:rFonts w:ascii="Times New Roman" w:eastAsiaTheme="majorEastAsia" w:hAnsi="Times New Roman" w:cstheme="majorBidi"/>
      <w:b/>
      <w:caps/>
      <w:sz w:val="24"/>
      <w:szCs w:val="52"/>
    </w:rPr>
  </w:style>
  <w:style w:type="character" w:customStyle="1" w:styleId="Heading1Char">
    <w:name w:val="Heading 1 Char"/>
    <w:basedOn w:val="DefaultParagraphFont"/>
    <w:link w:val="Heading1"/>
    <w:uiPriority w:val="9"/>
    <w:rsid w:val="00E85242"/>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semiHidden/>
    <w:rsid w:val="00E85242"/>
    <w:rPr>
      <w:rFonts w:ascii="Times New Roman" w:eastAsiaTheme="majorEastAsia" w:hAnsi="Times New Roman" w:cstheme="majorBidi"/>
      <w:b/>
      <w:bCs/>
      <w:sz w:val="24"/>
      <w:szCs w:val="26"/>
    </w:rPr>
  </w:style>
  <w:style w:type="paragraph" w:customStyle="1" w:styleId="Pleading1Cont1">
    <w:name w:val="Pleading1 Cont 1"/>
    <w:basedOn w:val="Normal"/>
    <w:link w:val="Pleading1Cont1Char"/>
    <w:rsid w:val="006313B3"/>
    <w:pPr>
      <w:widowControl w:val="0"/>
      <w:spacing w:line="480" w:lineRule="auto"/>
    </w:pPr>
    <w:rPr>
      <w:rFonts w:eastAsia="Times New Roman" w:cs="Times New Roman"/>
      <w:szCs w:val="20"/>
    </w:rPr>
  </w:style>
  <w:style w:type="character" w:customStyle="1" w:styleId="Pleading1Cont1Char">
    <w:name w:val="Pleading1 Cont 1 Char"/>
    <w:basedOn w:val="DefaultParagraphFont"/>
    <w:link w:val="Pleading1Cont1"/>
    <w:rsid w:val="006313B3"/>
    <w:rPr>
      <w:rFonts w:ascii="Times New Roman" w:eastAsia="Times New Roman" w:hAnsi="Times New Roman" w:cs="Times New Roman"/>
      <w:sz w:val="24"/>
      <w:szCs w:val="20"/>
    </w:rPr>
  </w:style>
  <w:style w:type="paragraph" w:customStyle="1" w:styleId="Pleading1Cont2">
    <w:name w:val="Pleading1 Cont 2"/>
    <w:basedOn w:val="Pleading1Cont1"/>
    <w:link w:val="Pleading1Cont2Char"/>
    <w:rsid w:val="006313B3"/>
  </w:style>
  <w:style w:type="character" w:customStyle="1" w:styleId="Pleading1Cont2Char">
    <w:name w:val="Pleading1 Cont 2 Char"/>
    <w:basedOn w:val="DefaultParagraphFont"/>
    <w:link w:val="Pleading1Cont2"/>
    <w:rsid w:val="006313B3"/>
    <w:rPr>
      <w:rFonts w:ascii="Times New Roman" w:eastAsia="Times New Roman" w:hAnsi="Times New Roman" w:cs="Times New Roman"/>
      <w:sz w:val="24"/>
      <w:szCs w:val="20"/>
    </w:rPr>
  </w:style>
  <w:style w:type="paragraph" w:customStyle="1" w:styleId="Pleading1Cont3">
    <w:name w:val="Pleading1 Cont 3"/>
    <w:basedOn w:val="Pleading1Cont2"/>
    <w:link w:val="Pleading1Cont3Char"/>
    <w:rsid w:val="006313B3"/>
  </w:style>
  <w:style w:type="character" w:customStyle="1" w:styleId="Pleading1Cont3Char">
    <w:name w:val="Pleading1 Cont 3 Char"/>
    <w:basedOn w:val="DefaultParagraphFont"/>
    <w:link w:val="Pleading1Cont3"/>
    <w:rsid w:val="006313B3"/>
    <w:rPr>
      <w:rFonts w:ascii="Times New Roman" w:eastAsia="Times New Roman" w:hAnsi="Times New Roman" w:cs="Times New Roman"/>
      <w:sz w:val="24"/>
      <w:szCs w:val="20"/>
    </w:rPr>
  </w:style>
  <w:style w:type="paragraph" w:customStyle="1" w:styleId="Pleading1Cont4">
    <w:name w:val="Pleading1 Cont 4"/>
    <w:basedOn w:val="Pleading1Cont3"/>
    <w:link w:val="Pleading1Cont4Char"/>
    <w:rsid w:val="006313B3"/>
  </w:style>
  <w:style w:type="character" w:customStyle="1" w:styleId="Pleading1Cont4Char">
    <w:name w:val="Pleading1 Cont 4 Char"/>
    <w:basedOn w:val="DefaultParagraphFont"/>
    <w:link w:val="Pleading1Cont4"/>
    <w:rsid w:val="006313B3"/>
    <w:rPr>
      <w:rFonts w:ascii="Times New Roman" w:eastAsia="Times New Roman" w:hAnsi="Times New Roman" w:cs="Times New Roman"/>
      <w:sz w:val="24"/>
      <w:szCs w:val="20"/>
    </w:rPr>
  </w:style>
  <w:style w:type="paragraph" w:customStyle="1" w:styleId="Pleading1Cont5">
    <w:name w:val="Pleading1 Cont 5"/>
    <w:basedOn w:val="Pleading1Cont4"/>
    <w:link w:val="Pleading1Cont5Char"/>
    <w:rsid w:val="006313B3"/>
  </w:style>
  <w:style w:type="character" w:customStyle="1" w:styleId="Pleading1Cont5Char">
    <w:name w:val="Pleading1 Cont 5 Char"/>
    <w:basedOn w:val="DefaultParagraphFont"/>
    <w:link w:val="Pleading1Cont5"/>
    <w:rsid w:val="006313B3"/>
    <w:rPr>
      <w:rFonts w:ascii="Times New Roman" w:eastAsia="Times New Roman" w:hAnsi="Times New Roman" w:cs="Times New Roman"/>
      <w:sz w:val="24"/>
      <w:szCs w:val="20"/>
    </w:rPr>
  </w:style>
  <w:style w:type="paragraph" w:customStyle="1" w:styleId="Pleading1Cont6">
    <w:name w:val="Pleading1 Cont 6"/>
    <w:basedOn w:val="Pleading1Cont5"/>
    <w:link w:val="Pleading1Cont6Char"/>
    <w:rsid w:val="006313B3"/>
  </w:style>
  <w:style w:type="character" w:customStyle="1" w:styleId="Pleading1Cont6Char">
    <w:name w:val="Pleading1 Cont 6 Char"/>
    <w:basedOn w:val="DefaultParagraphFont"/>
    <w:link w:val="Pleading1Cont6"/>
    <w:rsid w:val="006313B3"/>
    <w:rPr>
      <w:rFonts w:ascii="Times New Roman" w:eastAsia="Times New Roman" w:hAnsi="Times New Roman" w:cs="Times New Roman"/>
      <w:sz w:val="24"/>
      <w:szCs w:val="20"/>
    </w:rPr>
  </w:style>
  <w:style w:type="paragraph" w:customStyle="1" w:styleId="Pleading1Cont7">
    <w:name w:val="Pleading1 Cont 7"/>
    <w:basedOn w:val="Pleading1Cont6"/>
    <w:link w:val="Pleading1Cont7Char"/>
    <w:rsid w:val="006313B3"/>
  </w:style>
  <w:style w:type="character" w:customStyle="1" w:styleId="Pleading1Cont7Char">
    <w:name w:val="Pleading1 Cont 7 Char"/>
    <w:basedOn w:val="DefaultParagraphFont"/>
    <w:link w:val="Pleading1Cont7"/>
    <w:rsid w:val="006313B3"/>
    <w:rPr>
      <w:rFonts w:ascii="Times New Roman" w:eastAsia="Times New Roman" w:hAnsi="Times New Roman" w:cs="Times New Roman"/>
      <w:sz w:val="24"/>
      <w:szCs w:val="20"/>
    </w:rPr>
  </w:style>
  <w:style w:type="paragraph" w:customStyle="1" w:styleId="Pleading1Cont8">
    <w:name w:val="Pleading1 Cont 8"/>
    <w:basedOn w:val="Pleading1Cont7"/>
    <w:link w:val="Pleading1Cont8Char"/>
    <w:rsid w:val="006313B3"/>
  </w:style>
  <w:style w:type="character" w:customStyle="1" w:styleId="Pleading1Cont8Char">
    <w:name w:val="Pleading1 Cont 8 Char"/>
    <w:basedOn w:val="DefaultParagraphFont"/>
    <w:link w:val="Pleading1Cont8"/>
    <w:rsid w:val="006313B3"/>
    <w:rPr>
      <w:rFonts w:ascii="Times New Roman" w:eastAsia="Times New Roman" w:hAnsi="Times New Roman" w:cs="Times New Roman"/>
      <w:sz w:val="24"/>
      <w:szCs w:val="20"/>
    </w:rPr>
  </w:style>
  <w:style w:type="paragraph" w:customStyle="1" w:styleId="Pleading1Cont9">
    <w:name w:val="Pleading1 Cont 9"/>
    <w:basedOn w:val="Pleading1Cont8"/>
    <w:link w:val="Pleading1Cont9Char"/>
    <w:rsid w:val="006313B3"/>
  </w:style>
  <w:style w:type="character" w:customStyle="1" w:styleId="Pleading1Cont9Char">
    <w:name w:val="Pleading1 Cont 9 Char"/>
    <w:basedOn w:val="DefaultParagraphFont"/>
    <w:link w:val="Pleading1Cont9"/>
    <w:rsid w:val="006313B3"/>
    <w:rPr>
      <w:rFonts w:ascii="Times New Roman" w:eastAsia="Times New Roman" w:hAnsi="Times New Roman" w:cs="Times New Roman"/>
      <w:sz w:val="24"/>
      <w:szCs w:val="20"/>
    </w:rPr>
  </w:style>
  <w:style w:type="paragraph" w:customStyle="1" w:styleId="Pleading1L1">
    <w:name w:val="Pleading1_L1"/>
    <w:basedOn w:val="Normal"/>
    <w:next w:val="BodyText"/>
    <w:link w:val="Pleading1L1Char"/>
    <w:rsid w:val="006313B3"/>
    <w:pPr>
      <w:keepNext/>
      <w:keepLines/>
      <w:widowControl w:val="0"/>
      <w:numPr>
        <w:numId w:val="1"/>
      </w:numPr>
      <w:spacing w:after="240"/>
      <w:outlineLvl w:val="0"/>
    </w:pPr>
    <w:rPr>
      <w:rFonts w:eastAsia="Times New Roman" w:cs="Times New Roman"/>
      <w:b/>
      <w:caps/>
      <w:szCs w:val="20"/>
      <w:u w:val="single"/>
    </w:rPr>
  </w:style>
  <w:style w:type="character" w:customStyle="1" w:styleId="Pleading1L1Char">
    <w:name w:val="Pleading1_L1 Char"/>
    <w:basedOn w:val="DefaultParagraphFont"/>
    <w:link w:val="Pleading1L1"/>
    <w:rsid w:val="006313B3"/>
    <w:rPr>
      <w:rFonts w:ascii="Times New Roman" w:eastAsia="Times New Roman" w:hAnsi="Times New Roman" w:cs="Times New Roman"/>
      <w:b/>
      <w:caps/>
      <w:sz w:val="24"/>
      <w:szCs w:val="20"/>
      <w:u w:val="single"/>
    </w:rPr>
  </w:style>
  <w:style w:type="paragraph" w:customStyle="1" w:styleId="Pleading1L2">
    <w:name w:val="Pleading1_L2"/>
    <w:basedOn w:val="Pleading1L1"/>
    <w:next w:val="BodyText"/>
    <w:link w:val="Pleading1L2Char"/>
    <w:rsid w:val="006313B3"/>
    <w:pPr>
      <w:numPr>
        <w:ilvl w:val="1"/>
      </w:numPr>
      <w:outlineLvl w:val="1"/>
    </w:pPr>
    <w:rPr>
      <w:caps w:val="0"/>
    </w:rPr>
  </w:style>
  <w:style w:type="character" w:customStyle="1" w:styleId="Pleading1L2Char">
    <w:name w:val="Pleading1_L2 Char"/>
    <w:basedOn w:val="DefaultParagraphFont"/>
    <w:link w:val="Pleading1L2"/>
    <w:rsid w:val="006313B3"/>
    <w:rPr>
      <w:rFonts w:ascii="Times New Roman" w:eastAsia="Times New Roman" w:hAnsi="Times New Roman" w:cs="Times New Roman"/>
      <w:b/>
      <w:sz w:val="24"/>
      <w:szCs w:val="20"/>
      <w:u w:val="single"/>
    </w:rPr>
  </w:style>
  <w:style w:type="paragraph" w:customStyle="1" w:styleId="Pleading1L3">
    <w:name w:val="Pleading1_L3"/>
    <w:basedOn w:val="Pleading1L2"/>
    <w:next w:val="BodyText"/>
    <w:link w:val="Pleading1L3Char"/>
    <w:rsid w:val="006313B3"/>
    <w:pPr>
      <w:numPr>
        <w:ilvl w:val="2"/>
      </w:numPr>
      <w:outlineLvl w:val="2"/>
    </w:pPr>
    <w:rPr>
      <w:b w:val="0"/>
      <w:u w:val="none"/>
    </w:rPr>
  </w:style>
  <w:style w:type="character" w:customStyle="1" w:styleId="Pleading1L3Char">
    <w:name w:val="Pleading1_L3 Char"/>
    <w:basedOn w:val="DefaultParagraphFont"/>
    <w:link w:val="Pleading1L3"/>
    <w:rsid w:val="006313B3"/>
    <w:rPr>
      <w:rFonts w:ascii="Times New Roman" w:eastAsia="Times New Roman" w:hAnsi="Times New Roman" w:cs="Times New Roman"/>
      <w:sz w:val="24"/>
      <w:szCs w:val="20"/>
    </w:rPr>
  </w:style>
  <w:style w:type="paragraph" w:customStyle="1" w:styleId="Pleading1L4">
    <w:name w:val="Pleading1_L4"/>
    <w:basedOn w:val="Pleading1L3"/>
    <w:next w:val="BodyText"/>
    <w:link w:val="Pleading1L4Char"/>
    <w:rsid w:val="006313B3"/>
    <w:pPr>
      <w:numPr>
        <w:ilvl w:val="3"/>
      </w:numPr>
      <w:outlineLvl w:val="3"/>
    </w:pPr>
  </w:style>
  <w:style w:type="character" w:customStyle="1" w:styleId="Pleading1L4Char">
    <w:name w:val="Pleading1_L4 Char"/>
    <w:basedOn w:val="DefaultParagraphFont"/>
    <w:link w:val="Pleading1L4"/>
    <w:rsid w:val="006313B3"/>
    <w:rPr>
      <w:rFonts w:ascii="Times New Roman" w:eastAsia="Times New Roman" w:hAnsi="Times New Roman" w:cs="Times New Roman"/>
      <w:sz w:val="24"/>
      <w:szCs w:val="20"/>
    </w:rPr>
  </w:style>
  <w:style w:type="paragraph" w:customStyle="1" w:styleId="Pleading1L5">
    <w:name w:val="Pleading1_L5"/>
    <w:basedOn w:val="Pleading1L4"/>
    <w:next w:val="BodyText"/>
    <w:link w:val="Pleading1L5Char"/>
    <w:rsid w:val="006313B3"/>
    <w:pPr>
      <w:numPr>
        <w:ilvl w:val="4"/>
      </w:numPr>
      <w:outlineLvl w:val="4"/>
    </w:pPr>
  </w:style>
  <w:style w:type="character" w:customStyle="1" w:styleId="Pleading1L5Char">
    <w:name w:val="Pleading1_L5 Char"/>
    <w:basedOn w:val="DefaultParagraphFont"/>
    <w:link w:val="Pleading1L5"/>
    <w:rsid w:val="006313B3"/>
    <w:rPr>
      <w:rFonts w:ascii="Times New Roman" w:eastAsia="Times New Roman" w:hAnsi="Times New Roman" w:cs="Times New Roman"/>
      <w:sz w:val="24"/>
      <w:szCs w:val="20"/>
    </w:rPr>
  </w:style>
  <w:style w:type="paragraph" w:customStyle="1" w:styleId="Pleading1L6">
    <w:name w:val="Pleading1_L6"/>
    <w:basedOn w:val="Pleading1L5"/>
    <w:next w:val="BodyText"/>
    <w:link w:val="Pleading1L6Char"/>
    <w:rsid w:val="006313B3"/>
    <w:pPr>
      <w:numPr>
        <w:ilvl w:val="5"/>
      </w:numPr>
      <w:outlineLvl w:val="5"/>
    </w:pPr>
  </w:style>
  <w:style w:type="character" w:customStyle="1" w:styleId="Pleading1L6Char">
    <w:name w:val="Pleading1_L6 Char"/>
    <w:basedOn w:val="DefaultParagraphFont"/>
    <w:link w:val="Pleading1L6"/>
    <w:rsid w:val="006313B3"/>
    <w:rPr>
      <w:rFonts w:ascii="Times New Roman" w:eastAsia="Times New Roman" w:hAnsi="Times New Roman" w:cs="Times New Roman"/>
      <w:sz w:val="24"/>
      <w:szCs w:val="20"/>
    </w:rPr>
  </w:style>
  <w:style w:type="paragraph" w:customStyle="1" w:styleId="Pleading1L7">
    <w:name w:val="Pleading1_L7"/>
    <w:basedOn w:val="Pleading1L6"/>
    <w:next w:val="BodyText"/>
    <w:link w:val="Pleading1L7Char"/>
    <w:rsid w:val="006313B3"/>
    <w:pPr>
      <w:numPr>
        <w:ilvl w:val="6"/>
      </w:numPr>
      <w:outlineLvl w:val="6"/>
    </w:pPr>
  </w:style>
  <w:style w:type="character" w:customStyle="1" w:styleId="Pleading1L7Char">
    <w:name w:val="Pleading1_L7 Char"/>
    <w:basedOn w:val="DefaultParagraphFont"/>
    <w:link w:val="Pleading1L7"/>
    <w:rsid w:val="006313B3"/>
    <w:rPr>
      <w:rFonts w:ascii="Times New Roman" w:eastAsia="Times New Roman" w:hAnsi="Times New Roman" w:cs="Times New Roman"/>
      <w:sz w:val="24"/>
      <w:szCs w:val="20"/>
    </w:rPr>
  </w:style>
  <w:style w:type="paragraph" w:customStyle="1" w:styleId="Pleading1L8">
    <w:name w:val="Pleading1_L8"/>
    <w:basedOn w:val="Pleading1L7"/>
    <w:next w:val="BodyText"/>
    <w:link w:val="Pleading1L8Char"/>
    <w:rsid w:val="006313B3"/>
    <w:pPr>
      <w:numPr>
        <w:ilvl w:val="7"/>
      </w:numPr>
      <w:outlineLvl w:val="7"/>
    </w:pPr>
  </w:style>
  <w:style w:type="character" w:customStyle="1" w:styleId="Pleading1L8Char">
    <w:name w:val="Pleading1_L8 Char"/>
    <w:basedOn w:val="DefaultParagraphFont"/>
    <w:link w:val="Pleading1L8"/>
    <w:rsid w:val="006313B3"/>
    <w:rPr>
      <w:rFonts w:ascii="Times New Roman" w:eastAsia="Times New Roman" w:hAnsi="Times New Roman" w:cs="Times New Roman"/>
      <w:sz w:val="24"/>
      <w:szCs w:val="20"/>
    </w:rPr>
  </w:style>
  <w:style w:type="paragraph" w:customStyle="1" w:styleId="Pleading1L9">
    <w:name w:val="Pleading1_L9"/>
    <w:basedOn w:val="Pleading1L8"/>
    <w:next w:val="BodyText"/>
    <w:link w:val="Pleading1L9Char"/>
    <w:rsid w:val="006313B3"/>
    <w:pPr>
      <w:numPr>
        <w:ilvl w:val="8"/>
      </w:numPr>
      <w:outlineLvl w:val="8"/>
    </w:pPr>
  </w:style>
  <w:style w:type="character" w:customStyle="1" w:styleId="Pleading1L9Char">
    <w:name w:val="Pleading1_L9 Char"/>
    <w:basedOn w:val="DefaultParagraphFont"/>
    <w:link w:val="Pleading1L9"/>
    <w:rsid w:val="006313B3"/>
    <w:rPr>
      <w:rFonts w:ascii="Times New Roman" w:eastAsia="Times New Roman" w:hAnsi="Times New Roman" w:cs="Times New Roman"/>
      <w:sz w:val="24"/>
      <w:szCs w:val="20"/>
    </w:rPr>
  </w:style>
  <w:style w:type="paragraph" w:styleId="FootnoteText">
    <w:name w:val="footnote text"/>
    <w:basedOn w:val="Normal"/>
    <w:link w:val="FootnoteTextChar"/>
    <w:uiPriority w:val="99"/>
    <w:unhideWhenUsed/>
    <w:rsid w:val="00301D1E"/>
    <w:rPr>
      <w:sz w:val="20"/>
      <w:szCs w:val="20"/>
    </w:rPr>
  </w:style>
  <w:style w:type="character" w:customStyle="1" w:styleId="FootnoteTextChar">
    <w:name w:val="Footnote Text Char"/>
    <w:basedOn w:val="DefaultParagraphFont"/>
    <w:link w:val="FootnoteText"/>
    <w:uiPriority w:val="99"/>
    <w:rsid w:val="00301D1E"/>
    <w:rPr>
      <w:rFonts w:ascii="Times New Roman" w:hAnsi="Times New Roman"/>
      <w:sz w:val="20"/>
      <w:szCs w:val="20"/>
    </w:rPr>
  </w:style>
  <w:style w:type="character" w:styleId="FootnoteReference">
    <w:name w:val="footnote reference"/>
    <w:basedOn w:val="DefaultParagraphFont"/>
    <w:uiPriority w:val="99"/>
    <w:semiHidden/>
    <w:unhideWhenUsed/>
    <w:rsid w:val="00301D1E"/>
    <w:rPr>
      <w:vertAlign w:val="superscript"/>
    </w:rPr>
  </w:style>
  <w:style w:type="character" w:styleId="Hyperlink">
    <w:name w:val="Hyperlink"/>
    <w:basedOn w:val="DefaultParagraphFont"/>
    <w:uiPriority w:val="99"/>
    <w:unhideWhenUsed/>
    <w:rsid w:val="00214D6F"/>
    <w:rPr>
      <w:color w:val="0000FF" w:themeColor="hyperlink"/>
      <w:u w:val="single"/>
    </w:rPr>
  </w:style>
  <w:style w:type="paragraph" w:customStyle="1" w:styleId="MacPacTrailer">
    <w:name w:val="MacPac Trailer"/>
    <w:rsid w:val="00CF026F"/>
    <w:pPr>
      <w:widowControl w:val="0"/>
      <w:spacing w:after="0" w:line="200" w:lineRule="exact"/>
    </w:pPr>
    <w:rPr>
      <w:rFonts w:ascii="Times New Roman" w:eastAsia="Times New Roman" w:hAnsi="Times New Roman" w:cs="Times New Roman"/>
      <w:sz w:val="16"/>
    </w:rPr>
  </w:style>
  <w:style w:type="paragraph" w:styleId="BalloonText">
    <w:name w:val="Balloon Text"/>
    <w:basedOn w:val="Normal"/>
    <w:link w:val="BalloonTextChar"/>
    <w:uiPriority w:val="99"/>
    <w:semiHidden/>
    <w:unhideWhenUsed/>
    <w:rsid w:val="00C26D8E"/>
    <w:rPr>
      <w:rFonts w:ascii="Tahoma" w:hAnsi="Tahoma" w:cs="Tahoma"/>
      <w:sz w:val="16"/>
      <w:szCs w:val="16"/>
    </w:rPr>
  </w:style>
  <w:style w:type="character" w:customStyle="1" w:styleId="BalloonTextChar">
    <w:name w:val="Balloon Text Char"/>
    <w:basedOn w:val="DefaultParagraphFont"/>
    <w:link w:val="BalloonText"/>
    <w:uiPriority w:val="99"/>
    <w:semiHidden/>
    <w:rsid w:val="00C26D8E"/>
    <w:rPr>
      <w:rFonts w:ascii="Tahoma" w:hAnsi="Tahoma" w:cs="Tahoma"/>
      <w:sz w:val="16"/>
      <w:szCs w:val="16"/>
    </w:rPr>
  </w:style>
  <w:style w:type="character" w:styleId="PlaceholderText">
    <w:name w:val="Placeholder Text"/>
    <w:basedOn w:val="DefaultParagraphFont"/>
    <w:uiPriority w:val="99"/>
    <w:semiHidden/>
    <w:rsid w:val="00C26D8E"/>
    <w:rPr>
      <w:color w:val="808080"/>
    </w:rPr>
  </w:style>
  <w:style w:type="character" w:customStyle="1" w:styleId="apple-style-span">
    <w:name w:val="apple-style-span"/>
    <w:basedOn w:val="DefaultParagraphFont"/>
    <w:rsid w:val="00A65A09"/>
  </w:style>
  <w:style w:type="paragraph" w:styleId="PlainText">
    <w:name w:val="Plain Text"/>
    <w:basedOn w:val="Normal"/>
    <w:link w:val="PlainTextChar"/>
    <w:uiPriority w:val="99"/>
    <w:unhideWhenUsed/>
    <w:rsid w:val="00FE5051"/>
    <w:rPr>
      <w:rFonts w:ascii="Calibri" w:hAnsi="Calibri"/>
      <w:sz w:val="22"/>
      <w:szCs w:val="21"/>
    </w:rPr>
  </w:style>
  <w:style w:type="character" w:customStyle="1" w:styleId="PlainTextChar">
    <w:name w:val="Plain Text Char"/>
    <w:basedOn w:val="DefaultParagraphFont"/>
    <w:link w:val="PlainText"/>
    <w:uiPriority w:val="99"/>
    <w:rsid w:val="00FE5051"/>
    <w:rPr>
      <w:rFonts w:ascii="Calibri" w:hAnsi="Calibri"/>
      <w:szCs w:val="21"/>
    </w:rPr>
  </w:style>
  <w:style w:type="paragraph" w:styleId="ListParagraph">
    <w:name w:val="List Paragraph"/>
    <w:basedOn w:val="Normal"/>
    <w:uiPriority w:val="34"/>
    <w:qFormat/>
    <w:rsid w:val="00A71A00"/>
    <w:pPr>
      <w:ind w:left="720"/>
      <w:contextualSpacing/>
    </w:pPr>
  </w:style>
  <w:style w:type="character" w:styleId="FollowedHyperlink">
    <w:name w:val="FollowedHyperlink"/>
    <w:basedOn w:val="DefaultParagraphFont"/>
    <w:uiPriority w:val="99"/>
    <w:semiHidden/>
    <w:unhideWhenUsed/>
    <w:rsid w:val="00271872"/>
    <w:rPr>
      <w:color w:val="800080" w:themeColor="followedHyperlink"/>
      <w:u w:val="single"/>
    </w:rPr>
  </w:style>
  <w:style w:type="paragraph" w:customStyle="1" w:styleId="Default">
    <w:name w:val="Default"/>
    <w:rsid w:val="00661B84"/>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242"/>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E85242"/>
    <w:pPr>
      <w:keepNext/>
      <w:spacing w:after="240"/>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E85242"/>
    <w:pPr>
      <w:keepNext/>
      <w:keepLines/>
      <w:spacing w:after="24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68E0"/>
    <w:pPr>
      <w:tabs>
        <w:tab w:val="center" w:pos="4680"/>
        <w:tab w:val="right" w:pos="9360"/>
      </w:tabs>
    </w:pPr>
  </w:style>
  <w:style w:type="character" w:customStyle="1" w:styleId="HeaderChar">
    <w:name w:val="Header Char"/>
    <w:basedOn w:val="DefaultParagraphFont"/>
    <w:link w:val="Header"/>
    <w:uiPriority w:val="99"/>
    <w:rsid w:val="00C568E0"/>
  </w:style>
  <w:style w:type="paragraph" w:styleId="Footer">
    <w:name w:val="footer"/>
    <w:basedOn w:val="Normal"/>
    <w:link w:val="FooterChar"/>
    <w:uiPriority w:val="99"/>
    <w:unhideWhenUsed/>
    <w:rsid w:val="00C568E0"/>
    <w:pPr>
      <w:tabs>
        <w:tab w:val="center" w:pos="4680"/>
        <w:tab w:val="right" w:pos="9360"/>
      </w:tabs>
    </w:pPr>
  </w:style>
  <w:style w:type="character" w:customStyle="1" w:styleId="FooterChar">
    <w:name w:val="Footer Char"/>
    <w:basedOn w:val="DefaultParagraphFont"/>
    <w:link w:val="Footer"/>
    <w:uiPriority w:val="99"/>
    <w:rsid w:val="00C568E0"/>
  </w:style>
  <w:style w:type="paragraph" w:styleId="Quote">
    <w:name w:val="Quote"/>
    <w:basedOn w:val="Normal"/>
    <w:next w:val="BodyTextContinued"/>
    <w:link w:val="QuoteChar"/>
    <w:qFormat/>
    <w:rsid w:val="00101FA8"/>
    <w:pPr>
      <w:spacing w:after="240"/>
      <w:ind w:left="1440" w:right="1440"/>
    </w:pPr>
    <w:rPr>
      <w:iCs/>
      <w:color w:val="000000" w:themeColor="text1"/>
    </w:rPr>
  </w:style>
  <w:style w:type="paragraph" w:styleId="Salutation">
    <w:name w:val="Salutation"/>
    <w:basedOn w:val="Normal"/>
    <w:next w:val="Normal"/>
    <w:link w:val="SalutationChar"/>
    <w:uiPriority w:val="99"/>
    <w:semiHidden/>
    <w:unhideWhenUsed/>
    <w:rsid w:val="001178B8"/>
  </w:style>
  <w:style w:type="character" w:customStyle="1" w:styleId="SalutationChar">
    <w:name w:val="Salutation Char"/>
    <w:basedOn w:val="DefaultParagraphFont"/>
    <w:link w:val="Salutation"/>
    <w:uiPriority w:val="99"/>
    <w:semiHidden/>
    <w:rsid w:val="001178B8"/>
  </w:style>
  <w:style w:type="character" w:customStyle="1" w:styleId="QuoteChar">
    <w:name w:val="Quote Char"/>
    <w:basedOn w:val="DefaultParagraphFont"/>
    <w:link w:val="Quote"/>
    <w:rsid w:val="00101FA8"/>
    <w:rPr>
      <w:rFonts w:ascii="Times New Roman" w:hAnsi="Times New Roman"/>
      <w:iCs/>
      <w:color w:val="000000" w:themeColor="text1"/>
      <w:sz w:val="24"/>
    </w:rPr>
  </w:style>
  <w:style w:type="paragraph" w:styleId="BodyText">
    <w:name w:val="Body Text"/>
    <w:basedOn w:val="Normal"/>
    <w:link w:val="BodyTextChar"/>
    <w:qFormat/>
    <w:rsid w:val="00101FA8"/>
    <w:pPr>
      <w:widowControl w:val="0"/>
      <w:spacing w:after="240"/>
      <w:ind w:firstLine="720"/>
    </w:pPr>
    <w:rPr>
      <w:rFonts w:eastAsia="Times New Roman" w:cs="Times New Roman"/>
      <w:szCs w:val="24"/>
    </w:rPr>
  </w:style>
  <w:style w:type="character" w:customStyle="1" w:styleId="BodyTextChar">
    <w:name w:val="Body Text Char"/>
    <w:link w:val="BodyText"/>
    <w:rsid w:val="00101FA8"/>
    <w:rPr>
      <w:rFonts w:ascii="Times New Roman" w:eastAsia="Times New Roman" w:hAnsi="Times New Roman" w:cs="Times New Roman"/>
      <w:sz w:val="24"/>
      <w:szCs w:val="24"/>
    </w:rPr>
  </w:style>
  <w:style w:type="paragraph" w:customStyle="1" w:styleId="BodyTextContinued">
    <w:name w:val="Body Text Continued"/>
    <w:basedOn w:val="BodyText"/>
    <w:next w:val="BodyText"/>
    <w:qFormat/>
    <w:rsid w:val="00101FA8"/>
    <w:pPr>
      <w:ind w:firstLine="0"/>
    </w:pPr>
  </w:style>
  <w:style w:type="paragraph" w:styleId="Title">
    <w:name w:val="Title"/>
    <w:basedOn w:val="Normal"/>
    <w:next w:val="Normal"/>
    <w:link w:val="TitleChar"/>
    <w:qFormat/>
    <w:rsid w:val="00101FA8"/>
    <w:pPr>
      <w:spacing w:after="240"/>
      <w:contextualSpacing/>
      <w:jc w:val="center"/>
    </w:pPr>
    <w:rPr>
      <w:rFonts w:eastAsiaTheme="majorEastAsia" w:cstheme="majorBidi"/>
      <w:b/>
      <w:caps/>
      <w:szCs w:val="52"/>
    </w:rPr>
  </w:style>
  <w:style w:type="character" w:customStyle="1" w:styleId="TitleChar">
    <w:name w:val="Title Char"/>
    <w:basedOn w:val="DefaultParagraphFont"/>
    <w:link w:val="Title"/>
    <w:rsid w:val="00E85242"/>
    <w:rPr>
      <w:rFonts w:ascii="Times New Roman" w:eastAsiaTheme="majorEastAsia" w:hAnsi="Times New Roman" w:cstheme="majorBidi"/>
      <w:b/>
      <w:caps/>
      <w:sz w:val="24"/>
      <w:szCs w:val="52"/>
    </w:rPr>
  </w:style>
  <w:style w:type="character" w:customStyle="1" w:styleId="Heading1Char">
    <w:name w:val="Heading 1 Char"/>
    <w:basedOn w:val="DefaultParagraphFont"/>
    <w:link w:val="Heading1"/>
    <w:uiPriority w:val="9"/>
    <w:rsid w:val="00E85242"/>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semiHidden/>
    <w:rsid w:val="00E85242"/>
    <w:rPr>
      <w:rFonts w:ascii="Times New Roman" w:eastAsiaTheme="majorEastAsia" w:hAnsi="Times New Roman" w:cstheme="majorBidi"/>
      <w:b/>
      <w:bCs/>
      <w:sz w:val="24"/>
      <w:szCs w:val="26"/>
    </w:rPr>
  </w:style>
  <w:style w:type="paragraph" w:customStyle="1" w:styleId="Pleading1Cont1">
    <w:name w:val="Pleading1 Cont 1"/>
    <w:basedOn w:val="Normal"/>
    <w:link w:val="Pleading1Cont1Char"/>
    <w:rsid w:val="006313B3"/>
    <w:pPr>
      <w:widowControl w:val="0"/>
      <w:spacing w:line="480" w:lineRule="auto"/>
    </w:pPr>
    <w:rPr>
      <w:rFonts w:eastAsia="Times New Roman" w:cs="Times New Roman"/>
      <w:szCs w:val="20"/>
    </w:rPr>
  </w:style>
  <w:style w:type="character" w:customStyle="1" w:styleId="Pleading1Cont1Char">
    <w:name w:val="Pleading1 Cont 1 Char"/>
    <w:basedOn w:val="DefaultParagraphFont"/>
    <w:link w:val="Pleading1Cont1"/>
    <w:rsid w:val="006313B3"/>
    <w:rPr>
      <w:rFonts w:ascii="Times New Roman" w:eastAsia="Times New Roman" w:hAnsi="Times New Roman" w:cs="Times New Roman"/>
      <w:sz w:val="24"/>
      <w:szCs w:val="20"/>
    </w:rPr>
  </w:style>
  <w:style w:type="paragraph" w:customStyle="1" w:styleId="Pleading1Cont2">
    <w:name w:val="Pleading1 Cont 2"/>
    <w:basedOn w:val="Pleading1Cont1"/>
    <w:link w:val="Pleading1Cont2Char"/>
    <w:rsid w:val="006313B3"/>
  </w:style>
  <w:style w:type="character" w:customStyle="1" w:styleId="Pleading1Cont2Char">
    <w:name w:val="Pleading1 Cont 2 Char"/>
    <w:basedOn w:val="DefaultParagraphFont"/>
    <w:link w:val="Pleading1Cont2"/>
    <w:rsid w:val="006313B3"/>
    <w:rPr>
      <w:rFonts w:ascii="Times New Roman" w:eastAsia="Times New Roman" w:hAnsi="Times New Roman" w:cs="Times New Roman"/>
      <w:sz w:val="24"/>
      <w:szCs w:val="20"/>
    </w:rPr>
  </w:style>
  <w:style w:type="paragraph" w:customStyle="1" w:styleId="Pleading1Cont3">
    <w:name w:val="Pleading1 Cont 3"/>
    <w:basedOn w:val="Pleading1Cont2"/>
    <w:link w:val="Pleading1Cont3Char"/>
    <w:rsid w:val="006313B3"/>
  </w:style>
  <w:style w:type="character" w:customStyle="1" w:styleId="Pleading1Cont3Char">
    <w:name w:val="Pleading1 Cont 3 Char"/>
    <w:basedOn w:val="DefaultParagraphFont"/>
    <w:link w:val="Pleading1Cont3"/>
    <w:rsid w:val="006313B3"/>
    <w:rPr>
      <w:rFonts w:ascii="Times New Roman" w:eastAsia="Times New Roman" w:hAnsi="Times New Roman" w:cs="Times New Roman"/>
      <w:sz w:val="24"/>
      <w:szCs w:val="20"/>
    </w:rPr>
  </w:style>
  <w:style w:type="paragraph" w:customStyle="1" w:styleId="Pleading1Cont4">
    <w:name w:val="Pleading1 Cont 4"/>
    <w:basedOn w:val="Pleading1Cont3"/>
    <w:link w:val="Pleading1Cont4Char"/>
    <w:rsid w:val="006313B3"/>
  </w:style>
  <w:style w:type="character" w:customStyle="1" w:styleId="Pleading1Cont4Char">
    <w:name w:val="Pleading1 Cont 4 Char"/>
    <w:basedOn w:val="DefaultParagraphFont"/>
    <w:link w:val="Pleading1Cont4"/>
    <w:rsid w:val="006313B3"/>
    <w:rPr>
      <w:rFonts w:ascii="Times New Roman" w:eastAsia="Times New Roman" w:hAnsi="Times New Roman" w:cs="Times New Roman"/>
      <w:sz w:val="24"/>
      <w:szCs w:val="20"/>
    </w:rPr>
  </w:style>
  <w:style w:type="paragraph" w:customStyle="1" w:styleId="Pleading1Cont5">
    <w:name w:val="Pleading1 Cont 5"/>
    <w:basedOn w:val="Pleading1Cont4"/>
    <w:link w:val="Pleading1Cont5Char"/>
    <w:rsid w:val="006313B3"/>
  </w:style>
  <w:style w:type="character" w:customStyle="1" w:styleId="Pleading1Cont5Char">
    <w:name w:val="Pleading1 Cont 5 Char"/>
    <w:basedOn w:val="DefaultParagraphFont"/>
    <w:link w:val="Pleading1Cont5"/>
    <w:rsid w:val="006313B3"/>
    <w:rPr>
      <w:rFonts w:ascii="Times New Roman" w:eastAsia="Times New Roman" w:hAnsi="Times New Roman" w:cs="Times New Roman"/>
      <w:sz w:val="24"/>
      <w:szCs w:val="20"/>
    </w:rPr>
  </w:style>
  <w:style w:type="paragraph" w:customStyle="1" w:styleId="Pleading1Cont6">
    <w:name w:val="Pleading1 Cont 6"/>
    <w:basedOn w:val="Pleading1Cont5"/>
    <w:link w:val="Pleading1Cont6Char"/>
    <w:rsid w:val="006313B3"/>
  </w:style>
  <w:style w:type="character" w:customStyle="1" w:styleId="Pleading1Cont6Char">
    <w:name w:val="Pleading1 Cont 6 Char"/>
    <w:basedOn w:val="DefaultParagraphFont"/>
    <w:link w:val="Pleading1Cont6"/>
    <w:rsid w:val="006313B3"/>
    <w:rPr>
      <w:rFonts w:ascii="Times New Roman" w:eastAsia="Times New Roman" w:hAnsi="Times New Roman" w:cs="Times New Roman"/>
      <w:sz w:val="24"/>
      <w:szCs w:val="20"/>
    </w:rPr>
  </w:style>
  <w:style w:type="paragraph" w:customStyle="1" w:styleId="Pleading1Cont7">
    <w:name w:val="Pleading1 Cont 7"/>
    <w:basedOn w:val="Pleading1Cont6"/>
    <w:link w:val="Pleading1Cont7Char"/>
    <w:rsid w:val="006313B3"/>
  </w:style>
  <w:style w:type="character" w:customStyle="1" w:styleId="Pleading1Cont7Char">
    <w:name w:val="Pleading1 Cont 7 Char"/>
    <w:basedOn w:val="DefaultParagraphFont"/>
    <w:link w:val="Pleading1Cont7"/>
    <w:rsid w:val="006313B3"/>
    <w:rPr>
      <w:rFonts w:ascii="Times New Roman" w:eastAsia="Times New Roman" w:hAnsi="Times New Roman" w:cs="Times New Roman"/>
      <w:sz w:val="24"/>
      <w:szCs w:val="20"/>
    </w:rPr>
  </w:style>
  <w:style w:type="paragraph" w:customStyle="1" w:styleId="Pleading1Cont8">
    <w:name w:val="Pleading1 Cont 8"/>
    <w:basedOn w:val="Pleading1Cont7"/>
    <w:link w:val="Pleading1Cont8Char"/>
    <w:rsid w:val="006313B3"/>
  </w:style>
  <w:style w:type="character" w:customStyle="1" w:styleId="Pleading1Cont8Char">
    <w:name w:val="Pleading1 Cont 8 Char"/>
    <w:basedOn w:val="DefaultParagraphFont"/>
    <w:link w:val="Pleading1Cont8"/>
    <w:rsid w:val="006313B3"/>
    <w:rPr>
      <w:rFonts w:ascii="Times New Roman" w:eastAsia="Times New Roman" w:hAnsi="Times New Roman" w:cs="Times New Roman"/>
      <w:sz w:val="24"/>
      <w:szCs w:val="20"/>
    </w:rPr>
  </w:style>
  <w:style w:type="paragraph" w:customStyle="1" w:styleId="Pleading1Cont9">
    <w:name w:val="Pleading1 Cont 9"/>
    <w:basedOn w:val="Pleading1Cont8"/>
    <w:link w:val="Pleading1Cont9Char"/>
    <w:rsid w:val="006313B3"/>
  </w:style>
  <w:style w:type="character" w:customStyle="1" w:styleId="Pleading1Cont9Char">
    <w:name w:val="Pleading1 Cont 9 Char"/>
    <w:basedOn w:val="DefaultParagraphFont"/>
    <w:link w:val="Pleading1Cont9"/>
    <w:rsid w:val="006313B3"/>
    <w:rPr>
      <w:rFonts w:ascii="Times New Roman" w:eastAsia="Times New Roman" w:hAnsi="Times New Roman" w:cs="Times New Roman"/>
      <w:sz w:val="24"/>
      <w:szCs w:val="20"/>
    </w:rPr>
  </w:style>
  <w:style w:type="paragraph" w:customStyle="1" w:styleId="Pleading1L1">
    <w:name w:val="Pleading1_L1"/>
    <w:basedOn w:val="Normal"/>
    <w:next w:val="BodyText"/>
    <w:link w:val="Pleading1L1Char"/>
    <w:rsid w:val="006313B3"/>
    <w:pPr>
      <w:keepNext/>
      <w:keepLines/>
      <w:widowControl w:val="0"/>
      <w:numPr>
        <w:numId w:val="1"/>
      </w:numPr>
      <w:spacing w:after="240"/>
      <w:outlineLvl w:val="0"/>
    </w:pPr>
    <w:rPr>
      <w:rFonts w:eastAsia="Times New Roman" w:cs="Times New Roman"/>
      <w:b/>
      <w:caps/>
      <w:szCs w:val="20"/>
      <w:u w:val="single"/>
    </w:rPr>
  </w:style>
  <w:style w:type="character" w:customStyle="1" w:styleId="Pleading1L1Char">
    <w:name w:val="Pleading1_L1 Char"/>
    <w:basedOn w:val="DefaultParagraphFont"/>
    <w:link w:val="Pleading1L1"/>
    <w:rsid w:val="006313B3"/>
    <w:rPr>
      <w:rFonts w:ascii="Times New Roman" w:eastAsia="Times New Roman" w:hAnsi="Times New Roman" w:cs="Times New Roman"/>
      <w:b/>
      <w:caps/>
      <w:sz w:val="24"/>
      <w:szCs w:val="20"/>
      <w:u w:val="single"/>
    </w:rPr>
  </w:style>
  <w:style w:type="paragraph" w:customStyle="1" w:styleId="Pleading1L2">
    <w:name w:val="Pleading1_L2"/>
    <w:basedOn w:val="Pleading1L1"/>
    <w:next w:val="BodyText"/>
    <w:link w:val="Pleading1L2Char"/>
    <w:rsid w:val="006313B3"/>
    <w:pPr>
      <w:numPr>
        <w:ilvl w:val="1"/>
      </w:numPr>
      <w:outlineLvl w:val="1"/>
    </w:pPr>
    <w:rPr>
      <w:caps w:val="0"/>
    </w:rPr>
  </w:style>
  <w:style w:type="character" w:customStyle="1" w:styleId="Pleading1L2Char">
    <w:name w:val="Pleading1_L2 Char"/>
    <w:basedOn w:val="DefaultParagraphFont"/>
    <w:link w:val="Pleading1L2"/>
    <w:rsid w:val="006313B3"/>
    <w:rPr>
      <w:rFonts w:ascii="Times New Roman" w:eastAsia="Times New Roman" w:hAnsi="Times New Roman" w:cs="Times New Roman"/>
      <w:b/>
      <w:sz w:val="24"/>
      <w:szCs w:val="20"/>
      <w:u w:val="single"/>
    </w:rPr>
  </w:style>
  <w:style w:type="paragraph" w:customStyle="1" w:styleId="Pleading1L3">
    <w:name w:val="Pleading1_L3"/>
    <w:basedOn w:val="Pleading1L2"/>
    <w:next w:val="BodyText"/>
    <w:link w:val="Pleading1L3Char"/>
    <w:rsid w:val="006313B3"/>
    <w:pPr>
      <w:numPr>
        <w:ilvl w:val="2"/>
      </w:numPr>
      <w:outlineLvl w:val="2"/>
    </w:pPr>
    <w:rPr>
      <w:b w:val="0"/>
      <w:u w:val="none"/>
    </w:rPr>
  </w:style>
  <w:style w:type="character" w:customStyle="1" w:styleId="Pleading1L3Char">
    <w:name w:val="Pleading1_L3 Char"/>
    <w:basedOn w:val="DefaultParagraphFont"/>
    <w:link w:val="Pleading1L3"/>
    <w:rsid w:val="006313B3"/>
    <w:rPr>
      <w:rFonts w:ascii="Times New Roman" w:eastAsia="Times New Roman" w:hAnsi="Times New Roman" w:cs="Times New Roman"/>
      <w:sz w:val="24"/>
      <w:szCs w:val="20"/>
    </w:rPr>
  </w:style>
  <w:style w:type="paragraph" w:customStyle="1" w:styleId="Pleading1L4">
    <w:name w:val="Pleading1_L4"/>
    <w:basedOn w:val="Pleading1L3"/>
    <w:next w:val="BodyText"/>
    <w:link w:val="Pleading1L4Char"/>
    <w:rsid w:val="006313B3"/>
    <w:pPr>
      <w:numPr>
        <w:ilvl w:val="3"/>
      </w:numPr>
      <w:outlineLvl w:val="3"/>
    </w:pPr>
  </w:style>
  <w:style w:type="character" w:customStyle="1" w:styleId="Pleading1L4Char">
    <w:name w:val="Pleading1_L4 Char"/>
    <w:basedOn w:val="DefaultParagraphFont"/>
    <w:link w:val="Pleading1L4"/>
    <w:rsid w:val="006313B3"/>
    <w:rPr>
      <w:rFonts w:ascii="Times New Roman" w:eastAsia="Times New Roman" w:hAnsi="Times New Roman" w:cs="Times New Roman"/>
      <w:sz w:val="24"/>
      <w:szCs w:val="20"/>
    </w:rPr>
  </w:style>
  <w:style w:type="paragraph" w:customStyle="1" w:styleId="Pleading1L5">
    <w:name w:val="Pleading1_L5"/>
    <w:basedOn w:val="Pleading1L4"/>
    <w:next w:val="BodyText"/>
    <w:link w:val="Pleading1L5Char"/>
    <w:rsid w:val="006313B3"/>
    <w:pPr>
      <w:numPr>
        <w:ilvl w:val="4"/>
      </w:numPr>
      <w:outlineLvl w:val="4"/>
    </w:pPr>
  </w:style>
  <w:style w:type="character" w:customStyle="1" w:styleId="Pleading1L5Char">
    <w:name w:val="Pleading1_L5 Char"/>
    <w:basedOn w:val="DefaultParagraphFont"/>
    <w:link w:val="Pleading1L5"/>
    <w:rsid w:val="006313B3"/>
    <w:rPr>
      <w:rFonts w:ascii="Times New Roman" w:eastAsia="Times New Roman" w:hAnsi="Times New Roman" w:cs="Times New Roman"/>
      <w:sz w:val="24"/>
      <w:szCs w:val="20"/>
    </w:rPr>
  </w:style>
  <w:style w:type="paragraph" w:customStyle="1" w:styleId="Pleading1L6">
    <w:name w:val="Pleading1_L6"/>
    <w:basedOn w:val="Pleading1L5"/>
    <w:next w:val="BodyText"/>
    <w:link w:val="Pleading1L6Char"/>
    <w:rsid w:val="006313B3"/>
    <w:pPr>
      <w:numPr>
        <w:ilvl w:val="5"/>
      </w:numPr>
      <w:outlineLvl w:val="5"/>
    </w:pPr>
  </w:style>
  <w:style w:type="character" w:customStyle="1" w:styleId="Pleading1L6Char">
    <w:name w:val="Pleading1_L6 Char"/>
    <w:basedOn w:val="DefaultParagraphFont"/>
    <w:link w:val="Pleading1L6"/>
    <w:rsid w:val="006313B3"/>
    <w:rPr>
      <w:rFonts w:ascii="Times New Roman" w:eastAsia="Times New Roman" w:hAnsi="Times New Roman" w:cs="Times New Roman"/>
      <w:sz w:val="24"/>
      <w:szCs w:val="20"/>
    </w:rPr>
  </w:style>
  <w:style w:type="paragraph" w:customStyle="1" w:styleId="Pleading1L7">
    <w:name w:val="Pleading1_L7"/>
    <w:basedOn w:val="Pleading1L6"/>
    <w:next w:val="BodyText"/>
    <w:link w:val="Pleading1L7Char"/>
    <w:rsid w:val="006313B3"/>
    <w:pPr>
      <w:numPr>
        <w:ilvl w:val="6"/>
      </w:numPr>
      <w:outlineLvl w:val="6"/>
    </w:pPr>
  </w:style>
  <w:style w:type="character" w:customStyle="1" w:styleId="Pleading1L7Char">
    <w:name w:val="Pleading1_L7 Char"/>
    <w:basedOn w:val="DefaultParagraphFont"/>
    <w:link w:val="Pleading1L7"/>
    <w:rsid w:val="006313B3"/>
    <w:rPr>
      <w:rFonts w:ascii="Times New Roman" w:eastAsia="Times New Roman" w:hAnsi="Times New Roman" w:cs="Times New Roman"/>
      <w:sz w:val="24"/>
      <w:szCs w:val="20"/>
    </w:rPr>
  </w:style>
  <w:style w:type="paragraph" w:customStyle="1" w:styleId="Pleading1L8">
    <w:name w:val="Pleading1_L8"/>
    <w:basedOn w:val="Pleading1L7"/>
    <w:next w:val="BodyText"/>
    <w:link w:val="Pleading1L8Char"/>
    <w:rsid w:val="006313B3"/>
    <w:pPr>
      <w:numPr>
        <w:ilvl w:val="7"/>
      </w:numPr>
      <w:outlineLvl w:val="7"/>
    </w:pPr>
  </w:style>
  <w:style w:type="character" w:customStyle="1" w:styleId="Pleading1L8Char">
    <w:name w:val="Pleading1_L8 Char"/>
    <w:basedOn w:val="DefaultParagraphFont"/>
    <w:link w:val="Pleading1L8"/>
    <w:rsid w:val="006313B3"/>
    <w:rPr>
      <w:rFonts w:ascii="Times New Roman" w:eastAsia="Times New Roman" w:hAnsi="Times New Roman" w:cs="Times New Roman"/>
      <w:sz w:val="24"/>
      <w:szCs w:val="20"/>
    </w:rPr>
  </w:style>
  <w:style w:type="paragraph" w:customStyle="1" w:styleId="Pleading1L9">
    <w:name w:val="Pleading1_L9"/>
    <w:basedOn w:val="Pleading1L8"/>
    <w:next w:val="BodyText"/>
    <w:link w:val="Pleading1L9Char"/>
    <w:rsid w:val="006313B3"/>
    <w:pPr>
      <w:numPr>
        <w:ilvl w:val="8"/>
      </w:numPr>
      <w:outlineLvl w:val="8"/>
    </w:pPr>
  </w:style>
  <w:style w:type="character" w:customStyle="1" w:styleId="Pleading1L9Char">
    <w:name w:val="Pleading1_L9 Char"/>
    <w:basedOn w:val="DefaultParagraphFont"/>
    <w:link w:val="Pleading1L9"/>
    <w:rsid w:val="006313B3"/>
    <w:rPr>
      <w:rFonts w:ascii="Times New Roman" w:eastAsia="Times New Roman" w:hAnsi="Times New Roman" w:cs="Times New Roman"/>
      <w:sz w:val="24"/>
      <w:szCs w:val="20"/>
    </w:rPr>
  </w:style>
  <w:style w:type="paragraph" w:styleId="FootnoteText">
    <w:name w:val="footnote text"/>
    <w:basedOn w:val="Normal"/>
    <w:link w:val="FootnoteTextChar"/>
    <w:uiPriority w:val="99"/>
    <w:unhideWhenUsed/>
    <w:rsid w:val="00301D1E"/>
    <w:rPr>
      <w:sz w:val="20"/>
      <w:szCs w:val="20"/>
    </w:rPr>
  </w:style>
  <w:style w:type="character" w:customStyle="1" w:styleId="FootnoteTextChar">
    <w:name w:val="Footnote Text Char"/>
    <w:basedOn w:val="DefaultParagraphFont"/>
    <w:link w:val="FootnoteText"/>
    <w:uiPriority w:val="99"/>
    <w:rsid w:val="00301D1E"/>
    <w:rPr>
      <w:rFonts w:ascii="Times New Roman" w:hAnsi="Times New Roman"/>
      <w:sz w:val="20"/>
      <w:szCs w:val="20"/>
    </w:rPr>
  </w:style>
  <w:style w:type="character" w:styleId="FootnoteReference">
    <w:name w:val="footnote reference"/>
    <w:basedOn w:val="DefaultParagraphFont"/>
    <w:uiPriority w:val="99"/>
    <w:semiHidden/>
    <w:unhideWhenUsed/>
    <w:rsid w:val="00301D1E"/>
    <w:rPr>
      <w:vertAlign w:val="superscript"/>
    </w:rPr>
  </w:style>
  <w:style w:type="character" w:styleId="Hyperlink">
    <w:name w:val="Hyperlink"/>
    <w:basedOn w:val="DefaultParagraphFont"/>
    <w:uiPriority w:val="99"/>
    <w:unhideWhenUsed/>
    <w:rsid w:val="00214D6F"/>
    <w:rPr>
      <w:color w:val="0000FF" w:themeColor="hyperlink"/>
      <w:u w:val="single"/>
    </w:rPr>
  </w:style>
  <w:style w:type="paragraph" w:customStyle="1" w:styleId="MacPacTrailer">
    <w:name w:val="MacPac Trailer"/>
    <w:rsid w:val="00CF026F"/>
    <w:pPr>
      <w:widowControl w:val="0"/>
      <w:spacing w:after="0" w:line="200" w:lineRule="exact"/>
    </w:pPr>
    <w:rPr>
      <w:rFonts w:ascii="Times New Roman" w:eastAsia="Times New Roman" w:hAnsi="Times New Roman" w:cs="Times New Roman"/>
      <w:sz w:val="16"/>
    </w:rPr>
  </w:style>
  <w:style w:type="paragraph" w:styleId="BalloonText">
    <w:name w:val="Balloon Text"/>
    <w:basedOn w:val="Normal"/>
    <w:link w:val="BalloonTextChar"/>
    <w:uiPriority w:val="99"/>
    <w:semiHidden/>
    <w:unhideWhenUsed/>
    <w:rsid w:val="00C26D8E"/>
    <w:rPr>
      <w:rFonts w:ascii="Tahoma" w:hAnsi="Tahoma" w:cs="Tahoma"/>
      <w:sz w:val="16"/>
      <w:szCs w:val="16"/>
    </w:rPr>
  </w:style>
  <w:style w:type="character" w:customStyle="1" w:styleId="BalloonTextChar">
    <w:name w:val="Balloon Text Char"/>
    <w:basedOn w:val="DefaultParagraphFont"/>
    <w:link w:val="BalloonText"/>
    <w:uiPriority w:val="99"/>
    <w:semiHidden/>
    <w:rsid w:val="00C26D8E"/>
    <w:rPr>
      <w:rFonts w:ascii="Tahoma" w:hAnsi="Tahoma" w:cs="Tahoma"/>
      <w:sz w:val="16"/>
      <w:szCs w:val="16"/>
    </w:rPr>
  </w:style>
  <w:style w:type="character" w:styleId="PlaceholderText">
    <w:name w:val="Placeholder Text"/>
    <w:basedOn w:val="DefaultParagraphFont"/>
    <w:uiPriority w:val="99"/>
    <w:semiHidden/>
    <w:rsid w:val="00C26D8E"/>
    <w:rPr>
      <w:color w:val="808080"/>
    </w:rPr>
  </w:style>
  <w:style w:type="character" w:customStyle="1" w:styleId="apple-style-span">
    <w:name w:val="apple-style-span"/>
    <w:basedOn w:val="DefaultParagraphFont"/>
    <w:rsid w:val="00A65A09"/>
  </w:style>
  <w:style w:type="paragraph" w:styleId="PlainText">
    <w:name w:val="Plain Text"/>
    <w:basedOn w:val="Normal"/>
    <w:link w:val="PlainTextChar"/>
    <w:uiPriority w:val="99"/>
    <w:unhideWhenUsed/>
    <w:rsid w:val="00FE5051"/>
    <w:rPr>
      <w:rFonts w:ascii="Calibri" w:hAnsi="Calibri"/>
      <w:sz w:val="22"/>
      <w:szCs w:val="21"/>
    </w:rPr>
  </w:style>
  <w:style w:type="character" w:customStyle="1" w:styleId="PlainTextChar">
    <w:name w:val="Plain Text Char"/>
    <w:basedOn w:val="DefaultParagraphFont"/>
    <w:link w:val="PlainText"/>
    <w:uiPriority w:val="99"/>
    <w:rsid w:val="00FE5051"/>
    <w:rPr>
      <w:rFonts w:ascii="Calibri" w:hAnsi="Calibri"/>
      <w:szCs w:val="21"/>
    </w:rPr>
  </w:style>
  <w:style w:type="paragraph" w:styleId="ListParagraph">
    <w:name w:val="List Paragraph"/>
    <w:basedOn w:val="Normal"/>
    <w:uiPriority w:val="34"/>
    <w:qFormat/>
    <w:rsid w:val="00A71A00"/>
    <w:pPr>
      <w:ind w:left="720"/>
      <w:contextualSpacing/>
    </w:pPr>
  </w:style>
  <w:style w:type="character" w:styleId="FollowedHyperlink">
    <w:name w:val="FollowedHyperlink"/>
    <w:basedOn w:val="DefaultParagraphFont"/>
    <w:uiPriority w:val="99"/>
    <w:semiHidden/>
    <w:unhideWhenUsed/>
    <w:rsid w:val="00271872"/>
    <w:rPr>
      <w:color w:val="800080" w:themeColor="followedHyperlink"/>
      <w:u w:val="single"/>
    </w:rPr>
  </w:style>
  <w:style w:type="paragraph" w:customStyle="1" w:styleId="Default">
    <w:name w:val="Default"/>
    <w:rsid w:val="00661B8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991969">
      <w:bodyDiv w:val="1"/>
      <w:marLeft w:val="0"/>
      <w:marRight w:val="0"/>
      <w:marTop w:val="0"/>
      <w:marBottom w:val="0"/>
      <w:divBdr>
        <w:top w:val="none" w:sz="0" w:space="0" w:color="auto"/>
        <w:left w:val="none" w:sz="0" w:space="0" w:color="auto"/>
        <w:bottom w:val="none" w:sz="0" w:space="0" w:color="auto"/>
        <w:right w:val="none" w:sz="0" w:space="0" w:color="auto"/>
      </w:divBdr>
    </w:div>
    <w:div w:id="456067129">
      <w:bodyDiv w:val="1"/>
      <w:marLeft w:val="0"/>
      <w:marRight w:val="0"/>
      <w:marTop w:val="0"/>
      <w:marBottom w:val="0"/>
      <w:divBdr>
        <w:top w:val="none" w:sz="0" w:space="0" w:color="auto"/>
        <w:left w:val="none" w:sz="0" w:space="0" w:color="auto"/>
        <w:bottom w:val="none" w:sz="0" w:space="0" w:color="auto"/>
        <w:right w:val="none" w:sz="0" w:space="0" w:color="auto"/>
      </w:divBdr>
    </w:div>
    <w:div w:id="132994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azcourts.gov/Portals/74/CJRC/Master%20CJRC%20Final%20Report%20and%20Recommendations.pdf" TargetMode="External"/><Relationship Id="rId3" Type="http://schemas.openxmlformats.org/officeDocument/2006/relationships/hyperlink" Target="https://www.azcourts.gov/Rules-Forum/aff/118" TargetMode="External"/><Relationship Id="rId7" Type="http://schemas.openxmlformats.org/officeDocument/2006/relationships/hyperlink" Target="http://www.azcourts.gov/Portals/26/AOM/Reciprocal_AndNON2016JULY12.pdf" TargetMode="External"/><Relationship Id="rId2" Type="http://schemas.openxmlformats.org/officeDocument/2006/relationships/hyperlink" Target="https://www.azcourts.gov/DesktopModules/ActiveForums/viewer.aspx?portalid=0&amp;moduleid=23621&amp;attachmentid=4870" TargetMode="External"/><Relationship Id="rId1" Type="http://schemas.openxmlformats.org/officeDocument/2006/relationships/hyperlink" Target="http://www.azcourts.gov/Portals/20/2017%20Rules/17-0010.pdf" TargetMode="External"/><Relationship Id="rId6" Type="http://schemas.openxmlformats.org/officeDocument/2006/relationships/hyperlink" Target="https://www.azcourts.gov/Rules-Forum/aft/578" TargetMode="External"/><Relationship Id="rId5" Type="http://schemas.openxmlformats.org/officeDocument/2006/relationships/hyperlink" Target="https://www.azcourts.gov/DesktopModules/ActiveForums/viewer.aspx?portalid=0&amp;moduleid=23621&amp;attachmentid=5416" TargetMode="External"/><Relationship Id="rId4" Type="http://schemas.openxmlformats.org/officeDocument/2006/relationships/hyperlink" Target="https://www.azcourts.gov/DesktopModules/ActiveForums/viewer.aspx?portalid=0&amp;moduleid=23621&amp;attachmentid=54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E4A49-8BFD-4960-BEDF-2DB8C669D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892</TotalTime>
  <Pages>24</Pages>
  <Words>3428</Words>
  <Characters>19542</Characters>
  <Application>Microsoft Office Word</Application>
  <DocSecurity>0</DocSecurity>
  <Lines>162</Lines>
  <Paragraphs>45</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background of the proposed amendments</vt:lpstr>
      <vt:lpstr>    Small, Yet Crucial, Changes to Rule 11, Ariz. R. Civ. P.</vt:lpstr>
      <vt:lpstr>    The Important Addition of Rule 26(b)(2)(D)</vt:lpstr>
      <vt:lpstr>only a single comment opposed the proposed amendments, Which were unanimously re</vt:lpstr>
      <vt:lpstr>    Any Opposition to the Proposed Changes to Rule 11 Only Appears to Have Lessened.</vt:lpstr>
      <vt:lpstr>    The Single Comment in Opposition to the Addition of Rule 26(b)(2)(D) Opposed it </vt:lpstr>
      <vt:lpstr>the ccjr’s proposed rule 11(b) standards adhere more closely to actual arizona s</vt:lpstr>
      <vt:lpstr>twenty percent of states have mandatory rule 11 sanctions and congress has previ</vt:lpstr>
      <vt:lpstr>the addition of rule 26(b)(2)(D) was at the heart of the CCJR’s mission and is a</vt:lpstr>
      <vt:lpstr>the addition of Rule 26(b)(2)(D) dovetails with the court’s recent adoption of r</vt:lpstr>
      <vt:lpstr>conclusion</vt:lpstr>
    </vt:vector>
  </TitlesOfParts>
  <Company>Snell &amp; Wilmer L.L.P.</Company>
  <LinksUpToDate>false</LinksUpToDate>
  <CharactersWithSpaces>22925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Hobbs, Tracy</cp:lastModifiedBy>
  <cp:revision>62</cp:revision>
  <cp:lastPrinted>2017-09-16T04:03:00Z</cp:lastPrinted>
  <dcterms:created xsi:type="dcterms:W3CDTF">2017-09-15T04:41:00Z</dcterms:created>
  <dcterms:modified xsi:type="dcterms:W3CDTF">2017-10-19T21:22:00Z</dcterms:modified>
</cp:coreProperties>
</file>