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5573C" w14:textId="77777777" w:rsidR="00C931EF" w:rsidRPr="00AB55F8" w:rsidRDefault="00C931EF" w:rsidP="00C931EF">
      <w:pPr>
        <w:rPr>
          <w:sz w:val="28"/>
          <w:szCs w:val="28"/>
        </w:rPr>
      </w:pPr>
      <w:r w:rsidRPr="00AB55F8">
        <w:rPr>
          <w:sz w:val="28"/>
          <w:szCs w:val="28"/>
        </w:rPr>
        <w:t>David K. Byers</w:t>
      </w:r>
    </w:p>
    <w:p w14:paraId="06F05B30" w14:textId="77777777" w:rsidR="00C931EF" w:rsidRPr="00AB55F8" w:rsidRDefault="00C931EF" w:rsidP="00C931EF">
      <w:pPr>
        <w:rPr>
          <w:sz w:val="28"/>
          <w:szCs w:val="28"/>
        </w:rPr>
      </w:pPr>
      <w:r w:rsidRPr="00AB55F8">
        <w:rPr>
          <w:sz w:val="28"/>
          <w:szCs w:val="28"/>
        </w:rPr>
        <w:t>Administrative Director</w:t>
      </w:r>
    </w:p>
    <w:p w14:paraId="4DE6F15D" w14:textId="77777777" w:rsidR="00C931EF" w:rsidRPr="00AB55F8" w:rsidRDefault="00C931EF" w:rsidP="00C931EF">
      <w:pPr>
        <w:rPr>
          <w:sz w:val="28"/>
          <w:szCs w:val="28"/>
        </w:rPr>
      </w:pPr>
      <w:r w:rsidRPr="00AB55F8">
        <w:rPr>
          <w:sz w:val="28"/>
          <w:szCs w:val="28"/>
        </w:rPr>
        <w:t>Administrative Office of the Courts</w:t>
      </w:r>
    </w:p>
    <w:p w14:paraId="2FC66E14" w14:textId="77777777" w:rsidR="00C931EF" w:rsidRPr="00AB55F8" w:rsidRDefault="00C931EF" w:rsidP="00C931EF">
      <w:pPr>
        <w:rPr>
          <w:sz w:val="28"/>
          <w:szCs w:val="28"/>
        </w:rPr>
      </w:pPr>
      <w:r w:rsidRPr="00AB55F8">
        <w:rPr>
          <w:sz w:val="28"/>
          <w:szCs w:val="28"/>
        </w:rPr>
        <w:t>1501 W. Washington, Suite 411</w:t>
      </w:r>
    </w:p>
    <w:p w14:paraId="6A79C151" w14:textId="77777777" w:rsidR="00C931EF" w:rsidRPr="00AB55F8" w:rsidRDefault="00C931EF" w:rsidP="00C931EF">
      <w:pPr>
        <w:rPr>
          <w:sz w:val="28"/>
          <w:szCs w:val="28"/>
        </w:rPr>
      </w:pPr>
      <w:r w:rsidRPr="00AB55F8">
        <w:rPr>
          <w:sz w:val="28"/>
          <w:szCs w:val="28"/>
        </w:rPr>
        <w:t>Phoenix, AZ  85007</w:t>
      </w:r>
    </w:p>
    <w:p w14:paraId="5BFA2846" w14:textId="77777777" w:rsidR="00C931EF" w:rsidRPr="00AB55F8" w:rsidRDefault="00C931EF" w:rsidP="00C931EF">
      <w:pPr>
        <w:rPr>
          <w:sz w:val="28"/>
          <w:szCs w:val="28"/>
        </w:rPr>
      </w:pPr>
      <w:r w:rsidRPr="00AB55F8">
        <w:rPr>
          <w:sz w:val="28"/>
          <w:szCs w:val="28"/>
        </w:rPr>
        <w:t>(602) 452-3301</w:t>
      </w:r>
    </w:p>
    <w:p w14:paraId="26E7FC31" w14:textId="77777777" w:rsidR="00C931EF" w:rsidRPr="00AB55F8" w:rsidRDefault="00C931EF" w:rsidP="00C931EF">
      <w:pPr>
        <w:rPr>
          <w:sz w:val="28"/>
          <w:szCs w:val="28"/>
        </w:rPr>
      </w:pPr>
      <w:r w:rsidRPr="00AB55F8">
        <w:rPr>
          <w:sz w:val="28"/>
          <w:szCs w:val="28"/>
        </w:rPr>
        <w:t>Projects2@courts.az.gov</w:t>
      </w:r>
    </w:p>
    <w:p w14:paraId="2CC2B9D2" w14:textId="4BEB7BD0" w:rsidR="00AE5191" w:rsidRPr="00AB55F8" w:rsidRDefault="2DB5FE94" w:rsidP="00C931EF">
      <w:pPr>
        <w:rPr>
          <w:sz w:val="28"/>
          <w:szCs w:val="28"/>
        </w:rPr>
      </w:pPr>
      <w:r w:rsidRPr="2DB5FE94">
        <w:rPr>
          <w:sz w:val="28"/>
          <w:szCs w:val="28"/>
        </w:rPr>
        <w:t xml:space="preserve"> </w:t>
      </w:r>
    </w:p>
    <w:p w14:paraId="455F74D8" w14:textId="77777777" w:rsidR="00C931EF" w:rsidRPr="00AB55F8" w:rsidRDefault="00C931EF" w:rsidP="004226BE">
      <w:pPr>
        <w:pStyle w:val="Heading1"/>
        <w:spacing w:line="240" w:lineRule="auto"/>
        <w:rPr>
          <w:rFonts w:ascii="Times New Roman" w:hAnsi="Times New Roman"/>
          <w:b w:val="0"/>
          <w:bCs/>
          <w:sz w:val="28"/>
          <w:szCs w:val="28"/>
        </w:rPr>
      </w:pPr>
      <w:r w:rsidRPr="00AB55F8">
        <w:rPr>
          <w:rFonts w:ascii="Times New Roman" w:hAnsi="Times New Roman"/>
          <w:b w:val="0"/>
          <w:bCs/>
          <w:sz w:val="28"/>
          <w:szCs w:val="28"/>
        </w:rPr>
        <w:t>IN THE SUPREME COURT</w:t>
      </w:r>
    </w:p>
    <w:p w14:paraId="7A126E36" w14:textId="77777777" w:rsidR="000468C5" w:rsidRPr="00AE5191" w:rsidRDefault="00C931EF" w:rsidP="004226BE">
      <w:pPr>
        <w:pStyle w:val="Heading1"/>
        <w:spacing w:line="240" w:lineRule="auto"/>
        <w:rPr>
          <w:rFonts w:ascii="Times New Roman" w:hAnsi="Times New Roman"/>
          <w:b w:val="0"/>
          <w:bCs/>
          <w:sz w:val="28"/>
          <w:szCs w:val="28"/>
        </w:rPr>
      </w:pPr>
      <w:r w:rsidRPr="00AB55F8">
        <w:rPr>
          <w:rFonts w:ascii="Times New Roman" w:hAnsi="Times New Roman"/>
          <w:b w:val="0"/>
          <w:bCs/>
          <w:sz w:val="28"/>
          <w:szCs w:val="28"/>
        </w:rPr>
        <w:t>STATE OF ARIZONA</w:t>
      </w:r>
    </w:p>
    <w:p w14:paraId="301B1577" w14:textId="77777777" w:rsidR="004226BE" w:rsidRDefault="004226BE" w:rsidP="00C931EF">
      <w:pPr>
        <w:tabs>
          <w:tab w:val="left" w:pos="4320"/>
        </w:tabs>
        <w:rPr>
          <w:sz w:val="28"/>
          <w:szCs w:val="28"/>
        </w:rPr>
      </w:pPr>
    </w:p>
    <w:p w14:paraId="1A1335D9" w14:textId="510E0085" w:rsidR="00C931EF" w:rsidRDefault="00367ECD" w:rsidP="00C931EF">
      <w:pPr>
        <w:tabs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>In the Matter of</w:t>
      </w:r>
      <w:r w:rsidR="006F62BD">
        <w:rPr>
          <w:sz w:val="28"/>
          <w:szCs w:val="28"/>
        </w:rPr>
        <w:tab/>
        <w:t>)</w:t>
      </w:r>
    </w:p>
    <w:p w14:paraId="31584D7C" w14:textId="7FE7DA7B" w:rsidR="00BB28CE" w:rsidRDefault="00BB28CE" w:rsidP="00C931EF">
      <w:pPr>
        <w:tabs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)</w:t>
      </w:r>
    </w:p>
    <w:p w14:paraId="6E058179" w14:textId="77777777" w:rsidR="00367ECD" w:rsidRDefault="00367ECD" w:rsidP="00C931EF">
      <w:pPr>
        <w:tabs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 xml:space="preserve">PETITION TO AMEND RULES </w:t>
      </w:r>
      <w:r w:rsidR="00097772">
        <w:rPr>
          <w:sz w:val="28"/>
          <w:szCs w:val="28"/>
        </w:rPr>
        <w:t>4.2</w:t>
      </w:r>
      <w:r>
        <w:rPr>
          <w:sz w:val="28"/>
          <w:szCs w:val="28"/>
        </w:rPr>
        <w:tab/>
        <w:t>)</w:t>
      </w:r>
    </w:p>
    <w:p w14:paraId="6444EF46" w14:textId="602A1E63" w:rsidR="00367ECD" w:rsidRDefault="00097772" w:rsidP="00C931EF">
      <w:pPr>
        <w:tabs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>5.1</w:t>
      </w:r>
      <w:r w:rsidR="004656AB">
        <w:rPr>
          <w:sz w:val="28"/>
          <w:szCs w:val="28"/>
        </w:rPr>
        <w:t xml:space="preserve">, </w:t>
      </w:r>
      <w:r w:rsidR="00B14EE7">
        <w:rPr>
          <w:sz w:val="28"/>
          <w:szCs w:val="28"/>
        </w:rPr>
        <w:t xml:space="preserve">5.4, </w:t>
      </w:r>
      <w:r>
        <w:rPr>
          <w:sz w:val="28"/>
          <w:szCs w:val="28"/>
        </w:rPr>
        <w:t xml:space="preserve">7.2, </w:t>
      </w:r>
      <w:r w:rsidR="00B14EE7">
        <w:rPr>
          <w:sz w:val="28"/>
          <w:szCs w:val="28"/>
        </w:rPr>
        <w:t xml:space="preserve">7.4, </w:t>
      </w:r>
      <w:r>
        <w:rPr>
          <w:sz w:val="28"/>
          <w:szCs w:val="28"/>
        </w:rPr>
        <w:t>26.12 AND 27.8 OF</w:t>
      </w:r>
      <w:r w:rsidR="00BB28CE">
        <w:rPr>
          <w:sz w:val="28"/>
          <w:szCs w:val="28"/>
        </w:rPr>
        <w:tab/>
      </w:r>
      <w:r w:rsidR="00367ECD">
        <w:rPr>
          <w:sz w:val="28"/>
          <w:szCs w:val="28"/>
        </w:rPr>
        <w:t>)</w:t>
      </w:r>
      <w:r w:rsidR="00367ECD">
        <w:rPr>
          <w:sz w:val="28"/>
          <w:szCs w:val="28"/>
        </w:rPr>
        <w:tab/>
        <w:t>Supreme Court No.</w:t>
      </w:r>
      <w:r w:rsidR="009C6A75">
        <w:rPr>
          <w:sz w:val="28"/>
          <w:szCs w:val="28"/>
        </w:rPr>
        <w:t xml:space="preserve"> R-1</w:t>
      </w:r>
      <w:r w:rsidR="00B1779A">
        <w:rPr>
          <w:sz w:val="28"/>
          <w:szCs w:val="28"/>
        </w:rPr>
        <w:t>7</w:t>
      </w:r>
      <w:r w:rsidR="00C602B0">
        <w:rPr>
          <w:sz w:val="28"/>
          <w:szCs w:val="28"/>
        </w:rPr>
        <w:t>-0015</w:t>
      </w:r>
    </w:p>
    <w:p w14:paraId="439C350F" w14:textId="1E819124" w:rsidR="00367ECD" w:rsidRDefault="00B14EE7" w:rsidP="00C931EF">
      <w:pPr>
        <w:tabs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097772">
        <w:rPr>
          <w:sz w:val="28"/>
          <w:szCs w:val="28"/>
        </w:rPr>
        <w:t xml:space="preserve">ARIZONA </w:t>
      </w:r>
      <w:r w:rsidR="004656AB">
        <w:rPr>
          <w:sz w:val="28"/>
          <w:szCs w:val="28"/>
        </w:rPr>
        <w:t>RULES OF</w:t>
      </w:r>
      <w:r w:rsidR="00367ECD">
        <w:rPr>
          <w:sz w:val="28"/>
          <w:szCs w:val="28"/>
        </w:rPr>
        <w:tab/>
        <w:t>)</w:t>
      </w:r>
      <w:r w:rsidR="00622B58">
        <w:rPr>
          <w:sz w:val="28"/>
          <w:szCs w:val="28"/>
        </w:rPr>
        <w:tab/>
      </w:r>
    </w:p>
    <w:p w14:paraId="5AAC581D" w14:textId="1597BBD9" w:rsidR="00367ECD" w:rsidRDefault="00B14EE7" w:rsidP="00C931EF">
      <w:pPr>
        <w:tabs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 xml:space="preserve">CRIMINAL </w:t>
      </w:r>
      <w:r w:rsidR="004656AB">
        <w:rPr>
          <w:sz w:val="28"/>
          <w:szCs w:val="28"/>
        </w:rPr>
        <w:t>PROCEDURE</w:t>
      </w:r>
      <w:r w:rsidR="00367ECD">
        <w:rPr>
          <w:sz w:val="28"/>
          <w:szCs w:val="28"/>
        </w:rPr>
        <w:tab/>
        <w:t>)</w:t>
      </w:r>
      <w:r w:rsidR="00622B58">
        <w:rPr>
          <w:sz w:val="28"/>
          <w:szCs w:val="28"/>
        </w:rPr>
        <w:tab/>
      </w:r>
      <w:r w:rsidR="00622B58" w:rsidRPr="00622B58">
        <w:rPr>
          <w:b/>
          <w:sz w:val="28"/>
          <w:szCs w:val="28"/>
        </w:rPr>
        <w:t>PETITIONER’S REPLY</w:t>
      </w:r>
      <w:r w:rsidR="00251F4B">
        <w:rPr>
          <w:b/>
          <w:sz w:val="28"/>
          <w:szCs w:val="28"/>
        </w:rPr>
        <w:t xml:space="preserve"> TO </w:t>
      </w:r>
    </w:p>
    <w:p w14:paraId="20BD3E4F" w14:textId="409EB709" w:rsidR="002F6CDD" w:rsidRDefault="002F6CDD" w:rsidP="00C931EF">
      <w:pPr>
        <w:tabs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_______________________________)</w:t>
      </w:r>
      <w:r w:rsidR="00251F4B">
        <w:rPr>
          <w:sz w:val="28"/>
          <w:szCs w:val="28"/>
        </w:rPr>
        <w:tab/>
      </w:r>
      <w:r w:rsidR="00251F4B" w:rsidRPr="00251F4B">
        <w:rPr>
          <w:b/>
          <w:sz w:val="28"/>
          <w:szCs w:val="28"/>
        </w:rPr>
        <w:t>AACJ/APDA COMMENT</w:t>
      </w:r>
    </w:p>
    <w:p w14:paraId="456DB92A" w14:textId="77777777" w:rsidR="00766541" w:rsidRPr="00AB55F8" w:rsidRDefault="00766541" w:rsidP="00C931EF">
      <w:pPr>
        <w:tabs>
          <w:tab w:val="left" w:pos="4320"/>
        </w:tabs>
        <w:rPr>
          <w:sz w:val="28"/>
          <w:szCs w:val="28"/>
        </w:rPr>
      </w:pPr>
    </w:p>
    <w:p w14:paraId="57AC9DA4" w14:textId="77777777" w:rsidR="00F977DE" w:rsidRDefault="00F977DE" w:rsidP="007654B2">
      <w:pPr>
        <w:spacing w:line="480" w:lineRule="auto"/>
        <w:ind w:firstLine="720"/>
        <w:jc w:val="both"/>
        <w:rPr>
          <w:sz w:val="28"/>
          <w:szCs w:val="28"/>
        </w:rPr>
      </w:pPr>
    </w:p>
    <w:p w14:paraId="30A4BF2F" w14:textId="222DF214" w:rsidR="004241E4" w:rsidRDefault="00C478B9" w:rsidP="007654B2">
      <w:pPr>
        <w:spacing w:line="480" w:lineRule="auto"/>
        <w:ind w:firstLine="720"/>
        <w:jc w:val="both"/>
        <w:rPr>
          <w:sz w:val="28"/>
          <w:szCs w:val="28"/>
        </w:rPr>
      </w:pPr>
      <w:r w:rsidRPr="00C55120">
        <w:rPr>
          <w:sz w:val="28"/>
          <w:szCs w:val="28"/>
        </w:rPr>
        <w:t xml:space="preserve">The Petition in this matter received </w:t>
      </w:r>
      <w:r w:rsidR="00251F4B">
        <w:rPr>
          <w:sz w:val="28"/>
          <w:szCs w:val="28"/>
        </w:rPr>
        <w:t xml:space="preserve">one comment in response to the Court’s August 31, 2017 order distributing </w:t>
      </w:r>
      <w:r w:rsidR="00673703">
        <w:rPr>
          <w:sz w:val="28"/>
          <w:szCs w:val="28"/>
        </w:rPr>
        <w:t xml:space="preserve">a modified version of the proposed bail eligibility rules </w:t>
      </w:r>
      <w:r w:rsidR="00251F4B">
        <w:rPr>
          <w:sz w:val="28"/>
          <w:szCs w:val="28"/>
        </w:rPr>
        <w:t>for additional comment.</w:t>
      </w:r>
      <w:r w:rsidRPr="00C55120">
        <w:rPr>
          <w:sz w:val="28"/>
          <w:szCs w:val="28"/>
        </w:rPr>
        <w:t xml:space="preserve"> </w:t>
      </w:r>
      <w:r w:rsidR="00251F4B">
        <w:rPr>
          <w:sz w:val="28"/>
          <w:szCs w:val="28"/>
        </w:rPr>
        <w:t>T</w:t>
      </w:r>
      <w:r w:rsidR="00EE501F">
        <w:rPr>
          <w:sz w:val="28"/>
          <w:szCs w:val="28"/>
        </w:rPr>
        <w:t>he Arizona Attorneys for Criminal Justice and the Arizona Public Defender Association (</w:t>
      </w:r>
      <w:bookmarkStart w:id="0" w:name="_Hlk494283606"/>
      <w:r w:rsidR="00EE501F">
        <w:rPr>
          <w:sz w:val="28"/>
          <w:szCs w:val="28"/>
        </w:rPr>
        <w:t>AACJ/APDA</w:t>
      </w:r>
      <w:bookmarkEnd w:id="0"/>
      <w:r w:rsidR="00EE501F">
        <w:rPr>
          <w:sz w:val="28"/>
          <w:szCs w:val="28"/>
        </w:rPr>
        <w:t>)</w:t>
      </w:r>
      <w:r w:rsidR="00251F4B">
        <w:rPr>
          <w:sz w:val="28"/>
          <w:szCs w:val="28"/>
        </w:rPr>
        <w:t xml:space="preserve"> filed a joint </w:t>
      </w:r>
      <w:r w:rsidR="003B5103">
        <w:rPr>
          <w:sz w:val="28"/>
          <w:szCs w:val="28"/>
        </w:rPr>
        <w:t>comment</w:t>
      </w:r>
      <w:r w:rsidR="00942715">
        <w:rPr>
          <w:sz w:val="28"/>
          <w:szCs w:val="28"/>
        </w:rPr>
        <w:t>.</w:t>
      </w:r>
    </w:p>
    <w:p w14:paraId="3EBE477A" w14:textId="0503C600" w:rsidR="004241E4" w:rsidRPr="00433614" w:rsidRDefault="007E1711" w:rsidP="007E1711">
      <w:pPr>
        <w:pStyle w:val="ListParagraph"/>
        <w:numPr>
          <w:ilvl w:val="0"/>
          <w:numId w:val="9"/>
        </w:numPr>
        <w:spacing w:line="480" w:lineRule="auto"/>
        <w:jc w:val="both"/>
        <w:rPr>
          <w:b/>
          <w:sz w:val="28"/>
          <w:szCs w:val="28"/>
        </w:rPr>
      </w:pPr>
      <w:r w:rsidRPr="00433614">
        <w:rPr>
          <w:b/>
          <w:sz w:val="28"/>
          <w:szCs w:val="28"/>
        </w:rPr>
        <w:t xml:space="preserve">Authority to Adopt </w:t>
      </w:r>
      <w:r w:rsidR="00433614" w:rsidRPr="00433614">
        <w:rPr>
          <w:b/>
          <w:sz w:val="28"/>
          <w:szCs w:val="28"/>
        </w:rPr>
        <w:t xml:space="preserve">the </w:t>
      </w:r>
      <w:r w:rsidRPr="00433614">
        <w:rPr>
          <w:b/>
          <w:sz w:val="28"/>
          <w:szCs w:val="28"/>
        </w:rPr>
        <w:t>Proposed Rules</w:t>
      </w:r>
    </w:p>
    <w:p w14:paraId="156438BD" w14:textId="0125E7F7" w:rsidR="003C54C7" w:rsidRDefault="007A30FE" w:rsidP="00D343CF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AACJ/APDA continue to </w:t>
      </w:r>
      <w:r w:rsidR="009837D5">
        <w:rPr>
          <w:sz w:val="28"/>
          <w:szCs w:val="28"/>
        </w:rPr>
        <w:t>urge the Court not</w:t>
      </w:r>
      <w:r w:rsidR="00742C6C">
        <w:rPr>
          <w:sz w:val="28"/>
          <w:szCs w:val="28"/>
        </w:rPr>
        <w:t xml:space="preserve"> </w:t>
      </w:r>
      <w:r w:rsidR="00673703">
        <w:rPr>
          <w:sz w:val="28"/>
          <w:szCs w:val="28"/>
        </w:rPr>
        <w:t>adopt</w:t>
      </w:r>
      <w:r w:rsidR="00D62BD3">
        <w:rPr>
          <w:sz w:val="28"/>
          <w:szCs w:val="28"/>
        </w:rPr>
        <w:t xml:space="preserve"> the proposed rules </w:t>
      </w:r>
      <w:r w:rsidR="009837D5">
        <w:rPr>
          <w:sz w:val="28"/>
          <w:szCs w:val="28"/>
        </w:rPr>
        <w:t xml:space="preserve">as modified by the court </w:t>
      </w:r>
      <w:r w:rsidR="00D62BD3">
        <w:rPr>
          <w:sz w:val="28"/>
          <w:szCs w:val="28"/>
        </w:rPr>
        <w:t xml:space="preserve">because key elements conflict with </w:t>
      </w:r>
      <w:r w:rsidR="00673703">
        <w:rPr>
          <w:sz w:val="28"/>
          <w:szCs w:val="28"/>
        </w:rPr>
        <w:t xml:space="preserve">provisions of </w:t>
      </w:r>
      <w:bookmarkStart w:id="1" w:name="_Hlk494287565"/>
      <w:r w:rsidR="00D62BD3" w:rsidRPr="00D62BD3">
        <w:rPr>
          <w:snapToGrid w:val="0"/>
          <w:kern w:val="2"/>
          <w:sz w:val="28"/>
          <w:szCs w:val="28"/>
        </w:rPr>
        <w:t>A.R.S. § 13-3961(D)</w:t>
      </w:r>
      <w:r w:rsidR="00D62BD3">
        <w:rPr>
          <w:snapToGrid w:val="0"/>
          <w:kern w:val="2"/>
          <w:sz w:val="28"/>
          <w:szCs w:val="28"/>
        </w:rPr>
        <w:t xml:space="preserve"> </w:t>
      </w:r>
      <w:r>
        <w:rPr>
          <w:snapToGrid w:val="0"/>
          <w:kern w:val="2"/>
          <w:sz w:val="28"/>
          <w:szCs w:val="28"/>
        </w:rPr>
        <w:t>and (E)</w:t>
      </w:r>
      <w:r w:rsidR="00673703">
        <w:rPr>
          <w:snapToGrid w:val="0"/>
          <w:kern w:val="2"/>
          <w:sz w:val="28"/>
          <w:szCs w:val="28"/>
        </w:rPr>
        <w:t xml:space="preserve"> </w:t>
      </w:r>
      <w:bookmarkEnd w:id="1"/>
      <w:r w:rsidR="00B0697B">
        <w:rPr>
          <w:sz w:val="28"/>
          <w:szCs w:val="28"/>
        </w:rPr>
        <w:t>that provide for a prosecutor motion and a hearing within 24 hours</w:t>
      </w:r>
      <w:r w:rsidR="00B0697B">
        <w:rPr>
          <w:snapToGrid w:val="0"/>
          <w:kern w:val="2"/>
          <w:sz w:val="28"/>
          <w:szCs w:val="28"/>
        </w:rPr>
        <w:t>. T</w:t>
      </w:r>
      <w:r w:rsidR="00673703">
        <w:rPr>
          <w:snapToGrid w:val="0"/>
          <w:kern w:val="2"/>
          <w:sz w:val="28"/>
          <w:szCs w:val="28"/>
        </w:rPr>
        <w:t>hey conten</w:t>
      </w:r>
      <w:r w:rsidR="00EB59E6">
        <w:rPr>
          <w:snapToGrid w:val="0"/>
          <w:kern w:val="2"/>
          <w:sz w:val="28"/>
          <w:szCs w:val="28"/>
        </w:rPr>
        <w:t>d</w:t>
      </w:r>
      <w:r w:rsidR="00673703">
        <w:rPr>
          <w:snapToGrid w:val="0"/>
          <w:kern w:val="2"/>
          <w:sz w:val="28"/>
          <w:szCs w:val="28"/>
        </w:rPr>
        <w:t xml:space="preserve"> </w:t>
      </w:r>
      <w:r w:rsidR="00B0697B">
        <w:rPr>
          <w:snapToGrid w:val="0"/>
          <w:kern w:val="2"/>
          <w:sz w:val="28"/>
          <w:szCs w:val="28"/>
        </w:rPr>
        <w:t xml:space="preserve">these provisions </w:t>
      </w:r>
      <w:r w:rsidR="00673703">
        <w:rPr>
          <w:snapToGrid w:val="0"/>
          <w:kern w:val="2"/>
          <w:sz w:val="28"/>
          <w:szCs w:val="28"/>
        </w:rPr>
        <w:t>are substantive rather than procedural</w:t>
      </w:r>
      <w:r>
        <w:rPr>
          <w:snapToGrid w:val="0"/>
          <w:kern w:val="2"/>
          <w:sz w:val="28"/>
          <w:szCs w:val="28"/>
        </w:rPr>
        <w:t>.</w:t>
      </w:r>
      <w:r w:rsidR="00673703">
        <w:rPr>
          <w:snapToGrid w:val="0"/>
          <w:kern w:val="2"/>
          <w:sz w:val="28"/>
          <w:szCs w:val="28"/>
        </w:rPr>
        <w:t xml:space="preserve"> In </w:t>
      </w:r>
      <w:r w:rsidR="00B0697B">
        <w:rPr>
          <w:snapToGrid w:val="0"/>
          <w:kern w:val="2"/>
          <w:sz w:val="28"/>
          <w:szCs w:val="28"/>
        </w:rPr>
        <w:t>making this argument</w:t>
      </w:r>
      <w:r w:rsidR="00673703">
        <w:rPr>
          <w:snapToGrid w:val="0"/>
          <w:kern w:val="2"/>
          <w:sz w:val="28"/>
          <w:szCs w:val="28"/>
        </w:rPr>
        <w:t xml:space="preserve"> they ignore the substantive provisions </w:t>
      </w:r>
      <w:r w:rsidR="00EB59E6">
        <w:rPr>
          <w:snapToGrid w:val="0"/>
          <w:kern w:val="2"/>
          <w:sz w:val="28"/>
          <w:szCs w:val="28"/>
        </w:rPr>
        <w:t xml:space="preserve">of </w:t>
      </w:r>
      <w:bookmarkStart w:id="2" w:name="_Hlk494289623"/>
      <w:r w:rsidR="00EB59E6">
        <w:rPr>
          <w:sz w:val="28"/>
          <w:szCs w:val="28"/>
        </w:rPr>
        <w:t>Article 2, Section 22</w:t>
      </w:r>
      <w:r w:rsidR="00EB59E6" w:rsidRPr="003A0870">
        <w:rPr>
          <w:sz w:val="28"/>
          <w:szCs w:val="28"/>
        </w:rPr>
        <w:t>(A)(3)</w:t>
      </w:r>
      <w:bookmarkEnd w:id="2"/>
      <w:r w:rsidR="00EB59E6">
        <w:rPr>
          <w:sz w:val="28"/>
          <w:szCs w:val="28"/>
        </w:rPr>
        <w:t xml:space="preserve"> of the </w:t>
      </w:r>
      <w:r w:rsidR="00EB59E6">
        <w:rPr>
          <w:sz w:val="28"/>
          <w:szCs w:val="28"/>
        </w:rPr>
        <w:lastRenderedPageBreak/>
        <w:t>Arizona Constitution which provides an express exception to the right to bail fo</w:t>
      </w:r>
      <w:r w:rsidR="00B0697B">
        <w:rPr>
          <w:sz w:val="28"/>
          <w:szCs w:val="28"/>
        </w:rPr>
        <w:t xml:space="preserve">r felony offenders who meet </w:t>
      </w:r>
      <w:r w:rsidR="00EB59E6">
        <w:rPr>
          <w:sz w:val="28"/>
          <w:szCs w:val="28"/>
        </w:rPr>
        <w:t xml:space="preserve">stated criteria. The proposed rules provide a practical procedure for </w:t>
      </w:r>
      <w:r w:rsidR="00B0697B">
        <w:rPr>
          <w:sz w:val="28"/>
          <w:szCs w:val="28"/>
        </w:rPr>
        <w:t xml:space="preserve">the courts to perform their duty of </w:t>
      </w:r>
      <w:r w:rsidR="00EB59E6">
        <w:rPr>
          <w:sz w:val="28"/>
          <w:szCs w:val="28"/>
        </w:rPr>
        <w:t xml:space="preserve">applying these constitutional criteria in </w:t>
      </w:r>
      <w:r w:rsidR="00B0697B">
        <w:rPr>
          <w:sz w:val="28"/>
          <w:szCs w:val="28"/>
        </w:rPr>
        <w:t xml:space="preserve">the </w:t>
      </w:r>
      <w:r w:rsidR="00EB59E6">
        <w:rPr>
          <w:sz w:val="28"/>
          <w:szCs w:val="28"/>
        </w:rPr>
        <w:t xml:space="preserve">criminal justice process. </w:t>
      </w:r>
      <w:r w:rsidR="008669A9">
        <w:rPr>
          <w:sz w:val="28"/>
          <w:szCs w:val="28"/>
        </w:rPr>
        <w:t>Under the language of the constitution this is not a discretionary duty as the commenter contends. The practicality of the proposed</w:t>
      </w:r>
      <w:r w:rsidR="00EB59E6">
        <w:rPr>
          <w:sz w:val="28"/>
          <w:szCs w:val="28"/>
        </w:rPr>
        <w:t xml:space="preserve"> process is undisputed by an</w:t>
      </w:r>
      <w:r w:rsidR="00DF754D">
        <w:rPr>
          <w:sz w:val="28"/>
          <w:szCs w:val="28"/>
        </w:rPr>
        <w:t xml:space="preserve">y commenters. Additionally, </w:t>
      </w:r>
      <w:r w:rsidR="00EB59E6">
        <w:rPr>
          <w:sz w:val="28"/>
          <w:szCs w:val="28"/>
        </w:rPr>
        <w:t xml:space="preserve">commenters have acknowledged the impracticality </w:t>
      </w:r>
      <w:r w:rsidR="00B0697B">
        <w:rPr>
          <w:sz w:val="28"/>
          <w:szCs w:val="28"/>
        </w:rPr>
        <w:t xml:space="preserve">in most if not all cases </w:t>
      </w:r>
      <w:r w:rsidR="00EB59E6">
        <w:rPr>
          <w:sz w:val="28"/>
          <w:szCs w:val="28"/>
        </w:rPr>
        <w:t xml:space="preserve">of the </w:t>
      </w:r>
      <w:r w:rsidR="00B0697B" w:rsidRPr="00D62BD3">
        <w:rPr>
          <w:snapToGrid w:val="0"/>
          <w:kern w:val="2"/>
          <w:sz w:val="28"/>
          <w:szCs w:val="28"/>
        </w:rPr>
        <w:t>A.R.S. § 13-3961(D)</w:t>
      </w:r>
      <w:r w:rsidR="00B0697B">
        <w:rPr>
          <w:snapToGrid w:val="0"/>
          <w:kern w:val="2"/>
          <w:sz w:val="28"/>
          <w:szCs w:val="28"/>
        </w:rPr>
        <w:t xml:space="preserve"> and (E)</w:t>
      </w:r>
      <w:r w:rsidR="00EB59E6">
        <w:rPr>
          <w:sz w:val="28"/>
          <w:szCs w:val="28"/>
        </w:rPr>
        <w:t xml:space="preserve"> </w:t>
      </w:r>
      <w:r w:rsidR="00B0697B">
        <w:rPr>
          <w:sz w:val="28"/>
          <w:szCs w:val="28"/>
        </w:rPr>
        <w:t xml:space="preserve">procedures. The modified rules provide for the use of this procedure in any cases in which it is practical. </w:t>
      </w:r>
      <w:r w:rsidR="00D343CF">
        <w:rPr>
          <w:sz w:val="28"/>
          <w:szCs w:val="28"/>
        </w:rPr>
        <w:t>As explained in the petitioner’s reply, this is consistent with</w:t>
      </w:r>
      <w:r w:rsidR="00D4439E" w:rsidRPr="00D4439E">
        <w:rPr>
          <w:sz w:val="28"/>
          <w:szCs w:val="28"/>
        </w:rPr>
        <w:t xml:space="preserve"> </w:t>
      </w:r>
      <w:r w:rsidR="00D343CF">
        <w:rPr>
          <w:sz w:val="28"/>
          <w:szCs w:val="28"/>
        </w:rPr>
        <w:t xml:space="preserve">harmonizing procedural statutes and rules approved in </w:t>
      </w:r>
      <w:r w:rsidR="00D343CF">
        <w:rPr>
          <w:sz w:val="28"/>
          <w:szCs w:val="28"/>
          <w:u w:val="single"/>
        </w:rPr>
        <w:t>Pompa v. Superior Court.</w:t>
      </w:r>
      <w:r w:rsidR="00D4439E" w:rsidRPr="00D4439E">
        <w:rPr>
          <w:sz w:val="28"/>
          <w:szCs w:val="28"/>
          <w:vertAlign w:val="superscript"/>
        </w:rPr>
        <w:footnoteReference w:id="2"/>
      </w:r>
      <w:r w:rsidR="00D4439E" w:rsidRPr="00D4439E">
        <w:rPr>
          <w:sz w:val="28"/>
          <w:szCs w:val="28"/>
        </w:rPr>
        <w:t xml:space="preserve"> </w:t>
      </w:r>
    </w:p>
    <w:p w14:paraId="63BC4D44" w14:textId="004A32E8" w:rsidR="001534AA" w:rsidRPr="0029776B" w:rsidRDefault="008669A9" w:rsidP="00A56A3B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commenter contends t</w:t>
      </w:r>
      <w:r w:rsidRPr="008669A9">
        <w:rPr>
          <w:sz w:val="28"/>
          <w:szCs w:val="28"/>
        </w:rPr>
        <w:t>he pr</w:t>
      </w:r>
      <w:r>
        <w:rPr>
          <w:sz w:val="28"/>
          <w:szCs w:val="28"/>
        </w:rPr>
        <w:t xml:space="preserve">ovisions of </w:t>
      </w:r>
      <w:bookmarkStart w:id="3" w:name="_Hlk494289876"/>
      <w:r>
        <w:rPr>
          <w:sz w:val="28"/>
          <w:szCs w:val="28"/>
        </w:rPr>
        <w:t xml:space="preserve">A.R.S. § 13-3961(D) and </w:t>
      </w:r>
      <w:r w:rsidRPr="008669A9">
        <w:rPr>
          <w:sz w:val="28"/>
          <w:szCs w:val="28"/>
        </w:rPr>
        <w:t>(E)</w:t>
      </w:r>
      <w:bookmarkEnd w:id="3"/>
      <w:r>
        <w:rPr>
          <w:sz w:val="28"/>
          <w:szCs w:val="28"/>
        </w:rPr>
        <w:t xml:space="preserve"> are substantive “limited entry points” on the use of preventive detention rather than procedural means of determining whether preventive detention is warranted</w:t>
      </w:r>
      <w:r w:rsidR="001A7B8C">
        <w:rPr>
          <w:sz w:val="28"/>
          <w:szCs w:val="28"/>
        </w:rPr>
        <w:t xml:space="preserve"> as provided in </w:t>
      </w:r>
      <w:bookmarkStart w:id="4" w:name="_Hlk494289913"/>
      <w:r w:rsidR="001A7B8C" w:rsidRPr="001A7B8C">
        <w:rPr>
          <w:sz w:val="28"/>
          <w:szCs w:val="28"/>
        </w:rPr>
        <w:t>Article 2, Section 22(A)(3)</w:t>
      </w:r>
      <w:bookmarkEnd w:id="4"/>
      <w:r>
        <w:rPr>
          <w:sz w:val="28"/>
          <w:szCs w:val="28"/>
        </w:rPr>
        <w:t xml:space="preserve">. </w:t>
      </w:r>
      <w:r w:rsidR="001A7B8C">
        <w:rPr>
          <w:sz w:val="28"/>
          <w:szCs w:val="28"/>
        </w:rPr>
        <w:t xml:space="preserve">Instead, practitioners have acknowledged that these </w:t>
      </w:r>
      <w:r w:rsidR="00625839">
        <w:rPr>
          <w:sz w:val="28"/>
          <w:szCs w:val="28"/>
        </w:rPr>
        <w:t>statutory provisions</w:t>
      </w:r>
      <w:r w:rsidR="001A7B8C">
        <w:rPr>
          <w:sz w:val="28"/>
          <w:szCs w:val="28"/>
        </w:rPr>
        <w:t xml:space="preserve"> have provided little or no entry point to preventive detention because they are impossible rather than “too difficult” to meet. This </w:t>
      </w:r>
      <w:r w:rsidR="001A7B8C">
        <w:rPr>
          <w:sz w:val="28"/>
          <w:szCs w:val="28"/>
        </w:rPr>
        <w:lastRenderedPageBreak/>
        <w:t xml:space="preserve">reading of </w:t>
      </w:r>
      <w:r w:rsidR="001A7B8C" w:rsidRPr="001A7B8C">
        <w:rPr>
          <w:sz w:val="28"/>
          <w:szCs w:val="28"/>
        </w:rPr>
        <w:t>A.R.S. § 13-3961(D) and (E)</w:t>
      </w:r>
      <w:r w:rsidR="001A7B8C">
        <w:rPr>
          <w:sz w:val="28"/>
          <w:szCs w:val="28"/>
        </w:rPr>
        <w:t xml:space="preserve"> brings these provisions into conflict with </w:t>
      </w:r>
      <w:r w:rsidR="00625839">
        <w:rPr>
          <w:sz w:val="28"/>
          <w:szCs w:val="28"/>
        </w:rPr>
        <w:t xml:space="preserve">the requirement of </w:t>
      </w:r>
      <w:r w:rsidR="001A7B8C" w:rsidRPr="001A7B8C">
        <w:rPr>
          <w:sz w:val="28"/>
          <w:szCs w:val="28"/>
        </w:rPr>
        <w:t>Article 2, Section 22(A)(3)</w:t>
      </w:r>
      <w:r w:rsidR="00625839">
        <w:rPr>
          <w:sz w:val="28"/>
          <w:szCs w:val="28"/>
        </w:rPr>
        <w:t xml:space="preserve"> that the court determine bail eligibility. </w:t>
      </w:r>
      <w:r w:rsidR="00625839">
        <w:rPr>
          <w:snapToGrid w:val="0"/>
          <w:kern w:val="2"/>
          <w:sz w:val="28"/>
          <w:szCs w:val="28"/>
        </w:rPr>
        <w:t>To avoid conflict with this constitutional provision the motion by the state and the 24 hour hearing provisions of A.R.S. § 13-3961 must be regarded as methods and procedures that address the quality and timeliness of bail eligibility determinations not substantively whether those determinations may occur.</w:t>
      </w:r>
      <w:r w:rsidR="00625839" w:rsidRPr="00625839">
        <w:rPr>
          <w:rStyle w:val="FootnoteReference"/>
          <w:sz w:val="28"/>
          <w:szCs w:val="28"/>
        </w:rPr>
        <w:t xml:space="preserve"> </w:t>
      </w:r>
      <w:r w:rsidR="00625839">
        <w:rPr>
          <w:rStyle w:val="FootnoteReference"/>
          <w:sz w:val="28"/>
          <w:szCs w:val="28"/>
        </w:rPr>
        <w:footnoteReference w:id="3"/>
      </w:r>
      <w:r w:rsidR="00A56A3B">
        <w:rPr>
          <w:sz w:val="28"/>
          <w:szCs w:val="28"/>
        </w:rPr>
        <w:t xml:space="preserve"> </w:t>
      </w:r>
      <w:r w:rsidR="001534AA">
        <w:rPr>
          <w:sz w:val="28"/>
          <w:szCs w:val="28"/>
        </w:rPr>
        <w:t xml:space="preserve">If </w:t>
      </w:r>
      <w:r w:rsidR="00625839">
        <w:rPr>
          <w:sz w:val="28"/>
          <w:szCs w:val="28"/>
        </w:rPr>
        <w:t>these</w:t>
      </w:r>
      <w:r w:rsidR="001534AA">
        <w:rPr>
          <w:sz w:val="28"/>
          <w:szCs w:val="28"/>
        </w:rPr>
        <w:t xml:space="preserve"> provision</w:t>
      </w:r>
      <w:r w:rsidR="00A56A3B">
        <w:rPr>
          <w:sz w:val="28"/>
          <w:szCs w:val="28"/>
        </w:rPr>
        <w:t>s are</w:t>
      </w:r>
      <w:r w:rsidR="009837D5">
        <w:rPr>
          <w:sz w:val="28"/>
          <w:szCs w:val="28"/>
        </w:rPr>
        <w:t xml:space="preserve"> regarded as</w:t>
      </w:r>
      <w:r w:rsidR="001534AA">
        <w:rPr>
          <w:sz w:val="28"/>
          <w:szCs w:val="28"/>
        </w:rPr>
        <w:t xml:space="preserve"> substantive legal requirement</w:t>
      </w:r>
      <w:r w:rsidR="00A56A3B">
        <w:rPr>
          <w:sz w:val="28"/>
          <w:szCs w:val="28"/>
        </w:rPr>
        <w:t xml:space="preserve">s they </w:t>
      </w:r>
      <w:r w:rsidR="009837D5">
        <w:rPr>
          <w:sz w:val="28"/>
          <w:szCs w:val="28"/>
        </w:rPr>
        <w:t xml:space="preserve">would </w:t>
      </w:r>
      <w:r w:rsidR="00A56A3B">
        <w:rPr>
          <w:sz w:val="28"/>
          <w:szCs w:val="28"/>
        </w:rPr>
        <w:t>unreasonably hinder and effectively prevent</w:t>
      </w:r>
      <w:r w:rsidR="001534AA">
        <w:rPr>
          <w:sz w:val="28"/>
          <w:szCs w:val="28"/>
        </w:rPr>
        <w:t xml:space="preserve"> the courts from performing the bail eligibility determination required by </w:t>
      </w:r>
      <w:r w:rsidR="001534AA" w:rsidRPr="003A0870">
        <w:rPr>
          <w:sz w:val="28"/>
          <w:szCs w:val="28"/>
        </w:rPr>
        <w:t>Article 2, Section 22 (A)(3)</w:t>
      </w:r>
      <w:r w:rsidR="001534AA">
        <w:rPr>
          <w:sz w:val="28"/>
          <w:szCs w:val="28"/>
        </w:rPr>
        <w:t>.</w:t>
      </w:r>
      <w:r w:rsidR="001534AA">
        <w:rPr>
          <w:rStyle w:val="FootnoteReference"/>
          <w:sz w:val="28"/>
          <w:szCs w:val="28"/>
        </w:rPr>
        <w:footnoteReference w:id="4"/>
      </w:r>
    </w:p>
    <w:p w14:paraId="032DB032" w14:textId="6F774920" w:rsidR="004C500B" w:rsidRPr="0091695F" w:rsidRDefault="004C500B" w:rsidP="004C500B">
      <w:pPr>
        <w:pStyle w:val="ListParagraph"/>
        <w:numPr>
          <w:ilvl w:val="0"/>
          <w:numId w:val="9"/>
        </w:numPr>
        <w:spacing w:line="480" w:lineRule="auto"/>
        <w:jc w:val="both"/>
        <w:rPr>
          <w:b/>
          <w:sz w:val="28"/>
          <w:szCs w:val="28"/>
        </w:rPr>
      </w:pPr>
      <w:r w:rsidRPr="0091695F">
        <w:rPr>
          <w:b/>
          <w:sz w:val="28"/>
          <w:szCs w:val="28"/>
        </w:rPr>
        <w:t>Other Reasons for Delay or Denial.</w:t>
      </w:r>
    </w:p>
    <w:p w14:paraId="76121B6C" w14:textId="5A420A3B" w:rsidR="00A56A3B" w:rsidRDefault="00B64F6E" w:rsidP="00A56A3B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Commenters </w:t>
      </w:r>
      <w:r w:rsidR="00A56A3B">
        <w:rPr>
          <w:sz w:val="28"/>
          <w:szCs w:val="28"/>
        </w:rPr>
        <w:t xml:space="preserve">again </w:t>
      </w:r>
      <w:r w:rsidR="00CD5A26">
        <w:rPr>
          <w:sz w:val="28"/>
          <w:szCs w:val="28"/>
        </w:rPr>
        <w:t>urge</w:t>
      </w:r>
      <w:r>
        <w:rPr>
          <w:sz w:val="28"/>
          <w:szCs w:val="28"/>
        </w:rPr>
        <w:t xml:space="preserve"> delay or denial of this petition </w:t>
      </w:r>
      <w:r w:rsidR="00A56A3B">
        <w:rPr>
          <w:sz w:val="28"/>
          <w:szCs w:val="28"/>
        </w:rPr>
        <w:t>because</w:t>
      </w:r>
      <w:r>
        <w:rPr>
          <w:sz w:val="28"/>
          <w:szCs w:val="28"/>
        </w:rPr>
        <w:t xml:space="preserve"> Arizona’s appellate courts have decided cases that impact some provisions of these rules</w:t>
      </w:r>
      <w:r w:rsidR="003B3D72">
        <w:rPr>
          <w:sz w:val="28"/>
          <w:szCs w:val="28"/>
        </w:rPr>
        <w:t xml:space="preserve"> and that other issues are unresolved</w:t>
      </w:r>
      <w:r>
        <w:rPr>
          <w:sz w:val="28"/>
          <w:szCs w:val="28"/>
        </w:rPr>
        <w:t>.</w:t>
      </w:r>
      <w:r w:rsidR="00CB0B7A">
        <w:rPr>
          <w:sz w:val="28"/>
          <w:szCs w:val="28"/>
        </w:rPr>
        <w:t xml:space="preserve"> </w:t>
      </w:r>
      <w:r w:rsidR="00A56A3B">
        <w:rPr>
          <w:sz w:val="28"/>
          <w:szCs w:val="28"/>
        </w:rPr>
        <w:t xml:space="preserve">Commenters fail to explain why </w:t>
      </w:r>
      <w:r w:rsidR="003B3D72">
        <w:rPr>
          <w:sz w:val="28"/>
          <w:szCs w:val="28"/>
        </w:rPr>
        <w:t xml:space="preserve">additional changes in the law </w:t>
      </w:r>
      <w:r w:rsidR="00A56A3B">
        <w:rPr>
          <w:sz w:val="28"/>
          <w:szCs w:val="28"/>
        </w:rPr>
        <w:t>cannot be addressed with future</w:t>
      </w:r>
      <w:r w:rsidR="003B3D72">
        <w:rPr>
          <w:sz w:val="28"/>
          <w:szCs w:val="28"/>
        </w:rPr>
        <w:t xml:space="preserve"> rules </w:t>
      </w:r>
      <w:r w:rsidR="00A56A3B">
        <w:rPr>
          <w:sz w:val="28"/>
          <w:szCs w:val="28"/>
        </w:rPr>
        <w:t>changes</w:t>
      </w:r>
      <w:r w:rsidR="009837D5">
        <w:rPr>
          <w:sz w:val="28"/>
          <w:szCs w:val="28"/>
        </w:rPr>
        <w:t xml:space="preserve"> as needed.</w:t>
      </w:r>
      <w:r w:rsidR="003B3D72">
        <w:rPr>
          <w:sz w:val="28"/>
          <w:szCs w:val="28"/>
        </w:rPr>
        <w:t xml:space="preserve"> </w:t>
      </w:r>
    </w:p>
    <w:p w14:paraId="64FF26B7" w14:textId="77777777" w:rsidR="00F977DE" w:rsidRDefault="00F977DE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207B0C8" w14:textId="16ADFAAF" w:rsidR="005B02AC" w:rsidRPr="009C5D4D" w:rsidRDefault="005B02AC" w:rsidP="00C20DB4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Wherefore, p</w:t>
      </w:r>
      <w:r w:rsidRPr="007809E9">
        <w:rPr>
          <w:sz w:val="28"/>
          <w:szCs w:val="28"/>
        </w:rPr>
        <w:t xml:space="preserve">etitioner respectfully requests that the Court </w:t>
      </w:r>
      <w:r>
        <w:rPr>
          <w:sz w:val="28"/>
          <w:szCs w:val="28"/>
        </w:rPr>
        <w:t xml:space="preserve">amend the Rules of Criminal Procedure as proposed in </w:t>
      </w:r>
      <w:r w:rsidR="009C5D4D" w:rsidRPr="009C5D4D">
        <w:rPr>
          <w:sz w:val="28"/>
          <w:szCs w:val="28"/>
        </w:rPr>
        <w:t>Appendix B of the Court’s August 31, 2017 order in this matter.</w:t>
      </w:r>
    </w:p>
    <w:p w14:paraId="6C15AE6A" w14:textId="77777777" w:rsidR="00E95131" w:rsidRDefault="00E95131" w:rsidP="00002B79">
      <w:pPr>
        <w:ind w:firstLine="720"/>
        <w:jc w:val="both"/>
        <w:rPr>
          <w:sz w:val="28"/>
          <w:szCs w:val="28"/>
        </w:rPr>
      </w:pPr>
    </w:p>
    <w:p w14:paraId="16D0F679" w14:textId="79BA6226" w:rsidR="00002B79" w:rsidRDefault="00002B79" w:rsidP="00002B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RESPECTFULLY SUBMITTED this </w:t>
      </w:r>
      <w:r w:rsidR="009C5D4D">
        <w:rPr>
          <w:sz w:val="28"/>
          <w:szCs w:val="28"/>
        </w:rPr>
        <w:t>28</w:t>
      </w:r>
      <w:r>
        <w:rPr>
          <w:sz w:val="28"/>
          <w:szCs w:val="28"/>
        </w:rPr>
        <w:t xml:space="preserve"> day of </w:t>
      </w:r>
      <w:r w:rsidR="009C5D4D">
        <w:rPr>
          <w:sz w:val="28"/>
          <w:szCs w:val="28"/>
        </w:rPr>
        <w:t>September</w:t>
      </w:r>
      <w:r>
        <w:rPr>
          <w:sz w:val="28"/>
          <w:szCs w:val="28"/>
        </w:rPr>
        <w:t>, 201</w:t>
      </w:r>
      <w:r w:rsidR="006B1C85">
        <w:rPr>
          <w:sz w:val="28"/>
          <w:szCs w:val="28"/>
        </w:rPr>
        <w:t>7</w:t>
      </w:r>
      <w:r w:rsidR="00766541">
        <w:rPr>
          <w:sz w:val="28"/>
          <w:szCs w:val="28"/>
        </w:rPr>
        <w:t>.</w:t>
      </w:r>
    </w:p>
    <w:p w14:paraId="698C2B0A" w14:textId="77777777" w:rsidR="00002B79" w:rsidRDefault="00002B79" w:rsidP="00002B79">
      <w:pPr>
        <w:jc w:val="both"/>
        <w:rPr>
          <w:sz w:val="28"/>
          <w:szCs w:val="28"/>
        </w:rPr>
      </w:pPr>
    </w:p>
    <w:p w14:paraId="415C097B" w14:textId="56A28443" w:rsidR="00BE725A" w:rsidRDefault="00BE725A" w:rsidP="00766541">
      <w:pPr>
        <w:tabs>
          <w:tab w:val="left" w:pos="3600"/>
        </w:tabs>
        <w:jc w:val="both"/>
        <w:rPr>
          <w:sz w:val="28"/>
          <w:szCs w:val="28"/>
        </w:rPr>
      </w:pPr>
    </w:p>
    <w:p w14:paraId="02E48E47" w14:textId="3F11C88A" w:rsidR="00B14EE7" w:rsidRDefault="00BE725A" w:rsidP="00766541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6CDD">
        <w:rPr>
          <w:sz w:val="28"/>
          <w:szCs w:val="28"/>
        </w:rPr>
        <w:t>By</w:t>
      </w:r>
      <w:r w:rsidR="00B14EE7">
        <w:rPr>
          <w:sz w:val="28"/>
          <w:szCs w:val="28"/>
        </w:rPr>
        <w:t xml:space="preserve"> </w:t>
      </w:r>
      <w:r w:rsidR="00E01E74" w:rsidRPr="00E01E74">
        <w:rPr>
          <w:sz w:val="28"/>
          <w:szCs w:val="28"/>
          <w:u w:val="single"/>
        </w:rPr>
        <w:t>/S/</w:t>
      </w:r>
      <w:r w:rsidR="00B14EE7">
        <w:rPr>
          <w:sz w:val="28"/>
          <w:szCs w:val="28"/>
        </w:rPr>
        <w:t>___________________________</w:t>
      </w:r>
    </w:p>
    <w:p w14:paraId="1532DE10" w14:textId="77777777" w:rsidR="00002B79" w:rsidRDefault="00002B79" w:rsidP="00766541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David K. Byers, Administrative Director</w:t>
      </w:r>
    </w:p>
    <w:p w14:paraId="5B7DBBFE" w14:textId="77777777" w:rsidR="00002B79" w:rsidRDefault="00002B79" w:rsidP="00766541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Administrative Office of the Courts</w:t>
      </w:r>
    </w:p>
    <w:p w14:paraId="01A1E841" w14:textId="77777777" w:rsidR="00002B79" w:rsidRDefault="00002B79" w:rsidP="00766541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1501 W. Washington Street, Suite 411</w:t>
      </w:r>
    </w:p>
    <w:p w14:paraId="3B57A515" w14:textId="77777777" w:rsidR="00002B79" w:rsidRDefault="00002B79" w:rsidP="00766541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ab/>
        <w:t>Phoenix, AZ 85007</w:t>
      </w:r>
    </w:p>
    <w:p w14:paraId="2C64FB8F" w14:textId="77777777" w:rsidR="00002B79" w:rsidRDefault="00002B79" w:rsidP="00766541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ab/>
        <w:t>(602) 452- 3301</w:t>
      </w:r>
    </w:p>
    <w:p w14:paraId="39137597" w14:textId="77777777" w:rsidR="00C931EF" w:rsidRDefault="00002B79" w:rsidP="00766541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F6CDD" w:rsidRPr="002F6CDD">
        <w:rPr>
          <w:sz w:val="28"/>
          <w:szCs w:val="28"/>
        </w:rPr>
        <w:t>Projects2@courts.az.gov</w:t>
      </w:r>
    </w:p>
    <w:p w14:paraId="3A92F720" w14:textId="77777777" w:rsidR="002F6CDD" w:rsidRDefault="002F6CDD" w:rsidP="00AE5191">
      <w:pPr>
        <w:rPr>
          <w:sz w:val="28"/>
          <w:szCs w:val="28"/>
        </w:rPr>
      </w:pPr>
    </w:p>
    <w:p w14:paraId="7DAE34F3" w14:textId="3B5F5241" w:rsidR="00835F83" w:rsidRPr="00114401" w:rsidRDefault="00835F83" w:rsidP="009C5D4D">
      <w:bookmarkStart w:id="5" w:name="_GoBack"/>
      <w:bookmarkEnd w:id="5"/>
    </w:p>
    <w:sectPr w:rsidR="00835F83" w:rsidRPr="00114401" w:rsidSect="000B18ED">
      <w:footerReference w:type="default" r:id="rId8"/>
      <w:pgSz w:w="12240" w:h="15840"/>
      <w:pgMar w:top="1440" w:right="1440" w:bottom="1440" w:left="1440" w:header="288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4932B" w14:textId="77777777" w:rsidR="00625839" w:rsidRDefault="00625839">
      <w:r>
        <w:separator/>
      </w:r>
    </w:p>
  </w:endnote>
  <w:endnote w:type="continuationSeparator" w:id="0">
    <w:p w14:paraId="376BE2ED" w14:textId="77777777" w:rsidR="00625839" w:rsidRDefault="00625839">
      <w:r>
        <w:continuationSeparator/>
      </w:r>
    </w:p>
  </w:endnote>
  <w:endnote w:type="continuationNotice" w:id="1">
    <w:p w14:paraId="70220F3D" w14:textId="77777777" w:rsidR="00625839" w:rsidRDefault="00625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970242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D3F55" w14:textId="299EE691" w:rsidR="00625839" w:rsidRPr="00D72F13" w:rsidRDefault="00625839" w:rsidP="009C5D4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D72F13">
          <w:rPr>
            <w:rFonts w:ascii="Arial" w:hAnsi="Arial" w:cs="Arial"/>
            <w:sz w:val="20"/>
            <w:szCs w:val="20"/>
          </w:rPr>
          <w:fldChar w:fldCharType="begin"/>
        </w:r>
        <w:r w:rsidRPr="00D72F1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72F13">
          <w:rPr>
            <w:rFonts w:ascii="Arial" w:hAnsi="Arial" w:cs="Arial"/>
            <w:sz w:val="20"/>
            <w:szCs w:val="20"/>
          </w:rPr>
          <w:fldChar w:fldCharType="separate"/>
        </w:r>
        <w:r w:rsidR="009C5D4D">
          <w:rPr>
            <w:rFonts w:ascii="Arial" w:hAnsi="Arial" w:cs="Arial"/>
            <w:noProof/>
            <w:sz w:val="20"/>
            <w:szCs w:val="20"/>
          </w:rPr>
          <w:t>1</w:t>
        </w:r>
        <w:r w:rsidRPr="00D72F1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D239B23" w14:textId="77777777" w:rsidR="00625839" w:rsidRPr="00D72F13" w:rsidRDefault="00625839" w:rsidP="00D72F13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721E0" w14:textId="77777777" w:rsidR="00625839" w:rsidRDefault="00625839">
      <w:r>
        <w:separator/>
      </w:r>
    </w:p>
  </w:footnote>
  <w:footnote w:type="continuationSeparator" w:id="0">
    <w:p w14:paraId="1C3FF2AB" w14:textId="77777777" w:rsidR="00625839" w:rsidRDefault="00625839">
      <w:r>
        <w:continuationSeparator/>
      </w:r>
    </w:p>
  </w:footnote>
  <w:footnote w:type="continuationNotice" w:id="1">
    <w:p w14:paraId="1BC7D6AB" w14:textId="77777777" w:rsidR="00625839" w:rsidRDefault="00625839"/>
  </w:footnote>
  <w:footnote w:id="2">
    <w:p w14:paraId="25F8537B" w14:textId="47F1AB44" w:rsidR="00625839" w:rsidRPr="004C01E3" w:rsidRDefault="00625839" w:rsidP="00D4439E">
      <w:pPr>
        <w:pStyle w:val="FootnoteText"/>
        <w:rPr>
          <w:sz w:val="28"/>
          <w:szCs w:val="28"/>
        </w:rPr>
      </w:pPr>
      <w:r w:rsidRPr="004C01E3">
        <w:rPr>
          <w:rStyle w:val="FootnoteReference"/>
          <w:sz w:val="28"/>
          <w:szCs w:val="28"/>
        </w:rPr>
        <w:footnoteRef/>
      </w:r>
      <w:r w:rsidRPr="004C01E3">
        <w:rPr>
          <w:sz w:val="28"/>
          <w:szCs w:val="28"/>
        </w:rPr>
        <w:t xml:space="preserve"> </w:t>
      </w:r>
      <w:r w:rsidRPr="004C01E3">
        <w:rPr>
          <w:sz w:val="28"/>
          <w:szCs w:val="28"/>
          <w:u w:val="single"/>
        </w:rPr>
        <w:t>Pompa v. Superior Court In &amp; For the Cty. of Maricopa</w:t>
      </w:r>
      <w:r>
        <w:rPr>
          <w:sz w:val="28"/>
          <w:szCs w:val="28"/>
        </w:rPr>
        <w:t>, 187 Ariz. 531, 931 P.2d 431</w:t>
      </w:r>
      <w:r w:rsidRPr="004C01E3">
        <w:rPr>
          <w:sz w:val="28"/>
          <w:szCs w:val="28"/>
        </w:rPr>
        <w:t xml:space="preserve"> (Ct. App. 1997). citing State ex rel. Purcell v. Superior Court, 107 Ariz. 224, 227, 485 P.2d 549, 552 (1971); </w:t>
      </w:r>
      <w:r w:rsidRPr="004C01E3">
        <w:rPr>
          <w:sz w:val="28"/>
          <w:szCs w:val="28"/>
          <w:u w:val="single"/>
        </w:rPr>
        <w:t>State v. Blazak</w:t>
      </w:r>
      <w:r w:rsidRPr="004C01E3">
        <w:rPr>
          <w:sz w:val="28"/>
          <w:szCs w:val="28"/>
        </w:rPr>
        <w:t>, 105 Ariz. 216, 218, 462 P.2d 84, 86 (1969).</w:t>
      </w:r>
    </w:p>
  </w:footnote>
  <w:footnote w:id="3">
    <w:p w14:paraId="6C55EBB7" w14:textId="0E01B663" w:rsidR="00625839" w:rsidRPr="004C01E3" w:rsidRDefault="00625839" w:rsidP="00625839">
      <w:pPr>
        <w:pStyle w:val="FootnoteText"/>
        <w:rPr>
          <w:sz w:val="28"/>
          <w:szCs w:val="28"/>
        </w:rPr>
      </w:pPr>
      <w:r w:rsidRPr="004C01E3">
        <w:rPr>
          <w:rStyle w:val="FootnoteReference"/>
          <w:sz w:val="28"/>
          <w:szCs w:val="28"/>
        </w:rPr>
        <w:footnoteRef/>
      </w:r>
      <w:r w:rsidRPr="004C01E3">
        <w:rPr>
          <w:sz w:val="28"/>
          <w:szCs w:val="28"/>
        </w:rPr>
        <w:t xml:space="preserve"> </w:t>
      </w:r>
      <w:r w:rsidRPr="004C01E3">
        <w:rPr>
          <w:sz w:val="28"/>
          <w:szCs w:val="28"/>
          <w:u w:val="single"/>
        </w:rPr>
        <w:t>Seisinger v. Siebel</w:t>
      </w:r>
      <w:r>
        <w:rPr>
          <w:sz w:val="28"/>
          <w:szCs w:val="28"/>
        </w:rPr>
        <w:t>, 220 Ariz. 85, 203 P.3d 483</w:t>
      </w:r>
      <w:r w:rsidRPr="004C01E3">
        <w:rPr>
          <w:sz w:val="28"/>
          <w:szCs w:val="28"/>
        </w:rPr>
        <w:t xml:space="preserve"> (2009).</w:t>
      </w:r>
    </w:p>
  </w:footnote>
  <w:footnote w:id="4">
    <w:p w14:paraId="48AB622F" w14:textId="57ABDF82" w:rsidR="00625839" w:rsidRPr="004C01E3" w:rsidRDefault="00625839" w:rsidP="001534AA">
      <w:pPr>
        <w:pStyle w:val="FootnoteText"/>
        <w:rPr>
          <w:sz w:val="28"/>
          <w:szCs w:val="28"/>
        </w:rPr>
      </w:pPr>
      <w:r w:rsidRPr="004C01E3">
        <w:rPr>
          <w:rStyle w:val="FootnoteReference"/>
          <w:sz w:val="28"/>
          <w:szCs w:val="28"/>
        </w:rPr>
        <w:footnoteRef/>
      </w:r>
      <w:r w:rsidRPr="004C01E3">
        <w:rPr>
          <w:sz w:val="28"/>
          <w:szCs w:val="28"/>
        </w:rPr>
        <w:t xml:space="preserve"> </w:t>
      </w:r>
      <w:r w:rsidRPr="004C01E3">
        <w:rPr>
          <w:sz w:val="28"/>
          <w:szCs w:val="28"/>
          <w:u w:val="single"/>
        </w:rPr>
        <w:t>Dobson v. State ex rel. Comm'n on Appellate Court Appointments</w:t>
      </w:r>
      <w:r w:rsidRPr="004C01E3">
        <w:rPr>
          <w:sz w:val="28"/>
          <w:szCs w:val="28"/>
        </w:rPr>
        <w:t xml:space="preserve">, 233 </w:t>
      </w:r>
      <w:r w:rsidR="009837D5">
        <w:rPr>
          <w:sz w:val="28"/>
          <w:szCs w:val="28"/>
        </w:rPr>
        <w:t>Ariz. 119, 309 P.3d 1289 (2013)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3685"/>
    <w:multiLevelType w:val="hybridMultilevel"/>
    <w:tmpl w:val="9740F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12CB6"/>
    <w:multiLevelType w:val="hybridMultilevel"/>
    <w:tmpl w:val="2CB0D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4B6A64"/>
    <w:multiLevelType w:val="hybridMultilevel"/>
    <w:tmpl w:val="11C29820"/>
    <w:lvl w:ilvl="0" w:tplc="942E38B6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7897348"/>
    <w:multiLevelType w:val="hybridMultilevel"/>
    <w:tmpl w:val="22E64E44"/>
    <w:lvl w:ilvl="0" w:tplc="29ACF59E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5652D"/>
    <w:multiLevelType w:val="hybridMultilevel"/>
    <w:tmpl w:val="9992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72166"/>
    <w:multiLevelType w:val="hybridMultilevel"/>
    <w:tmpl w:val="A206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14666"/>
    <w:multiLevelType w:val="hybridMultilevel"/>
    <w:tmpl w:val="D414B27E"/>
    <w:lvl w:ilvl="0" w:tplc="0EC2A5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044BD"/>
    <w:multiLevelType w:val="hybridMultilevel"/>
    <w:tmpl w:val="30AA72A2"/>
    <w:lvl w:ilvl="0" w:tplc="727C9B60">
      <w:start w:val="1"/>
      <w:numFmt w:val="lowerLetter"/>
      <w:lvlText w:val="%1."/>
      <w:lvlJc w:val="left"/>
      <w:pPr>
        <w:ind w:left="6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4E914B8"/>
    <w:multiLevelType w:val="hybridMultilevel"/>
    <w:tmpl w:val="FE0E02EA"/>
    <w:lvl w:ilvl="0" w:tplc="26E0D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45"/>
    <w:rsid w:val="000007AF"/>
    <w:rsid w:val="00001765"/>
    <w:rsid w:val="00002B79"/>
    <w:rsid w:val="000036D2"/>
    <w:rsid w:val="000046AD"/>
    <w:rsid w:val="00014310"/>
    <w:rsid w:val="00016E70"/>
    <w:rsid w:val="00020D96"/>
    <w:rsid w:val="00021D9E"/>
    <w:rsid w:val="00022829"/>
    <w:rsid w:val="00022CEE"/>
    <w:rsid w:val="0002391C"/>
    <w:rsid w:val="000248BB"/>
    <w:rsid w:val="00024D5A"/>
    <w:rsid w:val="000258E0"/>
    <w:rsid w:val="00027A5C"/>
    <w:rsid w:val="00034297"/>
    <w:rsid w:val="00037C21"/>
    <w:rsid w:val="00045358"/>
    <w:rsid w:val="000468C5"/>
    <w:rsid w:val="000501DB"/>
    <w:rsid w:val="00051590"/>
    <w:rsid w:val="00051DB3"/>
    <w:rsid w:val="00054EEC"/>
    <w:rsid w:val="00056360"/>
    <w:rsid w:val="00062253"/>
    <w:rsid w:val="00062D00"/>
    <w:rsid w:val="00067038"/>
    <w:rsid w:val="00067787"/>
    <w:rsid w:val="0007283F"/>
    <w:rsid w:val="0007310C"/>
    <w:rsid w:val="000741E3"/>
    <w:rsid w:val="0007581C"/>
    <w:rsid w:val="00077575"/>
    <w:rsid w:val="00084F0B"/>
    <w:rsid w:val="00085C4E"/>
    <w:rsid w:val="0008779E"/>
    <w:rsid w:val="000921AB"/>
    <w:rsid w:val="00094375"/>
    <w:rsid w:val="00096CCC"/>
    <w:rsid w:val="00097772"/>
    <w:rsid w:val="000A24E5"/>
    <w:rsid w:val="000A5737"/>
    <w:rsid w:val="000A6E2A"/>
    <w:rsid w:val="000B0970"/>
    <w:rsid w:val="000B0CBC"/>
    <w:rsid w:val="000B18ED"/>
    <w:rsid w:val="000B348E"/>
    <w:rsid w:val="000C0797"/>
    <w:rsid w:val="000C4449"/>
    <w:rsid w:val="000C6F7C"/>
    <w:rsid w:val="000C7B16"/>
    <w:rsid w:val="000D019E"/>
    <w:rsid w:val="000D0F09"/>
    <w:rsid w:val="000D2608"/>
    <w:rsid w:val="000D2A15"/>
    <w:rsid w:val="000D42E4"/>
    <w:rsid w:val="000D54F3"/>
    <w:rsid w:val="000D7E69"/>
    <w:rsid w:val="000E2F16"/>
    <w:rsid w:val="000E7A1A"/>
    <w:rsid w:val="000F1423"/>
    <w:rsid w:val="000F493D"/>
    <w:rsid w:val="000F5CCE"/>
    <w:rsid w:val="000F640E"/>
    <w:rsid w:val="000F7AE6"/>
    <w:rsid w:val="00102345"/>
    <w:rsid w:val="00110DFE"/>
    <w:rsid w:val="00110E91"/>
    <w:rsid w:val="00111A2A"/>
    <w:rsid w:val="00112F8C"/>
    <w:rsid w:val="0011790D"/>
    <w:rsid w:val="00126980"/>
    <w:rsid w:val="001317B7"/>
    <w:rsid w:val="00132E2B"/>
    <w:rsid w:val="00134CF9"/>
    <w:rsid w:val="00144ECC"/>
    <w:rsid w:val="001453D5"/>
    <w:rsid w:val="00145767"/>
    <w:rsid w:val="001465C9"/>
    <w:rsid w:val="00147DB0"/>
    <w:rsid w:val="001504F5"/>
    <w:rsid w:val="001534AA"/>
    <w:rsid w:val="00154130"/>
    <w:rsid w:val="00160D2B"/>
    <w:rsid w:val="00165ACC"/>
    <w:rsid w:val="001700DF"/>
    <w:rsid w:val="0017092A"/>
    <w:rsid w:val="00170C7E"/>
    <w:rsid w:val="00172C3B"/>
    <w:rsid w:val="00173DC8"/>
    <w:rsid w:val="00173FA4"/>
    <w:rsid w:val="001803E1"/>
    <w:rsid w:val="001848A4"/>
    <w:rsid w:val="00186CD9"/>
    <w:rsid w:val="0019400F"/>
    <w:rsid w:val="001A58B4"/>
    <w:rsid w:val="001A629C"/>
    <w:rsid w:val="001A7B8C"/>
    <w:rsid w:val="001C04C0"/>
    <w:rsid w:val="001C3BC7"/>
    <w:rsid w:val="001C5B0D"/>
    <w:rsid w:val="001C6CB0"/>
    <w:rsid w:val="001D084F"/>
    <w:rsid w:val="001D0C7B"/>
    <w:rsid w:val="001D0FE3"/>
    <w:rsid w:val="001E0877"/>
    <w:rsid w:val="001E4C74"/>
    <w:rsid w:val="001F6A69"/>
    <w:rsid w:val="00204A34"/>
    <w:rsid w:val="00205380"/>
    <w:rsid w:val="00205F0F"/>
    <w:rsid w:val="00207F77"/>
    <w:rsid w:val="00214D09"/>
    <w:rsid w:val="00224B8F"/>
    <w:rsid w:val="00226F48"/>
    <w:rsid w:val="00230513"/>
    <w:rsid w:val="00231C5D"/>
    <w:rsid w:val="00234761"/>
    <w:rsid w:val="00234868"/>
    <w:rsid w:val="002370DB"/>
    <w:rsid w:val="00237C96"/>
    <w:rsid w:val="00240BF8"/>
    <w:rsid w:val="0024292C"/>
    <w:rsid w:val="002465C1"/>
    <w:rsid w:val="002470A3"/>
    <w:rsid w:val="00251F4B"/>
    <w:rsid w:val="00253903"/>
    <w:rsid w:val="002561E2"/>
    <w:rsid w:val="002565DB"/>
    <w:rsid w:val="0026567E"/>
    <w:rsid w:val="00267ECA"/>
    <w:rsid w:val="00276208"/>
    <w:rsid w:val="00276E74"/>
    <w:rsid w:val="002857B9"/>
    <w:rsid w:val="00291524"/>
    <w:rsid w:val="00295BDB"/>
    <w:rsid w:val="0029776B"/>
    <w:rsid w:val="002A160C"/>
    <w:rsid w:val="002A6A69"/>
    <w:rsid w:val="002A766D"/>
    <w:rsid w:val="002B40B7"/>
    <w:rsid w:val="002B6E78"/>
    <w:rsid w:val="002C0349"/>
    <w:rsid w:val="002C3C4C"/>
    <w:rsid w:val="002D1D8C"/>
    <w:rsid w:val="002D1EC6"/>
    <w:rsid w:val="002F0262"/>
    <w:rsid w:val="002F0444"/>
    <w:rsid w:val="002F0BFD"/>
    <w:rsid w:val="002F15A9"/>
    <w:rsid w:val="002F6CDD"/>
    <w:rsid w:val="00300452"/>
    <w:rsid w:val="003071E1"/>
    <w:rsid w:val="003072C3"/>
    <w:rsid w:val="00307C9D"/>
    <w:rsid w:val="00307D38"/>
    <w:rsid w:val="00311FCA"/>
    <w:rsid w:val="00312CDF"/>
    <w:rsid w:val="0031322D"/>
    <w:rsid w:val="00316B69"/>
    <w:rsid w:val="00317BEF"/>
    <w:rsid w:val="00331691"/>
    <w:rsid w:val="00342CA7"/>
    <w:rsid w:val="0035057C"/>
    <w:rsid w:val="00350610"/>
    <w:rsid w:val="00352DC9"/>
    <w:rsid w:val="0036152E"/>
    <w:rsid w:val="003615D8"/>
    <w:rsid w:val="00361D7D"/>
    <w:rsid w:val="00366213"/>
    <w:rsid w:val="00367B35"/>
    <w:rsid w:val="00367ECD"/>
    <w:rsid w:val="003704E7"/>
    <w:rsid w:val="00373D88"/>
    <w:rsid w:val="00375812"/>
    <w:rsid w:val="0037767E"/>
    <w:rsid w:val="00380AD2"/>
    <w:rsid w:val="003835CB"/>
    <w:rsid w:val="0038748C"/>
    <w:rsid w:val="003952CB"/>
    <w:rsid w:val="00396D6E"/>
    <w:rsid w:val="003A0870"/>
    <w:rsid w:val="003A1835"/>
    <w:rsid w:val="003A3CC3"/>
    <w:rsid w:val="003A5634"/>
    <w:rsid w:val="003B0055"/>
    <w:rsid w:val="003B1F22"/>
    <w:rsid w:val="003B253E"/>
    <w:rsid w:val="003B319B"/>
    <w:rsid w:val="003B35D3"/>
    <w:rsid w:val="003B3D72"/>
    <w:rsid w:val="003B4170"/>
    <w:rsid w:val="003B4694"/>
    <w:rsid w:val="003B5103"/>
    <w:rsid w:val="003C5250"/>
    <w:rsid w:val="003C54C7"/>
    <w:rsid w:val="003C68B4"/>
    <w:rsid w:val="003D0BC9"/>
    <w:rsid w:val="003E099C"/>
    <w:rsid w:val="003E2C5B"/>
    <w:rsid w:val="003E3345"/>
    <w:rsid w:val="003E5541"/>
    <w:rsid w:val="00400253"/>
    <w:rsid w:val="00406105"/>
    <w:rsid w:val="00406691"/>
    <w:rsid w:val="00411FE0"/>
    <w:rsid w:val="00421966"/>
    <w:rsid w:val="004226BE"/>
    <w:rsid w:val="00422B61"/>
    <w:rsid w:val="004241E4"/>
    <w:rsid w:val="00424E8F"/>
    <w:rsid w:val="00432BF7"/>
    <w:rsid w:val="00433614"/>
    <w:rsid w:val="00435D69"/>
    <w:rsid w:val="00440666"/>
    <w:rsid w:val="0044428D"/>
    <w:rsid w:val="00451C67"/>
    <w:rsid w:val="004553CF"/>
    <w:rsid w:val="00460670"/>
    <w:rsid w:val="00462094"/>
    <w:rsid w:val="0046287F"/>
    <w:rsid w:val="004656AB"/>
    <w:rsid w:val="0047588D"/>
    <w:rsid w:val="0048022C"/>
    <w:rsid w:val="00481E70"/>
    <w:rsid w:val="00485760"/>
    <w:rsid w:val="00486C65"/>
    <w:rsid w:val="00490160"/>
    <w:rsid w:val="004A1C5F"/>
    <w:rsid w:val="004A2F74"/>
    <w:rsid w:val="004A3B9A"/>
    <w:rsid w:val="004A738B"/>
    <w:rsid w:val="004B6637"/>
    <w:rsid w:val="004B6DAE"/>
    <w:rsid w:val="004C01E3"/>
    <w:rsid w:val="004C152C"/>
    <w:rsid w:val="004C4083"/>
    <w:rsid w:val="004C500B"/>
    <w:rsid w:val="004D0C68"/>
    <w:rsid w:val="004D4F6B"/>
    <w:rsid w:val="004D66CA"/>
    <w:rsid w:val="004E1F11"/>
    <w:rsid w:val="004E4061"/>
    <w:rsid w:val="004E6B75"/>
    <w:rsid w:val="00500BBD"/>
    <w:rsid w:val="00500FA5"/>
    <w:rsid w:val="005067FB"/>
    <w:rsid w:val="0051663B"/>
    <w:rsid w:val="00523876"/>
    <w:rsid w:val="005244DB"/>
    <w:rsid w:val="005244F0"/>
    <w:rsid w:val="005245D0"/>
    <w:rsid w:val="00525DE6"/>
    <w:rsid w:val="005276CE"/>
    <w:rsid w:val="00543D3E"/>
    <w:rsid w:val="00544888"/>
    <w:rsid w:val="005466B4"/>
    <w:rsid w:val="005544AF"/>
    <w:rsid w:val="00555CF7"/>
    <w:rsid w:val="00560883"/>
    <w:rsid w:val="00561A63"/>
    <w:rsid w:val="00561F2D"/>
    <w:rsid w:val="0056744F"/>
    <w:rsid w:val="00567F24"/>
    <w:rsid w:val="005833BD"/>
    <w:rsid w:val="00583E8F"/>
    <w:rsid w:val="005925A7"/>
    <w:rsid w:val="00593E32"/>
    <w:rsid w:val="00595F0A"/>
    <w:rsid w:val="005A303E"/>
    <w:rsid w:val="005A78BD"/>
    <w:rsid w:val="005A7B26"/>
    <w:rsid w:val="005B02AC"/>
    <w:rsid w:val="005B2945"/>
    <w:rsid w:val="005B66BD"/>
    <w:rsid w:val="005C7BBC"/>
    <w:rsid w:val="005E1F57"/>
    <w:rsid w:val="005E2A15"/>
    <w:rsid w:val="005E30EE"/>
    <w:rsid w:val="005E318B"/>
    <w:rsid w:val="005E3AA7"/>
    <w:rsid w:val="005E4286"/>
    <w:rsid w:val="005E6F28"/>
    <w:rsid w:val="005E74AD"/>
    <w:rsid w:val="005F176A"/>
    <w:rsid w:val="005F185D"/>
    <w:rsid w:val="00606DC7"/>
    <w:rsid w:val="006119F6"/>
    <w:rsid w:val="00612A85"/>
    <w:rsid w:val="00612D67"/>
    <w:rsid w:val="00616233"/>
    <w:rsid w:val="00622B58"/>
    <w:rsid w:val="00624C16"/>
    <w:rsid w:val="006257E1"/>
    <w:rsid w:val="00625839"/>
    <w:rsid w:val="00627976"/>
    <w:rsid w:val="00630190"/>
    <w:rsid w:val="00630ABE"/>
    <w:rsid w:val="00631943"/>
    <w:rsid w:val="006339B2"/>
    <w:rsid w:val="00636A7C"/>
    <w:rsid w:val="00637B73"/>
    <w:rsid w:val="006400BE"/>
    <w:rsid w:val="006416DE"/>
    <w:rsid w:val="00641A8E"/>
    <w:rsid w:val="00642577"/>
    <w:rsid w:val="0064284E"/>
    <w:rsid w:val="00644E1C"/>
    <w:rsid w:val="006520C1"/>
    <w:rsid w:val="0065655E"/>
    <w:rsid w:val="00657E01"/>
    <w:rsid w:val="0066312A"/>
    <w:rsid w:val="00665898"/>
    <w:rsid w:val="006662B3"/>
    <w:rsid w:val="00670104"/>
    <w:rsid w:val="00673703"/>
    <w:rsid w:val="00676402"/>
    <w:rsid w:val="0068127D"/>
    <w:rsid w:val="006847E3"/>
    <w:rsid w:val="00690573"/>
    <w:rsid w:val="006906B8"/>
    <w:rsid w:val="0069343D"/>
    <w:rsid w:val="00695D80"/>
    <w:rsid w:val="0069652E"/>
    <w:rsid w:val="006A6BA4"/>
    <w:rsid w:val="006B1C85"/>
    <w:rsid w:val="006C17EF"/>
    <w:rsid w:val="006C2ABA"/>
    <w:rsid w:val="006D0EB9"/>
    <w:rsid w:val="006D4A05"/>
    <w:rsid w:val="006D73A2"/>
    <w:rsid w:val="006E00B1"/>
    <w:rsid w:val="006E2252"/>
    <w:rsid w:val="006E25E8"/>
    <w:rsid w:val="006E2ADC"/>
    <w:rsid w:val="006E6B8D"/>
    <w:rsid w:val="006F5009"/>
    <w:rsid w:val="006F5FE0"/>
    <w:rsid w:val="006F62BD"/>
    <w:rsid w:val="00703035"/>
    <w:rsid w:val="00711A4A"/>
    <w:rsid w:val="00714B1A"/>
    <w:rsid w:val="007160F1"/>
    <w:rsid w:val="00723EF7"/>
    <w:rsid w:val="007340CD"/>
    <w:rsid w:val="00735A50"/>
    <w:rsid w:val="00742C6C"/>
    <w:rsid w:val="00742E1F"/>
    <w:rsid w:val="007476BB"/>
    <w:rsid w:val="00753161"/>
    <w:rsid w:val="007534A9"/>
    <w:rsid w:val="007537F8"/>
    <w:rsid w:val="007552D6"/>
    <w:rsid w:val="0076325F"/>
    <w:rsid w:val="007654B2"/>
    <w:rsid w:val="00766541"/>
    <w:rsid w:val="00770FF8"/>
    <w:rsid w:val="00773008"/>
    <w:rsid w:val="00775019"/>
    <w:rsid w:val="007760B1"/>
    <w:rsid w:val="007777EB"/>
    <w:rsid w:val="0078114A"/>
    <w:rsid w:val="00782994"/>
    <w:rsid w:val="00791122"/>
    <w:rsid w:val="00791598"/>
    <w:rsid w:val="0079252F"/>
    <w:rsid w:val="00796506"/>
    <w:rsid w:val="00796C38"/>
    <w:rsid w:val="007A2DFB"/>
    <w:rsid w:val="007A30FE"/>
    <w:rsid w:val="007C0A2E"/>
    <w:rsid w:val="007C5F59"/>
    <w:rsid w:val="007C6034"/>
    <w:rsid w:val="007C6260"/>
    <w:rsid w:val="007C767A"/>
    <w:rsid w:val="007D2DD4"/>
    <w:rsid w:val="007D577E"/>
    <w:rsid w:val="007D6EDD"/>
    <w:rsid w:val="007D72B4"/>
    <w:rsid w:val="007D7349"/>
    <w:rsid w:val="007D794D"/>
    <w:rsid w:val="007E1486"/>
    <w:rsid w:val="007E1711"/>
    <w:rsid w:val="007E2585"/>
    <w:rsid w:val="007E366E"/>
    <w:rsid w:val="007E5EAB"/>
    <w:rsid w:val="007E781B"/>
    <w:rsid w:val="007F34C6"/>
    <w:rsid w:val="007F62C6"/>
    <w:rsid w:val="007F6C28"/>
    <w:rsid w:val="007F7266"/>
    <w:rsid w:val="008039C4"/>
    <w:rsid w:val="00803B29"/>
    <w:rsid w:val="0080624A"/>
    <w:rsid w:val="00807D5D"/>
    <w:rsid w:val="00811678"/>
    <w:rsid w:val="00811B4C"/>
    <w:rsid w:val="00813262"/>
    <w:rsid w:val="00817289"/>
    <w:rsid w:val="008211CD"/>
    <w:rsid w:val="008215E7"/>
    <w:rsid w:val="00825844"/>
    <w:rsid w:val="008335D6"/>
    <w:rsid w:val="008350B2"/>
    <w:rsid w:val="00835F83"/>
    <w:rsid w:val="008367D4"/>
    <w:rsid w:val="0084159F"/>
    <w:rsid w:val="008422AD"/>
    <w:rsid w:val="00844458"/>
    <w:rsid w:val="008467C2"/>
    <w:rsid w:val="00850467"/>
    <w:rsid w:val="0085208F"/>
    <w:rsid w:val="00863170"/>
    <w:rsid w:val="008669A9"/>
    <w:rsid w:val="008707F0"/>
    <w:rsid w:val="008765E9"/>
    <w:rsid w:val="0088108C"/>
    <w:rsid w:val="008852A3"/>
    <w:rsid w:val="00887BB9"/>
    <w:rsid w:val="00890F04"/>
    <w:rsid w:val="00895AFD"/>
    <w:rsid w:val="008975DA"/>
    <w:rsid w:val="008A48B1"/>
    <w:rsid w:val="008C3448"/>
    <w:rsid w:val="008C54D7"/>
    <w:rsid w:val="008D2B60"/>
    <w:rsid w:val="008D485A"/>
    <w:rsid w:val="008F1958"/>
    <w:rsid w:val="008F3286"/>
    <w:rsid w:val="008F4A3F"/>
    <w:rsid w:val="008F66D7"/>
    <w:rsid w:val="00903197"/>
    <w:rsid w:val="00910C90"/>
    <w:rsid w:val="00910CC3"/>
    <w:rsid w:val="0091317A"/>
    <w:rsid w:val="00913CF1"/>
    <w:rsid w:val="009156E1"/>
    <w:rsid w:val="0091695F"/>
    <w:rsid w:val="009305AD"/>
    <w:rsid w:val="00933FBC"/>
    <w:rsid w:val="009419A8"/>
    <w:rsid w:val="00942715"/>
    <w:rsid w:val="00944B70"/>
    <w:rsid w:val="00947153"/>
    <w:rsid w:val="009473BA"/>
    <w:rsid w:val="009549F2"/>
    <w:rsid w:val="0096131D"/>
    <w:rsid w:val="0097436C"/>
    <w:rsid w:val="009745FC"/>
    <w:rsid w:val="00975419"/>
    <w:rsid w:val="00977C41"/>
    <w:rsid w:val="009837D5"/>
    <w:rsid w:val="00984759"/>
    <w:rsid w:val="00992F15"/>
    <w:rsid w:val="009A0431"/>
    <w:rsid w:val="009A15BF"/>
    <w:rsid w:val="009A4AE6"/>
    <w:rsid w:val="009A54E1"/>
    <w:rsid w:val="009A5D77"/>
    <w:rsid w:val="009A747D"/>
    <w:rsid w:val="009B0E2D"/>
    <w:rsid w:val="009B1F2C"/>
    <w:rsid w:val="009B2CAD"/>
    <w:rsid w:val="009B407C"/>
    <w:rsid w:val="009C3FF3"/>
    <w:rsid w:val="009C5A52"/>
    <w:rsid w:val="009C5D4D"/>
    <w:rsid w:val="009C6A75"/>
    <w:rsid w:val="009C73A8"/>
    <w:rsid w:val="009D07CF"/>
    <w:rsid w:val="009D3DC4"/>
    <w:rsid w:val="009D56EA"/>
    <w:rsid w:val="009E06E0"/>
    <w:rsid w:val="009F0293"/>
    <w:rsid w:val="009F08BB"/>
    <w:rsid w:val="00A00629"/>
    <w:rsid w:val="00A00F16"/>
    <w:rsid w:val="00A022B8"/>
    <w:rsid w:val="00A11613"/>
    <w:rsid w:val="00A1413C"/>
    <w:rsid w:val="00A14864"/>
    <w:rsid w:val="00A169E0"/>
    <w:rsid w:val="00A17A89"/>
    <w:rsid w:val="00A23D17"/>
    <w:rsid w:val="00A24FD4"/>
    <w:rsid w:val="00A25D9C"/>
    <w:rsid w:val="00A34E69"/>
    <w:rsid w:val="00A3520E"/>
    <w:rsid w:val="00A42CE6"/>
    <w:rsid w:val="00A43E71"/>
    <w:rsid w:val="00A4421B"/>
    <w:rsid w:val="00A46134"/>
    <w:rsid w:val="00A46440"/>
    <w:rsid w:val="00A47411"/>
    <w:rsid w:val="00A5354B"/>
    <w:rsid w:val="00A55F57"/>
    <w:rsid w:val="00A56A3B"/>
    <w:rsid w:val="00A60F82"/>
    <w:rsid w:val="00A65F5B"/>
    <w:rsid w:val="00A66AB0"/>
    <w:rsid w:val="00A67B9D"/>
    <w:rsid w:val="00A757EC"/>
    <w:rsid w:val="00A77886"/>
    <w:rsid w:val="00A8181E"/>
    <w:rsid w:val="00A819D8"/>
    <w:rsid w:val="00A83505"/>
    <w:rsid w:val="00A85613"/>
    <w:rsid w:val="00A94229"/>
    <w:rsid w:val="00AA319C"/>
    <w:rsid w:val="00AA4FFA"/>
    <w:rsid w:val="00AA7896"/>
    <w:rsid w:val="00AB04A4"/>
    <w:rsid w:val="00AB0E31"/>
    <w:rsid w:val="00AB17E4"/>
    <w:rsid w:val="00AB2DBE"/>
    <w:rsid w:val="00AB45A9"/>
    <w:rsid w:val="00AB55F8"/>
    <w:rsid w:val="00AB6F5F"/>
    <w:rsid w:val="00AC10E2"/>
    <w:rsid w:val="00AC23EB"/>
    <w:rsid w:val="00AC3115"/>
    <w:rsid w:val="00AC6245"/>
    <w:rsid w:val="00AE2E60"/>
    <w:rsid w:val="00AE4855"/>
    <w:rsid w:val="00AE4D78"/>
    <w:rsid w:val="00AE5191"/>
    <w:rsid w:val="00AE6C40"/>
    <w:rsid w:val="00AF1745"/>
    <w:rsid w:val="00AF292E"/>
    <w:rsid w:val="00AF2F22"/>
    <w:rsid w:val="00AF3C41"/>
    <w:rsid w:val="00B0062B"/>
    <w:rsid w:val="00B0073E"/>
    <w:rsid w:val="00B01EF3"/>
    <w:rsid w:val="00B0477B"/>
    <w:rsid w:val="00B04863"/>
    <w:rsid w:val="00B0697B"/>
    <w:rsid w:val="00B124A3"/>
    <w:rsid w:val="00B14EE7"/>
    <w:rsid w:val="00B1779A"/>
    <w:rsid w:val="00B2117C"/>
    <w:rsid w:val="00B25D54"/>
    <w:rsid w:val="00B25E24"/>
    <w:rsid w:val="00B278F9"/>
    <w:rsid w:val="00B3024A"/>
    <w:rsid w:val="00B309D4"/>
    <w:rsid w:val="00B3120D"/>
    <w:rsid w:val="00B4335A"/>
    <w:rsid w:val="00B4643E"/>
    <w:rsid w:val="00B47159"/>
    <w:rsid w:val="00B47F37"/>
    <w:rsid w:val="00B512FF"/>
    <w:rsid w:val="00B515E6"/>
    <w:rsid w:val="00B52DB7"/>
    <w:rsid w:val="00B54AD3"/>
    <w:rsid w:val="00B56FDC"/>
    <w:rsid w:val="00B5772F"/>
    <w:rsid w:val="00B64F6E"/>
    <w:rsid w:val="00B661D3"/>
    <w:rsid w:val="00B74C0C"/>
    <w:rsid w:val="00B753F6"/>
    <w:rsid w:val="00B7625F"/>
    <w:rsid w:val="00B82AF8"/>
    <w:rsid w:val="00B83567"/>
    <w:rsid w:val="00B837DB"/>
    <w:rsid w:val="00B841FC"/>
    <w:rsid w:val="00B87DC8"/>
    <w:rsid w:val="00B922C2"/>
    <w:rsid w:val="00B96D3D"/>
    <w:rsid w:val="00BA0241"/>
    <w:rsid w:val="00BA352E"/>
    <w:rsid w:val="00BB0F1B"/>
    <w:rsid w:val="00BB10B3"/>
    <w:rsid w:val="00BB12D3"/>
    <w:rsid w:val="00BB28CE"/>
    <w:rsid w:val="00BB36CB"/>
    <w:rsid w:val="00BB4D72"/>
    <w:rsid w:val="00BB721A"/>
    <w:rsid w:val="00BC21E5"/>
    <w:rsid w:val="00BC4008"/>
    <w:rsid w:val="00BC6942"/>
    <w:rsid w:val="00BC6DDC"/>
    <w:rsid w:val="00BD2731"/>
    <w:rsid w:val="00BD399D"/>
    <w:rsid w:val="00BE4302"/>
    <w:rsid w:val="00BE6283"/>
    <w:rsid w:val="00BE725A"/>
    <w:rsid w:val="00BF09DA"/>
    <w:rsid w:val="00BF2C92"/>
    <w:rsid w:val="00BF6396"/>
    <w:rsid w:val="00C05685"/>
    <w:rsid w:val="00C15869"/>
    <w:rsid w:val="00C16DF4"/>
    <w:rsid w:val="00C20882"/>
    <w:rsid w:val="00C20DB4"/>
    <w:rsid w:val="00C21EC0"/>
    <w:rsid w:val="00C23F9D"/>
    <w:rsid w:val="00C24BF8"/>
    <w:rsid w:val="00C261A9"/>
    <w:rsid w:val="00C32894"/>
    <w:rsid w:val="00C339B0"/>
    <w:rsid w:val="00C35672"/>
    <w:rsid w:val="00C36CCE"/>
    <w:rsid w:val="00C37388"/>
    <w:rsid w:val="00C37F12"/>
    <w:rsid w:val="00C441B8"/>
    <w:rsid w:val="00C478B9"/>
    <w:rsid w:val="00C530B0"/>
    <w:rsid w:val="00C55120"/>
    <w:rsid w:val="00C602B0"/>
    <w:rsid w:val="00C61022"/>
    <w:rsid w:val="00C66293"/>
    <w:rsid w:val="00C67584"/>
    <w:rsid w:val="00C72CE1"/>
    <w:rsid w:val="00C809CB"/>
    <w:rsid w:val="00C80DE5"/>
    <w:rsid w:val="00C835D8"/>
    <w:rsid w:val="00C84C9F"/>
    <w:rsid w:val="00C91649"/>
    <w:rsid w:val="00C931EF"/>
    <w:rsid w:val="00C95F54"/>
    <w:rsid w:val="00C96EC8"/>
    <w:rsid w:val="00CA2A5E"/>
    <w:rsid w:val="00CA6E1D"/>
    <w:rsid w:val="00CB0B7A"/>
    <w:rsid w:val="00CB2EFA"/>
    <w:rsid w:val="00CD1A08"/>
    <w:rsid w:val="00CD4C1E"/>
    <w:rsid w:val="00CD5A26"/>
    <w:rsid w:val="00CD6BD3"/>
    <w:rsid w:val="00CE1031"/>
    <w:rsid w:val="00CE2017"/>
    <w:rsid w:val="00CE39C0"/>
    <w:rsid w:val="00CE581D"/>
    <w:rsid w:val="00CE5ECD"/>
    <w:rsid w:val="00CF0459"/>
    <w:rsid w:val="00CF296B"/>
    <w:rsid w:val="00CF2D0B"/>
    <w:rsid w:val="00CF409D"/>
    <w:rsid w:val="00CF40F1"/>
    <w:rsid w:val="00CF4212"/>
    <w:rsid w:val="00CF785A"/>
    <w:rsid w:val="00D036B7"/>
    <w:rsid w:val="00D0376F"/>
    <w:rsid w:val="00D04FCC"/>
    <w:rsid w:val="00D05A26"/>
    <w:rsid w:val="00D143A7"/>
    <w:rsid w:val="00D2018D"/>
    <w:rsid w:val="00D212F1"/>
    <w:rsid w:val="00D245C4"/>
    <w:rsid w:val="00D338FC"/>
    <w:rsid w:val="00D33EB0"/>
    <w:rsid w:val="00D33F38"/>
    <w:rsid w:val="00D343CF"/>
    <w:rsid w:val="00D355C7"/>
    <w:rsid w:val="00D35F89"/>
    <w:rsid w:val="00D36464"/>
    <w:rsid w:val="00D37044"/>
    <w:rsid w:val="00D4439E"/>
    <w:rsid w:val="00D448EB"/>
    <w:rsid w:val="00D44B37"/>
    <w:rsid w:val="00D51DAA"/>
    <w:rsid w:val="00D5639E"/>
    <w:rsid w:val="00D602F5"/>
    <w:rsid w:val="00D60444"/>
    <w:rsid w:val="00D623BA"/>
    <w:rsid w:val="00D62BD3"/>
    <w:rsid w:val="00D64E5D"/>
    <w:rsid w:val="00D65694"/>
    <w:rsid w:val="00D66112"/>
    <w:rsid w:val="00D70019"/>
    <w:rsid w:val="00D72F13"/>
    <w:rsid w:val="00D7365B"/>
    <w:rsid w:val="00D838B0"/>
    <w:rsid w:val="00D85941"/>
    <w:rsid w:val="00D869A1"/>
    <w:rsid w:val="00D86F46"/>
    <w:rsid w:val="00D92B60"/>
    <w:rsid w:val="00D95054"/>
    <w:rsid w:val="00D976A2"/>
    <w:rsid w:val="00DA207F"/>
    <w:rsid w:val="00DB3581"/>
    <w:rsid w:val="00DB379A"/>
    <w:rsid w:val="00DB4222"/>
    <w:rsid w:val="00DB7D45"/>
    <w:rsid w:val="00DC0E2F"/>
    <w:rsid w:val="00DC29D6"/>
    <w:rsid w:val="00DC44DD"/>
    <w:rsid w:val="00DD0060"/>
    <w:rsid w:val="00DD327C"/>
    <w:rsid w:val="00DD4054"/>
    <w:rsid w:val="00DE00DE"/>
    <w:rsid w:val="00DE1F65"/>
    <w:rsid w:val="00DE2FC9"/>
    <w:rsid w:val="00DE6D48"/>
    <w:rsid w:val="00DE6D85"/>
    <w:rsid w:val="00DF354F"/>
    <w:rsid w:val="00DF386D"/>
    <w:rsid w:val="00DF754D"/>
    <w:rsid w:val="00DF78F7"/>
    <w:rsid w:val="00E012FA"/>
    <w:rsid w:val="00E01E74"/>
    <w:rsid w:val="00E11C75"/>
    <w:rsid w:val="00E13A4E"/>
    <w:rsid w:val="00E15738"/>
    <w:rsid w:val="00E1659F"/>
    <w:rsid w:val="00E21F6C"/>
    <w:rsid w:val="00E22A64"/>
    <w:rsid w:val="00E318FD"/>
    <w:rsid w:val="00E35E10"/>
    <w:rsid w:val="00E375CF"/>
    <w:rsid w:val="00E40B31"/>
    <w:rsid w:val="00E41792"/>
    <w:rsid w:val="00E5036E"/>
    <w:rsid w:val="00E50C87"/>
    <w:rsid w:val="00E53746"/>
    <w:rsid w:val="00E53F66"/>
    <w:rsid w:val="00E606E9"/>
    <w:rsid w:val="00E63CCF"/>
    <w:rsid w:val="00E719D0"/>
    <w:rsid w:val="00E73760"/>
    <w:rsid w:val="00E75DBD"/>
    <w:rsid w:val="00E76A9E"/>
    <w:rsid w:val="00E81510"/>
    <w:rsid w:val="00E85FDC"/>
    <w:rsid w:val="00E941F4"/>
    <w:rsid w:val="00E95131"/>
    <w:rsid w:val="00EA257D"/>
    <w:rsid w:val="00EA33EB"/>
    <w:rsid w:val="00EA3A46"/>
    <w:rsid w:val="00EA532B"/>
    <w:rsid w:val="00EA579E"/>
    <w:rsid w:val="00EB278C"/>
    <w:rsid w:val="00EB59E6"/>
    <w:rsid w:val="00EB5F7B"/>
    <w:rsid w:val="00EB734B"/>
    <w:rsid w:val="00EB7B44"/>
    <w:rsid w:val="00EC2167"/>
    <w:rsid w:val="00EC431B"/>
    <w:rsid w:val="00EC44F2"/>
    <w:rsid w:val="00EC686D"/>
    <w:rsid w:val="00EC6E63"/>
    <w:rsid w:val="00ED00A2"/>
    <w:rsid w:val="00ED20C7"/>
    <w:rsid w:val="00ED2356"/>
    <w:rsid w:val="00ED3469"/>
    <w:rsid w:val="00ED37BE"/>
    <w:rsid w:val="00ED486C"/>
    <w:rsid w:val="00ED4B50"/>
    <w:rsid w:val="00ED5E09"/>
    <w:rsid w:val="00EE501F"/>
    <w:rsid w:val="00EF0606"/>
    <w:rsid w:val="00EF3ADD"/>
    <w:rsid w:val="00EF59A2"/>
    <w:rsid w:val="00F015D5"/>
    <w:rsid w:val="00F0746A"/>
    <w:rsid w:val="00F14745"/>
    <w:rsid w:val="00F15C0C"/>
    <w:rsid w:val="00F16045"/>
    <w:rsid w:val="00F17675"/>
    <w:rsid w:val="00F224F0"/>
    <w:rsid w:val="00F23815"/>
    <w:rsid w:val="00F3092A"/>
    <w:rsid w:val="00F3270E"/>
    <w:rsid w:val="00F3674E"/>
    <w:rsid w:val="00F37D85"/>
    <w:rsid w:val="00F4012E"/>
    <w:rsid w:val="00F44672"/>
    <w:rsid w:val="00F45B9E"/>
    <w:rsid w:val="00F551EC"/>
    <w:rsid w:val="00F55CF4"/>
    <w:rsid w:val="00F60D54"/>
    <w:rsid w:val="00F65587"/>
    <w:rsid w:val="00F6576C"/>
    <w:rsid w:val="00F65C01"/>
    <w:rsid w:val="00F700BA"/>
    <w:rsid w:val="00F7566D"/>
    <w:rsid w:val="00F76C69"/>
    <w:rsid w:val="00F80210"/>
    <w:rsid w:val="00F805A1"/>
    <w:rsid w:val="00F91496"/>
    <w:rsid w:val="00F92F03"/>
    <w:rsid w:val="00F972E2"/>
    <w:rsid w:val="00F977DE"/>
    <w:rsid w:val="00FA6CEA"/>
    <w:rsid w:val="00FB4455"/>
    <w:rsid w:val="00FC00DA"/>
    <w:rsid w:val="00FC50FD"/>
    <w:rsid w:val="00FD18CA"/>
    <w:rsid w:val="00FD2A91"/>
    <w:rsid w:val="00FD3389"/>
    <w:rsid w:val="00FD52C4"/>
    <w:rsid w:val="00FE08B0"/>
    <w:rsid w:val="00FE1288"/>
    <w:rsid w:val="00FE352C"/>
    <w:rsid w:val="00FE3F6E"/>
    <w:rsid w:val="00FE7559"/>
    <w:rsid w:val="00FF0FC7"/>
    <w:rsid w:val="00FF50BD"/>
    <w:rsid w:val="00FF50CD"/>
    <w:rsid w:val="00FF6331"/>
    <w:rsid w:val="2DB5FE94"/>
    <w:rsid w:val="4B8C913A"/>
    <w:rsid w:val="6205D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B06E4F"/>
  <w15:docId w15:val="{01D77467-52F2-4B55-8AFE-7741C5FF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31EF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F1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17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4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931EF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C9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B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15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68C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5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52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352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841F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6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396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3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396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39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F6396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F6396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639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2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1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06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3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F0360-A09B-41AE-BE17-68C3FFB3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Jennifer</dc:creator>
  <cp:keywords/>
  <dc:description/>
  <cp:lastModifiedBy>Greene, Jennifer</cp:lastModifiedBy>
  <cp:revision>6</cp:revision>
  <cp:lastPrinted>2017-09-27T23:23:00Z</cp:lastPrinted>
  <dcterms:created xsi:type="dcterms:W3CDTF">2017-09-27T20:50:00Z</dcterms:created>
  <dcterms:modified xsi:type="dcterms:W3CDTF">2017-09-28T16:44:00Z</dcterms:modified>
</cp:coreProperties>
</file>