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CB" w:rsidRDefault="00507DCB" w:rsidP="009021BE">
      <w:pPr>
        <w:pStyle w:val="Title"/>
      </w:pPr>
      <w:r>
        <w:t>REPORT TO THE SUPREME COURT</w:t>
      </w:r>
    </w:p>
    <w:p w:rsidR="00507DCB" w:rsidRPr="00507DCB" w:rsidRDefault="00507DCB" w:rsidP="00507DCB">
      <w:pPr>
        <w:jc w:val="center"/>
      </w:pPr>
      <w:r>
        <w:t>ON THE</w:t>
      </w:r>
    </w:p>
    <w:p w:rsidR="00507DCB" w:rsidRDefault="00507DCB" w:rsidP="009021BE">
      <w:pPr>
        <w:pStyle w:val="Title"/>
      </w:pPr>
      <w:r>
        <w:t xml:space="preserve">EXPERIMENTAL RULE CHANGE  </w:t>
      </w:r>
    </w:p>
    <w:p w:rsidR="009021BE" w:rsidRDefault="00507DCB" w:rsidP="009021BE">
      <w:pPr>
        <w:pStyle w:val="Title"/>
      </w:pPr>
      <w:r>
        <w:t xml:space="preserve">ALLOWING CHANGE OF JUDGE IN </w:t>
      </w:r>
      <w:r w:rsidR="009021BE">
        <w:t>EVICTION ACTION</w:t>
      </w:r>
      <w:r>
        <w:t>S</w:t>
      </w:r>
      <w:r w:rsidR="009021BE">
        <w:t xml:space="preserve"> </w:t>
      </w:r>
    </w:p>
    <w:p w:rsidR="0075132B" w:rsidRPr="0075132B" w:rsidRDefault="0075132B" w:rsidP="0075132B"/>
    <w:p w:rsidR="00507DCB" w:rsidRDefault="00507DCB" w:rsidP="00531306">
      <w:pPr>
        <w:pStyle w:val="Title"/>
        <w:jc w:val="left"/>
        <w:rPr>
          <w:rStyle w:val="Emphasis"/>
          <w:i w:val="0"/>
          <w:sz w:val="24"/>
          <w:szCs w:val="24"/>
          <w:u w:val="single"/>
        </w:rPr>
      </w:pPr>
      <w:r>
        <w:rPr>
          <w:rStyle w:val="Emphasis"/>
          <w:i w:val="0"/>
          <w:sz w:val="24"/>
          <w:szCs w:val="24"/>
          <w:u w:val="single"/>
        </w:rPr>
        <w:t>Background</w:t>
      </w:r>
    </w:p>
    <w:p w:rsidR="00507DCB" w:rsidRPr="00507DCB" w:rsidRDefault="0012572F" w:rsidP="00507DCB">
      <w:r>
        <w:t>On September 2, 2016</w:t>
      </w:r>
      <w:r w:rsidR="00507DCB">
        <w:t>, the Supreme Court approved a rule change authorizing a change of judge without cause in eviction matters for a one</w:t>
      </w:r>
      <w:r w:rsidR="00F4319B">
        <w:t>-</w:t>
      </w:r>
      <w:r w:rsidR="00507DCB">
        <w:t>year experiment beginning January 2017.  The</w:t>
      </w:r>
      <w:r>
        <w:t xml:space="preserve"> Court further ordered that the amendment be reopened for comment with comments due July 14, 2017</w:t>
      </w:r>
      <w:r w:rsidR="00F4319B">
        <w:t>,</w:t>
      </w:r>
      <w:r>
        <w:t xml:space="preserve"> on the issue of whether or not the experiment should be extended or made permanent.  To assist in their decision making, the </w:t>
      </w:r>
      <w:r w:rsidR="00507DCB">
        <w:t>A</w:t>
      </w:r>
      <w:r w:rsidR="00E27194">
        <w:t xml:space="preserve">dministrative </w:t>
      </w:r>
      <w:r w:rsidR="00507DCB">
        <w:t>O</w:t>
      </w:r>
      <w:r w:rsidR="00E27194">
        <w:t xml:space="preserve">ffice of the </w:t>
      </w:r>
      <w:r w:rsidR="00507DCB">
        <w:t>C</w:t>
      </w:r>
      <w:r w:rsidR="00E27194">
        <w:t>ourts (AOC)</w:t>
      </w:r>
      <w:r w:rsidR="00507DCB">
        <w:t xml:space="preserve"> collect</w:t>
      </w:r>
      <w:r>
        <w:t>ed</w:t>
      </w:r>
      <w:r w:rsidR="00507DCB">
        <w:t xml:space="preserve"> data</w:t>
      </w:r>
      <w:r>
        <w:t xml:space="preserve"> and information on the impact of the rule change</w:t>
      </w:r>
      <w:r w:rsidR="00507DCB">
        <w:t xml:space="preserve"> and submit</w:t>
      </w:r>
      <w:r>
        <w:t>s the following</w:t>
      </w:r>
      <w:r w:rsidR="00507DCB">
        <w:t xml:space="preserve"> report to the Court for consideration at its August rules agenda. </w:t>
      </w:r>
    </w:p>
    <w:p w:rsidR="00531306" w:rsidRPr="0075132B" w:rsidRDefault="00507DCB" w:rsidP="00531306">
      <w:pPr>
        <w:pStyle w:val="Title"/>
        <w:jc w:val="left"/>
        <w:rPr>
          <w:rStyle w:val="Emphasis"/>
          <w:i w:val="0"/>
          <w:sz w:val="24"/>
          <w:szCs w:val="24"/>
          <w:u w:val="single"/>
        </w:rPr>
      </w:pPr>
      <w:r>
        <w:rPr>
          <w:rStyle w:val="Emphasis"/>
          <w:i w:val="0"/>
          <w:sz w:val="24"/>
          <w:szCs w:val="24"/>
          <w:u w:val="single"/>
        </w:rPr>
        <w:t xml:space="preserve">Court </w:t>
      </w:r>
      <w:r w:rsidR="009021BE" w:rsidRPr="0075132B">
        <w:rPr>
          <w:rStyle w:val="Emphasis"/>
          <w:i w:val="0"/>
          <w:sz w:val="24"/>
          <w:szCs w:val="24"/>
          <w:u w:val="single"/>
        </w:rPr>
        <w:t>Survey</w:t>
      </w:r>
    </w:p>
    <w:p w:rsidR="000A393E" w:rsidRDefault="000A393E" w:rsidP="000A393E">
      <w:r w:rsidRPr="0075132B">
        <w:lastRenderedPageBreak/>
        <w:t xml:space="preserve">The </w:t>
      </w:r>
      <w:r w:rsidR="00E27194">
        <w:t xml:space="preserve">AOC </w:t>
      </w:r>
      <w:r w:rsidR="009021BE" w:rsidRPr="0075132B">
        <w:t>developed a</w:t>
      </w:r>
      <w:r w:rsidRPr="0075132B">
        <w:t>n</w:t>
      </w:r>
      <w:r w:rsidR="009021BE" w:rsidRPr="0075132B">
        <w:t xml:space="preserve"> instrument </w:t>
      </w:r>
      <w:r w:rsidRPr="0075132B">
        <w:t xml:space="preserve">to survey the </w:t>
      </w:r>
      <w:r w:rsidR="009021BE" w:rsidRPr="0075132B">
        <w:t>Justice of the Peace Court</w:t>
      </w:r>
      <w:r w:rsidR="00A73A3F" w:rsidRPr="0075132B">
        <w:t>s</w:t>
      </w:r>
      <w:r w:rsidRPr="0075132B">
        <w:t xml:space="preserve"> regarding chang</w:t>
      </w:r>
      <w:r w:rsidR="0075132B">
        <w:t>e of judge request in eviction a</w:t>
      </w:r>
      <w:r w:rsidRPr="0075132B">
        <w:t>ction cases.</w:t>
      </w:r>
      <w:r w:rsidR="00A73A3F" w:rsidRPr="0075132B">
        <w:t xml:space="preserve"> </w:t>
      </w:r>
      <w:r w:rsidR="009021BE" w:rsidRPr="0075132B">
        <w:t xml:space="preserve">The survey was sent </w:t>
      </w:r>
      <w:r w:rsidR="00E27194">
        <w:t>t</w:t>
      </w:r>
      <w:r w:rsidR="009021BE" w:rsidRPr="0075132B">
        <w:t>o court administrators in each Justice of the Peace Court</w:t>
      </w:r>
      <w:r w:rsidR="0075132B">
        <w:t>s</w:t>
      </w:r>
      <w:r w:rsidR="009021BE" w:rsidRPr="0075132B">
        <w:t xml:space="preserve">.  Each court was </w:t>
      </w:r>
      <w:r w:rsidR="00E27194">
        <w:t xml:space="preserve">asked </w:t>
      </w:r>
      <w:r w:rsidR="009021BE" w:rsidRPr="0075132B">
        <w:t>to submit results each month, starting in January of 2017.</w:t>
      </w:r>
      <w:r w:rsidRPr="0075132B">
        <w:t xml:space="preserve">  </w:t>
      </w:r>
      <w:r w:rsidR="0075132B" w:rsidRPr="0075132B">
        <w:t xml:space="preserve">The </w:t>
      </w:r>
      <w:r w:rsidR="0075132B">
        <w:t xml:space="preserve">survey </w:t>
      </w:r>
      <w:r w:rsidR="0075132B" w:rsidRPr="0075132B">
        <w:t xml:space="preserve">results are from January to June of 2017.  </w:t>
      </w:r>
      <w:r w:rsidR="00E27194">
        <w:t xml:space="preserve">Justice Courts were asked to report: </w:t>
      </w:r>
      <w:r w:rsidRPr="0075132B">
        <w:t xml:space="preserve">  </w:t>
      </w:r>
    </w:p>
    <w:p w:rsidR="0075132B" w:rsidRPr="0075132B" w:rsidRDefault="0075132B" w:rsidP="000A393E"/>
    <w:p w:rsidR="009021BE" w:rsidRPr="0075132B" w:rsidRDefault="00E27194" w:rsidP="009021BE">
      <w:pPr>
        <w:pStyle w:val="ListParagraph"/>
        <w:numPr>
          <w:ilvl w:val="0"/>
          <w:numId w:val="1"/>
        </w:numPr>
      </w:pPr>
      <w:r>
        <w:t>The n</w:t>
      </w:r>
      <w:r w:rsidR="009021BE" w:rsidRPr="0075132B">
        <w:t>umber of change of judge request</w:t>
      </w:r>
      <w:r w:rsidR="00A73A3F" w:rsidRPr="0075132B">
        <w:t>s for eviction action cases</w:t>
      </w:r>
      <w:r w:rsidR="009021BE" w:rsidRPr="0075132B">
        <w:t xml:space="preserve"> and number of continuances result</w:t>
      </w:r>
      <w:r w:rsidR="00A73A3F" w:rsidRPr="0075132B">
        <w:t>ing</w:t>
      </w:r>
      <w:r w:rsidR="009021BE" w:rsidRPr="0075132B">
        <w:t xml:space="preserve"> from this action.</w:t>
      </w:r>
    </w:p>
    <w:p w:rsidR="009021BE" w:rsidRPr="0075132B" w:rsidRDefault="00E27194" w:rsidP="009021BE">
      <w:pPr>
        <w:pStyle w:val="ListParagraph"/>
        <w:numPr>
          <w:ilvl w:val="0"/>
          <w:numId w:val="1"/>
        </w:numPr>
      </w:pPr>
      <w:r>
        <w:t>A</w:t>
      </w:r>
      <w:r w:rsidR="009122CC" w:rsidRPr="0075132B">
        <w:t>dditional cost</w:t>
      </w:r>
      <w:r w:rsidR="00A73A3F" w:rsidRPr="0075132B">
        <w:t>s</w:t>
      </w:r>
      <w:r>
        <w:t>, if any,</w:t>
      </w:r>
      <w:r w:rsidR="009122CC" w:rsidRPr="0075132B">
        <w:t xml:space="preserve"> to court resulting from the change of judge request.</w:t>
      </w:r>
    </w:p>
    <w:p w:rsidR="009122CC" w:rsidRPr="0075132B" w:rsidRDefault="00E27194" w:rsidP="009021BE">
      <w:pPr>
        <w:pStyle w:val="ListParagraph"/>
        <w:numPr>
          <w:ilvl w:val="0"/>
          <w:numId w:val="1"/>
        </w:numPr>
      </w:pPr>
      <w:r>
        <w:t>A</w:t>
      </w:r>
      <w:r w:rsidR="009122CC" w:rsidRPr="0075132B">
        <w:t>ny other impact to the court resulting from the change of judge request.</w:t>
      </w:r>
    </w:p>
    <w:p w:rsidR="00B91EE0" w:rsidRPr="0075132B" w:rsidRDefault="00B91EE0" w:rsidP="00B91EE0"/>
    <w:p w:rsidR="00B91EE0" w:rsidRPr="0075132B" w:rsidRDefault="0075132B" w:rsidP="00B91EE0">
      <w:r w:rsidRPr="0075132B">
        <w:t xml:space="preserve">For more information on the data collection instrument please </w:t>
      </w:r>
      <w:r>
        <w:t xml:space="preserve">see </w:t>
      </w:r>
      <w:r w:rsidRPr="0075132B">
        <w:t>attached survey.</w:t>
      </w:r>
    </w:p>
    <w:p w:rsidR="009122CC" w:rsidRPr="0075132B" w:rsidRDefault="009122CC" w:rsidP="009122CC">
      <w:pPr>
        <w:pStyle w:val="Title"/>
        <w:jc w:val="left"/>
        <w:rPr>
          <w:rStyle w:val="Emphasis"/>
          <w:i w:val="0"/>
          <w:sz w:val="24"/>
          <w:szCs w:val="24"/>
          <w:u w:val="single"/>
        </w:rPr>
      </w:pPr>
      <w:r w:rsidRPr="0075132B">
        <w:rPr>
          <w:rStyle w:val="Emphasis"/>
          <w:i w:val="0"/>
          <w:sz w:val="24"/>
          <w:szCs w:val="24"/>
          <w:u w:val="single"/>
        </w:rPr>
        <w:t>Survey Results</w:t>
      </w:r>
    </w:p>
    <w:p w:rsidR="009122CC" w:rsidRPr="0075132B" w:rsidRDefault="0075132B" w:rsidP="009021BE">
      <w:r>
        <w:t>A total of 88 j</w:t>
      </w:r>
      <w:r w:rsidR="009122CC" w:rsidRPr="0075132B">
        <w:t xml:space="preserve">ustice </w:t>
      </w:r>
      <w:r>
        <w:t>c</w:t>
      </w:r>
      <w:r w:rsidR="009122CC" w:rsidRPr="0075132B">
        <w:t xml:space="preserve">ourt precincts reported over </w:t>
      </w:r>
      <w:r w:rsidR="0058789D" w:rsidRPr="0075132B">
        <w:t xml:space="preserve">the </w:t>
      </w:r>
      <w:r w:rsidR="009122CC" w:rsidRPr="0075132B">
        <w:t xml:space="preserve">six month period.  </w:t>
      </w:r>
      <w:r w:rsidR="00CF7FDE" w:rsidRPr="0075132B">
        <w:t>Eleven of the fifteen counties report</w:t>
      </w:r>
      <w:r w:rsidR="00A73A3F" w:rsidRPr="0075132B">
        <w:t>ed</w:t>
      </w:r>
      <w:r w:rsidR="00CF7FDE" w:rsidRPr="0075132B">
        <w:t xml:space="preserve"> no change of judge </w:t>
      </w:r>
      <w:r w:rsidR="00026670" w:rsidRPr="0075132B">
        <w:t>request i</w:t>
      </w:r>
      <w:r w:rsidR="00CF7FDE" w:rsidRPr="0075132B">
        <w:t xml:space="preserve">n eviction action </w:t>
      </w:r>
      <w:r w:rsidR="00026670" w:rsidRPr="0075132B">
        <w:t xml:space="preserve">civil </w:t>
      </w:r>
      <w:r w:rsidR="00CF7FDE" w:rsidRPr="0075132B">
        <w:t xml:space="preserve">cases during the </w:t>
      </w:r>
      <w:r w:rsidR="00A73A3F" w:rsidRPr="0075132B">
        <w:t xml:space="preserve">entire </w:t>
      </w:r>
      <w:r w:rsidR="00CF7FDE" w:rsidRPr="0075132B">
        <w:t xml:space="preserve">reporting period.  </w:t>
      </w:r>
      <w:r w:rsidR="009122CC" w:rsidRPr="0075132B">
        <w:t xml:space="preserve">Five </w:t>
      </w:r>
      <w:r w:rsidR="00CF7FDE" w:rsidRPr="0075132B">
        <w:t xml:space="preserve">courts reported </w:t>
      </w:r>
      <w:r>
        <w:t>11</w:t>
      </w:r>
      <w:r w:rsidR="00CF7FDE" w:rsidRPr="0075132B">
        <w:t xml:space="preserve"> re</w:t>
      </w:r>
      <w:r w:rsidR="00CF7FDE" w:rsidRPr="0075132B">
        <w:lastRenderedPageBreak/>
        <w:t>quest</w:t>
      </w:r>
      <w:r w:rsidR="00A73A3F" w:rsidRPr="0075132B">
        <w:t>s</w:t>
      </w:r>
      <w:r w:rsidR="00CF7FDE" w:rsidRPr="0075132B">
        <w:t xml:space="preserve"> for change of </w:t>
      </w:r>
      <w:r>
        <w:t>judge</w:t>
      </w:r>
      <w:r w:rsidR="00CF7FDE" w:rsidRPr="0075132B">
        <w:t>.</w:t>
      </w:r>
      <w:r w:rsidR="00CD62D3" w:rsidRPr="0075132B">
        <w:t xml:space="preserve">   Maricopa and Pima counties reported that three precincts had eight change of judge</w:t>
      </w:r>
      <w:r w:rsidR="00A73A3F" w:rsidRPr="0075132B">
        <w:t xml:space="preserve"> requests</w:t>
      </w:r>
      <w:r w:rsidR="00CD62D3" w:rsidRPr="0075132B">
        <w:t>.  The re</w:t>
      </w:r>
      <w:r w:rsidR="00A73A3F" w:rsidRPr="0075132B">
        <w:t>maining</w:t>
      </w:r>
      <w:r w:rsidR="00CD62D3" w:rsidRPr="0075132B">
        <w:t xml:space="preserve"> th</w:t>
      </w:r>
      <w:r w:rsidR="00A73A3F" w:rsidRPr="0075132B">
        <w:t>ree request</w:t>
      </w:r>
      <w:r>
        <w:t>s</w:t>
      </w:r>
      <w:r w:rsidR="00A73A3F" w:rsidRPr="0075132B">
        <w:t xml:space="preserve"> for change of judge occurred</w:t>
      </w:r>
      <w:r w:rsidR="00CD62D3" w:rsidRPr="0075132B">
        <w:t xml:space="preserve"> in Greenlee and Mohave counties.  </w:t>
      </w:r>
    </w:p>
    <w:p w:rsidR="00CD62D3" w:rsidRPr="0075132B" w:rsidRDefault="00CD62D3" w:rsidP="009021BE"/>
    <w:p w:rsidR="00CD62D3" w:rsidRPr="0075132B" w:rsidRDefault="00CD62D3" w:rsidP="009021BE">
      <w:r w:rsidRPr="0075132B">
        <w:t>Only one continuance was reported in Pima county resulting from an eviction action change of judge request.</w:t>
      </w:r>
    </w:p>
    <w:p w:rsidR="00CD62D3" w:rsidRPr="0075132B" w:rsidRDefault="00CD62D3" w:rsidP="009021BE"/>
    <w:p w:rsidR="00CD62D3" w:rsidRDefault="00CD62D3" w:rsidP="009021BE">
      <w:r w:rsidRPr="0075132B">
        <w:t xml:space="preserve">Mohave </w:t>
      </w:r>
      <w:r w:rsidR="00B91EE0" w:rsidRPr="0075132B">
        <w:t>C</w:t>
      </w:r>
      <w:r w:rsidRPr="0075132B">
        <w:t>ounty reported that one court had an additional cost of $98 resulting from an eviction action change of judge request.</w:t>
      </w:r>
    </w:p>
    <w:p w:rsidR="00E27194" w:rsidRDefault="00E27194" w:rsidP="009021BE"/>
    <w:p w:rsidR="00E27194" w:rsidRPr="00E27194" w:rsidRDefault="00E27194" w:rsidP="009021BE">
      <w:pPr>
        <w:rPr>
          <w:u w:val="single"/>
        </w:rPr>
      </w:pPr>
      <w:r w:rsidRPr="00E27194">
        <w:rPr>
          <w:u w:val="single"/>
        </w:rPr>
        <w:t>Conclusion</w:t>
      </w:r>
    </w:p>
    <w:p w:rsidR="001A777B" w:rsidRDefault="00E27194" w:rsidP="00DF7840">
      <w:r>
        <w:t>After six months of experience, the data show</w:t>
      </w:r>
      <w:r w:rsidR="0012572F">
        <w:t>s</w:t>
      </w:r>
      <w:r>
        <w:t xml:space="preserve"> little impact on justice court case processing or new costs to the local budget.</w:t>
      </w:r>
    </w:p>
    <w:p w:rsidR="00F4319B" w:rsidRDefault="00F4319B" w:rsidP="007810F7"/>
    <w:p w:rsidR="00F4319B" w:rsidRPr="00F4319B" w:rsidRDefault="00F4319B" w:rsidP="00F4319B"/>
    <w:p w:rsidR="00F4319B" w:rsidRPr="00F4319B" w:rsidRDefault="00F4319B" w:rsidP="00F4319B"/>
    <w:p w:rsidR="00F4319B" w:rsidRDefault="00F4319B" w:rsidP="00F4319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3"/>
        <w:gridCol w:w="3682"/>
        <w:gridCol w:w="5385"/>
      </w:tblGrid>
      <w:tr w:rsidR="00F4319B" w:rsidTr="00F4319B">
        <w:tc>
          <w:tcPr>
            <w:tcW w:w="10790" w:type="dxa"/>
            <w:gridSpan w:val="3"/>
          </w:tcPr>
          <w:p w:rsidR="00F4319B" w:rsidRPr="00F4319B" w:rsidRDefault="00F4319B" w:rsidP="00F4319B">
            <w:pPr>
              <w:jc w:val="center"/>
              <w:rPr>
                <w:b/>
              </w:rPr>
            </w:pPr>
            <w:r w:rsidRPr="00F4319B">
              <w:rPr>
                <w:b/>
                <w:sz w:val="36"/>
              </w:rPr>
              <w:t>Eviction Action Change of Judge Survey CY17</w:t>
            </w:r>
          </w:p>
        </w:tc>
      </w:tr>
      <w:tr w:rsidR="00F4319B" w:rsidTr="00D475C1">
        <w:tc>
          <w:tcPr>
            <w:tcW w:w="10790" w:type="dxa"/>
            <w:gridSpan w:val="3"/>
            <w:tcBorders>
              <w:bottom w:val="single" w:sz="12" w:space="0" w:color="auto"/>
            </w:tcBorders>
          </w:tcPr>
          <w:p w:rsidR="00F4319B" w:rsidRPr="00F4319B" w:rsidRDefault="00F4319B" w:rsidP="00F4319B">
            <w:pPr>
              <w:jc w:val="center"/>
              <w:rPr>
                <w:i/>
                <w:sz w:val="32"/>
              </w:rPr>
            </w:pPr>
            <w:r w:rsidRPr="00F4319B">
              <w:rPr>
                <w:i/>
                <w:sz w:val="32"/>
              </w:rPr>
              <w:t>Reporting Status as of 06/28/2017</w:t>
            </w:r>
          </w:p>
          <w:p w:rsidR="00F4319B" w:rsidRDefault="00F4319B" w:rsidP="00F4319B">
            <w:pPr>
              <w:jc w:val="center"/>
            </w:pPr>
            <w:r w:rsidRPr="00F4319B">
              <w:rPr>
                <w:i/>
                <w:sz w:val="32"/>
              </w:rPr>
              <w:t>All 88 Precincts Reported</w:t>
            </w:r>
          </w:p>
        </w:tc>
      </w:tr>
      <w:tr w:rsidR="00F4319B" w:rsidTr="00D475C1">
        <w:tc>
          <w:tcPr>
            <w:tcW w:w="1705" w:type="dxa"/>
            <w:tcBorders>
              <w:bottom w:val="single" w:sz="12" w:space="0" w:color="auto"/>
            </w:tcBorders>
          </w:tcPr>
          <w:p w:rsidR="00F4319B" w:rsidRDefault="00F4319B" w:rsidP="00F4319B">
            <w:pPr>
              <w:jc w:val="center"/>
            </w:pPr>
            <w:r w:rsidRPr="00F4319B">
              <w:rPr>
                <w:b/>
                <w:i/>
                <w:sz w:val="28"/>
              </w:rPr>
              <w:t>County</w:t>
            </w:r>
          </w:p>
        </w:tc>
        <w:tc>
          <w:tcPr>
            <w:tcW w:w="3690" w:type="dxa"/>
            <w:tcBorders>
              <w:bottom w:val="single" w:sz="12" w:space="0" w:color="auto"/>
            </w:tcBorders>
          </w:tcPr>
          <w:p w:rsidR="00F4319B" w:rsidRPr="00F4319B" w:rsidRDefault="00F4319B" w:rsidP="00F4319B">
            <w:pPr>
              <w:jc w:val="center"/>
              <w:rPr>
                <w:b/>
                <w:i/>
                <w:sz w:val="28"/>
              </w:rPr>
            </w:pPr>
            <w:r w:rsidRPr="00F4319B">
              <w:rPr>
                <w:b/>
                <w:i/>
                <w:sz w:val="28"/>
              </w:rPr>
              <w:t>Eviction Action Filings</w:t>
            </w:r>
          </w:p>
          <w:p w:rsidR="00F4319B" w:rsidRDefault="00F4319B" w:rsidP="00F4319B">
            <w:pPr>
              <w:jc w:val="center"/>
            </w:pPr>
            <w:r w:rsidRPr="00F4319B">
              <w:rPr>
                <w:b/>
                <w:i/>
                <w:sz w:val="28"/>
              </w:rPr>
              <w:t>FY2016</w:t>
            </w:r>
          </w:p>
        </w:tc>
        <w:tc>
          <w:tcPr>
            <w:tcW w:w="5395" w:type="dxa"/>
            <w:tcBorders>
              <w:bottom w:val="single" w:sz="12" w:space="0" w:color="auto"/>
            </w:tcBorders>
          </w:tcPr>
          <w:p w:rsidR="00F4319B" w:rsidRDefault="00F4319B" w:rsidP="00F4319B">
            <w:pPr>
              <w:jc w:val="center"/>
            </w:pPr>
            <w:r w:rsidRPr="00F4319B">
              <w:rPr>
                <w:b/>
                <w:i/>
                <w:sz w:val="28"/>
              </w:rPr>
              <w:t>Number of Requests for Eviction Action Change of Judge</w:t>
            </w:r>
          </w:p>
        </w:tc>
      </w:tr>
      <w:tr w:rsidR="00F4319B" w:rsidTr="00D475C1">
        <w:tc>
          <w:tcPr>
            <w:tcW w:w="1705" w:type="dxa"/>
            <w:tcBorders>
              <w:top w:val="single" w:sz="12" w:space="0" w:color="auto"/>
              <w:right w:val="single" w:sz="12" w:space="0" w:color="auto"/>
            </w:tcBorders>
          </w:tcPr>
          <w:p w:rsidR="00F4319B" w:rsidRDefault="00F4319B" w:rsidP="00F4319B">
            <w:r>
              <w:t>Apache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17</w:t>
            </w:r>
          </w:p>
        </w:tc>
        <w:tc>
          <w:tcPr>
            <w:tcW w:w="5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Cochise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410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Coconino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426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Gila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198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Graham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79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Greenlee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7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1 court – 1 requested/granted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La Paz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73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Maricopa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61,493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2 courts – 7 requested/granted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Mohave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957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1 court – 2 requested/granted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Navajo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192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Pima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11,813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1 court – 1 requested/granted</w:t>
            </w:r>
          </w:p>
        </w:tc>
      </w:tr>
      <w:tr w:rsidR="00F4319B" w:rsidTr="00D475C1">
        <w:tc>
          <w:tcPr>
            <w:tcW w:w="1705" w:type="dxa"/>
            <w:tcBorders>
              <w:bottom w:val="single" w:sz="12" w:space="0" w:color="auto"/>
              <w:right w:val="single" w:sz="12" w:space="0" w:color="auto"/>
            </w:tcBorders>
          </w:tcPr>
          <w:p w:rsidR="00F4319B" w:rsidRDefault="00F4319B" w:rsidP="00F4319B">
            <w:r>
              <w:t>Pinal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2,166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Santa Cruz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312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right w:val="single" w:sz="12" w:space="0" w:color="auto"/>
            </w:tcBorders>
          </w:tcPr>
          <w:p w:rsidR="00F4319B" w:rsidRDefault="00F4319B" w:rsidP="00F4319B">
            <w:r>
              <w:t>Yavapai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578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bottom w:val="dashed" w:sz="4" w:space="0" w:color="auto"/>
              <w:right w:val="single" w:sz="12" w:space="0" w:color="auto"/>
            </w:tcBorders>
          </w:tcPr>
          <w:p w:rsidR="00F4319B" w:rsidRDefault="00F4319B" w:rsidP="00F4319B">
            <w:r>
              <w:t>Yuma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:rsidR="00F4319B" w:rsidRDefault="00F4319B" w:rsidP="00D475C1">
            <w:pPr>
              <w:jc w:val="right"/>
            </w:pPr>
            <w:r>
              <w:t>680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4319B" w:rsidRDefault="00F4319B" w:rsidP="00D475C1">
            <w:pPr>
              <w:jc w:val="right"/>
            </w:pPr>
            <w:r>
              <w:t>0</w:t>
            </w:r>
          </w:p>
        </w:tc>
      </w:tr>
      <w:tr w:rsidR="00F4319B" w:rsidTr="00D475C1">
        <w:tc>
          <w:tcPr>
            <w:tcW w:w="1705" w:type="dxa"/>
            <w:tcBorders>
              <w:top w:val="dashed" w:sz="4" w:space="0" w:color="auto"/>
            </w:tcBorders>
          </w:tcPr>
          <w:p w:rsidR="00F4319B" w:rsidRPr="00F4319B" w:rsidRDefault="00F4319B" w:rsidP="00F4319B">
            <w:pPr>
              <w:rPr>
                <w:b/>
                <w:i/>
              </w:rPr>
            </w:pPr>
            <w:r w:rsidRPr="00F4319B">
              <w:rPr>
                <w:b/>
                <w:i/>
              </w:rPr>
              <w:t>Total</w:t>
            </w:r>
          </w:p>
        </w:tc>
        <w:tc>
          <w:tcPr>
            <w:tcW w:w="3690" w:type="dxa"/>
            <w:tcBorders>
              <w:top w:val="dashed" w:sz="4" w:space="0" w:color="auto"/>
              <w:right w:val="single" w:sz="4" w:space="0" w:color="auto"/>
            </w:tcBorders>
          </w:tcPr>
          <w:p w:rsidR="00F4319B" w:rsidRPr="00F4319B" w:rsidRDefault="00F4319B" w:rsidP="00D475C1">
            <w:pPr>
              <w:jc w:val="right"/>
              <w:rPr>
                <w:b/>
                <w:i/>
              </w:rPr>
            </w:pPr>
            <w:r w:rsidRPr="00F4319B">
              <w:rPr>
                <w:b/>
                <w:i/>
              </w:rPr>
              <w:t>79,401</w:t>
            </w:r>
          </w:p>
        </w:tc>
        <w:tc>
          <w:tcPr>
            <w:tcW w:w="5395" w:type="dxa"/>
            <w:tcBorders>
              <w:top w:val="dashed" w:sz="4" w:space="0" w:color="auto"/>
              <w:left w:val="single" w:sz="4" w:space="0" w:color="auto"/>
            </w:tcBorders>
          </w:tcPr>
          <w:p w:rsidR="00F4319B" w:rsidRPr="00F4319B" w:rsidRDefault="00F4319B" w:rsidP="00D475C1">
            <w:pPr>
              <w:jc w:val="right"/>
              <w:rPr>
                <w:b/>
                <w:i/>
              </w:rPr>
            </w:pPr>
            <w:r w:rsidRPr="00F4319B">
              <w:rPr>
                <w:b/>
                <w:i/>
              </w:rPr>
              <w:t>11</w:t>
            </w:r>
          </w:p>
        </w:tc>
      </w:tr>
    </w:tbl>
    <w:p w:rsidR="007810F7" w:rsidRPr="00F4319B" w:rsidRDefault="007810F7" w:rsidP="00F4319B">
      <w:pPr>
        <w:ind w:firstLine="720"/>
      </w:pPr>
      <w:bookmarkStart w:id="0" w:name="_GoBack"/>
      <w:bookmarkEnd w:id="0"/>
    </w:p>
    <w:sectPr w:rsidR="007810F7" w:rsidRPr="00F4319B" w:rsidSect="00103B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1C76"/>
    <w:multiLevelType w:val="hybridMultilevel"/>
    <w:tmpl w:val="B108F2E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C7"/>
    <w:rsid w:val="00026670"/>
    <w:rsid w:val="00051D6B"/>
    <w:rsid w:val="00064E56"/>
    <w:rsid w:val="000A393E"/>
    <w:rsid w:val="000E349F"/>
    <w:rsid w:val="00103B17"/>
    <w:rsid w:val="00104A7D"/>
    <w:rsid w:val="0012572F"/>
    <w:rsid w:val="001A777B"/>
    <w:rsid w:val="001E1BFF"/>
    <w:rsid w:val="0026483D"/>
    <w:rsid w:val="0027621B"/>
    <w:rsid w:val="002B1002"/>
    <w:rsid w:val="002B3FB7"/>
    <w:rsid w:val="002B7844"/>
    <w:rsid w:val="002D485E"/>
    <w:rsid w:val="002E34D1"/>
    <w:rsid w:val="00304F15"/>
    <w:rsid w:val="00391CA3"/>
    <w:rsid w:val="00481784"/>
    <w:rsid w:val="00507DCB"/>
    <w:rsid w:val="00531306"/>
    <w:rsid w:val="0058789D"/>
    <w:rsid w:val="006257AF"/>
    <w:rsid w:val="006C1A22"/>
    <w:rsid w:val="007276CD"/>
    <w:rsid w:val="0075132B"/>
    <w:rsid w:val="007810F7"/>
    <w:rsid w:val="009021BE"/>
    <w:rsid w:val="009122CC"/>
    <w:rsid w:val="00A73A3F"/>
    <w:rsid w:val="00B303AE"/>
    <w:rsid w:val="00B91EE0"/>
    <w:rsid w:val="00C05BAA"/>
    <w:rsid w:val="00C156C7"/>
    <w:rsid w:val="00CD62D3"/>
    <w:rsid w:val="00CF7FDE"/>
    <w:rsid w:val="00D475C1"/>
    <w:rsid w:val="00DF7840"/>
    <w:rsid w:val="00E27194"/>
    <w:rsid w:val="00F4319B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DEE4D-87B7-41EF-8958-5A6F91A9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F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F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F1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F1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F1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F1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F1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F1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F1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F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4F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F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F1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F1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F1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F1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F1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F15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04F1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4F1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F1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F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F1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F15"/>
    <w:rPr>
      <w:b/>
      <w:bCs/>
    </w:rPr>
  </w:style>
  <w:style w:type="character" w:styleId="Emphasis">
    <w:name w:val="Emphasis"/>
    <w:basedOn w:val="DefaultParagraphFont"/>
    <w:uiPriority w:val="20"/>
    <w:qFormat/>
    <w:rsid w:val="00304F1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F1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04F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F1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F15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F15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304F1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F1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F1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F1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F1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F15"/>
    <w:pPr>
      <w:outlineLvl w:val="9"/>
    </w:pPr>
  </w:style>
  <w:style w:type="paragraph" w:styleId="ListParagraph">
    <w:name w:val="List Paragraph"/>
    <w:basedOn w:val="Normal"/>
    <w:uiPriority w:val="34"/>
    <w:qFormat/>
    <w:rsid w:val="00304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Jessica</dc:creator>
  <cp:keywords/>
  <dc:description/>
  <cp:lastModifiedBy>Sekardi, Kathy</cp:lastModifiedBy>
  <cp:revision>2</cp:revision>
  <dcterms:created xsi:type="dcterms:W3CDTF">2017-07-11T15:36:00Z</dcterms:created>
  <dcterms:modified xsi:type="dcterms:W3CDTF">2017-07-11T15:36:00Z</dcterms:modified>
</cp:coreProperties>
</file>