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1CC" w:rsidRDefault="00DD11CC" w:rsidP="00A528FE">
      <w:pPr>
        <w:jc w:val="center"/>
        <w:rPr>
          <w:rFonts w:ascii="Times New Roman" w:hAnsi="Times New Roman"/>
          <w:b/>
          <w:sz w:val="96"/>
        </w:rPr>
      </w:pPr>
    </w:p>
    <w:p w:rsidR="00DD11CC" w:rsidRDefault="00DD11CC" w:rsidP="00A528FE">
      <w:pPr>
        <w:jc w:val="center"/>
        <w:rPr>
          <w:rFonts w:ascii="Times New Roman" w:hAnsi="Times New Roman"/>
          <w:b/>
          <w:sz w:val="96"/>
        </w:rPr>
      </w:pPr>
    </w:p>
    <w:p w:rsidR="00DD11CC" w:rsidRDefault="00DD11CC" w:rsidP="00A528FE">
      <w:pPr>
        <w:jc w:val="center"/>
        <w:rPr>
          <w:rFonts w:ascii="Times New Roman" w:hAnsi="Times New Roman"/>
          <w:b/>
          <w:sz w:val="96"/>
        </w:rPr>
      </w:pPr>
    </w:p>
    <w:p w:rsidR="00A528FE" w:rsidRPr="00DD11CC" w:rsidRDefault="00A528FE" w:rsidP="00A528FE">
      <w:pPr>
        <w:jc w:val="center"/>
        <w:rPr>
          <w:rFonts w:ascii="Times New Roman" w:hAnsi="Times New Roman"/>
          <w:b/>
          <w:sz w:val="96"/>
        </w:rPr>
      </w:pPr>
      <w:r w:rsidRPr="00DD11CC">
        <w:rPr>
          <w:rFonts w:ascii="Times New Roman" w:hAnsi="Times New Roman"/>
          <w:b/>
          <w:sz w:val="96"/>
        </w:rPr>
        <w:t>Reply</w:t>
      </w:r>
    </w:p>
    <w:p w:rsidR="00A528FE" w:rsidRPr="00DD11CC" w:rsidRDefault="00A528FE" w:rsidP="00A528FE">
      <w:pPr>
        <w:jc w:val="center"/>
        <w:rPr>
          <w:rFonts w:ascii="Times New Roman" w:hAnsi="Times New Roman"/>
          <w:b/>
          <w:sz w:val="96"/>
        </w:rPr>
      </w:pPr>
    </w:p>
    <w:p w:rsidR="00A528FE" w:rsidRPr="00DD11CC" w:rsidRDefault="00A528FE" w:rsidP="00A528FE">
      <w:pPr>
        <w:jc w:val="center"/>
        <w:rPr>
          <w:rFonts w:ascii="Times New Roman" w:hAnsi="Times New Roman"/>
          <w:b/>
          <w:sz w:val="96"/>
        </w:rPr>
      </w:pPr>
      <w:r w:rsidRPr="00DD11CC">
        <w:rPr>
          <w:rFonts w:ascii="Times New Roman" w:hAnsi="Times New Roman"/>
          <w:b/>
          <w:sz w:val="96"/>
        </w:rPr>
        <w:t>APPENDIX C</w:t>
      </w:r>
    </w:p>
    <w:p w:rsidR="00A528FE" w:rsidRPr="00352CB5" w:rsidRDefault="00A528FE" w:rsidP="00352CB5">
      <w:pPr>
        <w:jc w:val="center"/>
        <w:rPr>
          <w:rFonts w:ascii="Times New Roman" w:hAnsi="Times New Roman"/>
          <w:b/>
          <w:sz w:val="32"/>
        </w:rPr>
      </w:pPr>
      <w:r w:rsidRPr="00352CB5">
        <w:rPr>
          <w:rFonts w:ascii="Times New Roman" w:hAnsi="Times New Roman"/>
          <w:b/>
          <w:sz w:val="32"/>
        </w:rPr>
        <w:br w:type="page"/>
      </w:r>
      <w:r w:rsidR="002318DE">
        <w:rPr>
          <w:rFonts w:ascii="Times New Roman" w:hAnsi="Times New Roman"/>
          <w:b/>
          <w:sz w:val="32"/>
        </w:rPr>
        <w:lastRenderedPageBreak/>
        <w:t>Rule</w:t>
      </w:r>
      <w:r w:rsidR="001D4417">
        <w:rPr>
          <w:rFonts w:ascii="Times New Roman" w:hAnsi="Times New Roman"/>
          <w:b/>
          <w:sz w:val="32"/>
        </w:rPr>
        <w:t xml:space="preserve"> R</w:t>
      </w:r>
      <w:r w:rsidRPr="00352CB5">
        <w:rPr>
          <w:rFonts w:ascii="Times New Roman" w:hAnsi="Times New Roman"/>
          <w:b/>
          <w:sz w:val="32"/>
        </w:rPr>
        <w:t>e</w:t>
      </w:r>
      <w:r w:rsidR="00DD11CC" w:rsidRPr="00352CB5">
        <w:rPr>
          <w:rFonts w:ascii="Times New Roman" w:hAnsi="Times New Roman"/>
          <w:b/>
          <w:sz w:val="32"/>
        </w:rPr>
        <w:t>visions</w:t>
      </w:r>
      <w:r w:rsidR="00352CB5" w:rsidRPr="00352CB5">
        <w:rPr>
          <w:rFonts w:ascii="Times New Roman" w:hAnsi="Times New Roman"/>
          <w:b/>
          <w:sz w:val="32"/>
        </w:rPr>
        <w:t xml:space="preserve"> </w:t>
      </w:r>
      <w:r w:rsidR="007459D9">
        <w:rPr>
          <w:rFonts w:ascii="Times New Roman" w:hAnsi="Times New Roman"/>
          <w:b/>
          <w:sz w:val="32"/>
        </w:rPr>
        <w:t>to Supplement</w:t>
      </w:r>
    </w:p>
    <w:p w:rsidR="00F71B0D" w:rsidRPr="00F71B0D" w:rsidRDefault="00F71B0D" w:rsidP="00F71B0D">
      <w:pPr>
        <w:keepNext/>
        <w:spacing w:before="240" w:after="60" w:line="259" w:lineRule="auto"/>
        <w:outlineLvl w:val="1"/>
        <w:rPr>
          <w:rFonts w:ascii="Times New Roman" w:eastAsia="Times New Roman" w:hAnsi="Times New Roman"/>
          <w:bCs/>
          <w:sz w:val="26"/>
          <w:szCs w:val="26"/>
        </w:rPr>
      </w:pPr>
      <w:bookmarkStart w:id="0" w:name="_Toc486579562"/>
      <w:bookmarkStart w:id="1" w:name="_Toc486578514"/>
      <w:bookmarkStart w:id="2" w:name="_Toc486576456"/>
      <w:r w:rsidRPr="00F71B0D">
        <w:rPr>
          <w:rFonts w:ascii="Times New Roman" w:eastAsia="Times New Roman" w:hAnsi="Times New Roman"/>
          <w:b/>
          <w:bCs/>
          <w:sz w:val="26"/>
          <w:szCs w:val="26"/>
        </w:rPr>
        <w:t xml:space="preserve">Rule 1.  Scope, Purpose and Construction, </w:t>
      </w:r>
      <w:r w:rsidRPr="00F71B0D">
        <w:rPr>
          <w:rFonts w:ascii="Times New Roman" w:eastAsia="Times New Roman" w:hAnsi="Times New Roman"/>
          <w:b/>
          <w:bCs/>
          <w:strike/>
          <w:sz w:val="26"/>
          <w:szCs w:val="26"/>
        </w:rPr>
        <w:t xml:space="preserve">Computation of Time, Definitions, Size of Paper, </w:t>
      </w:r>
      <w:r w:rsidRPr="00F71B0D">
        <w:rPr>
          <w:rFonts w:ascii="Times New Roman" w:eastAsia="Times New Roman" w:hAnsi="Times New Roman"/>
          <w:b/>
          <w:bCs/>
          <w:sz w:val="26"/>
          <w:szCs w:val="26"/>
        </w:rPr>
        <w:t>and Other General Provisions</w:t>
      </w:r>
      <w:bookmarkEnd w:id="0"/>
    </w:p>
    <w:p w:rsidR="007A2D1A" w:rsidRPr="00535992" w:rsidRDefault="007A2D1A" w:rsidP="007A2D1A">
      <w:pPr>
        <w:pStyle w:val="Heading3"/>
        <w:rPr>
          <w:rFonts w:ascii="Times New Roman" w:hAnsi="Times New Roman"/>
        </w:rPr>
      </w:pPr>
      <w:bookmarkStart w:id="3" w:name="_Toc486579568"/>
      <w:bookmarkEnd w:id="1"/>
      <w:r w:rsidRPr="00535992">
        <w:rPr>
          <w:rFonts w:ascii="Times New Roman" w:hAnsi="Times New Roman"/>
        </w:rPr>
        <w:t>Rule 1.6.  Form of Documents</w:t>
      </w:r>
      <w:bookmarkEnd w:id="3"/>
    </w:p>
    <w:p w:rsidR="002318DE" w:rsidRPr="00C16968" w:rsidRDefault="002318DE" w:rsidP="00C16968">
      <w:pPr>
        <w:pStyle w:val="ListParagraph"/>
        <w:keepNext/>
        <w:numPr>
          <w:ilvl w:val="0"/>
          <w:numId w:val="47"/>
        </w:numPr>
        <w:spacing w:after="160" w:line="259" w:lineRule="auto"/>
        <w:ind w:left="360"/>
        <w:rPr>
          <w:rFonts w:ascii="Times New Roman" w:eastAsia="Calibri" w:hAnsi="Times New Roman"/>
          <w:b/>
          <w:bCs/>
          <w:sz w:val="26"/>
        </w:rPr>
      </w:pPr>
      <w:r w:rsidRPr="00C16968">
        <w:rPr>
          <w:rFonts w:ascii="Times New Roman" w:eastAsia="Calibri" w:hAnsi="Times New Roman"/>
          <w:b/>
          <w:bCs/>
          <w:sz w:val="26"/>
        </w:rPr>
        <w:t xml:space="preserve">Document Format. </w:t>
      </w:r>
    </w:p>
    <w:p w:rsidR="002318DE" w:rsidRDefault="002318DE" w:rsidP="00AA0E03">
      <w:pPr>
        <w:numPr>
          <w:ilvl w:val="1"/>
          <w:numId w:val="3"/>
        </w:numPr>
        <w:spacing w:after="160" w:line="259" w:lineRule="auto"/>
        <w:rPr>
          <w:rFonts w:ascii="Times New Roman" w:eastAsia="Calibri" w:hAnsi="Times New Roman"/>
          <w:sz w:val="26"/>
        </w:rPr>
      </w:pPr>
      <w:r w:rsidRPr="002318DE">
        <w:rPr>
          <w:rFonts w:ascii="Times New Roman" w:eastAsia="Calibri" w:hAnsi="Times New Roman"/>
          <w:b/>
          <w:bCs/>
          <w:i/>
          <w:iCs/>
          <w:sz w:val="26"/>
        </w:rPr>
        <w:t>Generally.</w:t>
      </w:r>
      <w:r w:rsidRPr="002318DE">
        <w:rPr>
          <w:rFonts w:ascii="Times New Roman" w:eastAsia="Calibri" w:hAnsi="Times New Roman"/>
          <w:sz w:val="26"/>
        </w:rPr>
        <w:t xml:space="preserve">  Unless the court orders otherwise, all filed documents, other than a document submitted as an exhibit or attachment to a filing, must be prepared as follows:</w:t>
      </w:r>
    </w:p>
    <w:p w:rsidR="00AA0E03" w:rsidRPr="00AA0E03" w:rsidRDefault="00AA0E03" w:rsidP="00AA0E03">
      <w:pPr>
        <w:pStyle w:val="ListParagraph"/>
        <w:spacing w:line="259" w:lineRule="auto"/>
        <w:ind w:left="0"/>
        <w:jc w:val="center"/>
        <w:rPr>
          <w:rFonts w:ascii="Times New Roman" w:eastAsia="Calibri" w:hAnsi="Times New Roman"/>
          <w:sz w:val="26"/>
        </w:rPr>
      </w:pPr>
      <w:r w:rsidRPr="00AA0E03">
        <w:rPr>
          <w:rFonts w:ascii="Times New Roman" w:eastAsia="Calibri" w:hAnsi="Times New Roman"/>
          <w:sz w:val="26"/>
        </w:rPr>
        <w:t>***</w:t>
      </w:r>
    </w:p>
    <w:p w:rsidR="00AA0E03" w:rsidRPr="00AA0E03" w:rsidRDefault="00AA0E03" w:rsidP="00AA0E03">
      <w:pPr>
        <w:pStyle w:val="ListParagraph"/>
        <w:numPr>
          <w:ilvl w:val="2"/>
          <w:numId w:val="17"/>
        </w:numPr>
        <w:spacing w:after="160" w:line="259" w:lineRule="auto"/>
        <w:rPr>
          <w:rFonts w:ascii="Times New Roman" w:hAnsi="Times New Roman"/>
          <w:sz w:val="26"/>
          <w:szCs w:val="26"/>
        </w:rPr>
      </w:pPr>
      <w:r w:rsidRPr="00AA0E03">
        <w:rPr>
          <w:rFonts w:ascii="Times New Roman" w:hAnsi="Times New Roman"/>
          <w:i/>
          <w:iCs/>
          <w:sz w:val="26"/>
          <w:szCs w:val="26"/>
        </w:rPr>
        <w:t>Type Size and Font.</w:t>
      </w:r>
      <w:r w:rsidRPr="00AA0E03">
        <w:rPr>
          <w:rFonts w:ascii="Times New Roman" w:hAnsi="Times New Roman"/>
          <w:sz w:val="26"/>
          <w:szCs w:val="26"/>
        </w:rPr>
        <w:t xml:space="preserve">  </w:t>
      </w:r>
      <w:r w:rsidRPr="00AA0E03">
        <w:rPr>
          <w:rFonts w:ascii="Times New Roman" w:hAnsi="Times New Roman"/>
          <w:sz w:val="26"/>
          <w:szCs w:val="26"/>
          <w:u w:val="single"/>
        </w:rPr>
        <w:t>Notwithstanding any local rule, e</w:t>
      </w:r>
      <w:r w:rsidRPr="00AA0E03">
        <w:rPr>
          <w:rFonts w:ascii="Times New Roman" w:hAnsi="Times New Roman"/>
          <w:strike/>
          <w:sz w:val="26"/>
          <w:szCs w:val="26"/>
        </w:rPr>
        <w:t>E</w:t>
      </w:r>
      <w:r w:rsidRPr="00AA0E03">
        <w:rPr>
          <w:rFonts w:ascii="Times New Roman" w:hAnsi="Times New Roman"/>
          <w:sz w:val="26"/>
          <w:szCs w:val="26"/>
        </w:rPr>
        <w:t xml:space="preserve">very typed document must use at least a 13-point type size. The court prefers proportionally spaced serif fonts. Footnotes must be in at least a 13-point type size and must not appear in the space required for the bottom margin. </w:t>
      </w:r>
    </w:p>
    <w:p w:rsidR="001436AA" w:rsidRPr="00E234D5" w:rsidRDefault="001436AA" w:rsidP="00E234D5">
      <w:pPr>
        <w:pStyle w:val="Heading2"/>
        <w:rPr>
          <w:rFonts w:ascii="Times New Roman" w:hAnsi="Times New Roman" w:cs="Times New Roman"/>
          <w:i w:val="0"/>
          <w:sz w:val="26"/>
          <w:szCs w:val="26"/>
        </w:rPr>
      </w:pPr>
      <w:bookmarkStart w:id="4" w:name="_Toc486579599"/>
      <w:r w:rsidRPr="00E234D5">
        <w:rPr>
          <w:rFonts w:ascii="Times New Roman" w:hAnsi="Times New Roman" w:cs="Times New Roman"/>
          <w:i w:val="0"/>
          <w:sz w:val="26"/>
          <w:szCs w:val="26"/>
        </w:rPr>
        <w:t>Rule 4.  Initial Appearance</w:t>
      </w:r>
      <w:r w:rsidRPr="00E234D5">
        <w:rPr>
          <w:rFonts w:ascii="Times New Roman" w:hAnsi="Times New Roman" w:cs="Times New Roman"/>
          <w:i w:val="0"/>
          <w:strike/>
          <w:sz w:val="26"/>
          <w:szCs w:val="26"/>
        </w:rPr>
        <w:t xml:space="preserve"> and Arraignment</w:t>
      </w:r>
    </w:p>
    <w:p w:rsidR="001436AA" w:rsidRPr="00E234D5" w:rsidRDefault="001436AA" w:rsidP="00E234D5">
      <w:pPr>
        <w:pStyle w:val="Heading2"/>
        <w:rPr>
          <w:rFonts w:ascii="Times New Roman" w:hAnsi="Times New Roman" w:cs="Times New Roman"/>
          <w:i w:val="0"/>
          <w:sz w:val="26"/>
          <w:szCs w:val="26"/>
        </w:rPr>
      </w:pPr>
      <w:r w:rsidRPr="00E234D5">
        <w:rPr>
          <w:rFonts w:ascii="Times New Roman" w:hAnsi="Times New Roman" w:cs="Times New Roman"/>
          <w:i w:val="0"/>
          <w:sz w:val="26"/>
          <w:szCs w:val="26"/>
        </w:rPr>
        <w:t xml:space="preserve">Rule 6.  </w:t>
      </w:r>
      <w:r w:rsidRPr="00E234D5">
        <w:rPr>
          <w:rFonts w:ascii="Times New Roman" w:hAnsi="Times New Roman" w:cs="Times New Roman"/>
          <w:i w:val="0"/>
          <w:strike/>
          <w:sz w:val="26"/>
          <w:szCs w:val="26"/>
        </w:rPr>
        <w:t xml:space="preserve">Attorneys, </w:t>
      </w:r>
      <w:r w:rsidRPr="00E234D5">
        <w:rPr>
          <w:rFonts w:ascii="Times New Roman" w:hAnsi="Times New Roman" w:cs="Times New Roman"/>
          <w:i w:val="0"/>
          <w:sz w:val="26"/>
          <w:szCs w:val="26"/>
          <w:u w:val="single"/>
        </w:rPr>
        <w:t>Right to Counsel; Duties of Counsel; Court-Appointed</w:t>
      </w:r>
      <w:r w:rsidR="00930F24" w:rsidRPr="00E234D5">
        <w:rPr>
          <w:rFonts w:ascii="Times New Roman" w:hAnsi="Times New Roman" w:cs="Times New Roman"/>
          <w:i w:val="0"/>
          <w:sz w:val="26"/>
          <w:szCs w:val="26"/>
          <w:u w:val="single"/>
        </w:rPr>
        <w:t xml:space="preserve"> Attorneys,</w:t>
      </w:r>
      <w:r w:rsidR="00930F24" w:rsidRPr="00E234D5">
        <w:rPr>
          <w:rFonts w:ascii="Times New Roman" w:hAnsi="Times New Roman" w:cs="Times New Roman"/>
          <w:i w:val="0"/>
          <w:sz w:val="26"/>
          <w:szCs w:val="26"/>
        </w:rPr>
        <w:t xml:space="preserve"> </w:t>
      </w:r>
      <w:r w:rsidRPr="00E234D5">
        <w:rPr>
          <w:rFonts w:ascii="Times New Roman" w:hAnsi="Times New Roman" w:cs="Times New Roman"/>
          <w:i w:val="0"/>
          <w:strike/>
          <w:sz w:val="26"/>
          <w:szCs w:val="26"/>
        </w:rPr>
        <w:t xml:space="preserve">Appointment of Counsel, </w:t>
      </w:r>
      <w:r w:rsidRPr="00E234D5">
        <w:rPr>
          <w:rFonts w:ascii="Times New Roman" w:hAnsi="Times New Roman" w:cs="Times New Roman"/>
          <w:i w:val="0"/>
          <w:sz w:val="26"/>
          <w:szCs w:val="26"/>
        </w:rPr>
        <w:t>Investigators, and Experts</w:t>
      </w:r>
    </w:p>
    <w:p w:rsidR="004E28C5" w:rsidRPr="00535992" w:rsidRDefault="004E28C5" w:rsidP="004E28C5">
      <w:pPr>
        <w:pStyle w:val="Heading3"/>
        <w:rPr>
          <w:rFonts w:ascii="Times New Roman" w:hAnsi="Times New Roman"/>
        </w:rPr>
      </w:pPr>
      <w:bookmarkStart w:id="5" w:name="_Toc486579608"/>
      <w:bookmarkEnd w:id="4"/>
      <w:r w:rsidRPr="00535992">
        <w:rPr>
          <w:rFonts w:ascii="Times New Roman" w:hAnsi="Times New Roman"/>
        </w:rPr>
        <w:t>Rule 7.1.  Definitions</w:t>
      </w:r>
      <w:bookmarkEnd w:id="5"/>
      <w:r w:rsidRPr="00535992">
        <w:rPr>
          <w:rFonts w:ascii="Times New Roman" w:hAnsi="Times New Roman"/>
        </w:rPr>
        <w:t xml:space="preserve"> </w:t>
      </w:r>
    </w:p>
    <w:p w:rsidR="004E28C5" w:rsidRPr="004E28C5" w:rsidRDefault="004E28C5" w:rsidP="006F6B2A">
      <w:pPr>
        <w:numPr>
          <w:ilvl w:val="0"/>
          <w:numId w:val="14"/>
        </w:numPr>
        <w:spacing w:after="160" w:line="256" w:lineRule="auto"/>
        <w:rPr>
          <w:rFonts w:ascii="Times New Roman" w:eastAsia="Calibri" w:hAnsi="Times New Roman"/>
          <w:sz w:val="26"/>
        </w:rPr>
      </w:pPr>
      <w:r w:rsidRPr="004E28C5">
        <w:rPr>
          <w:rFonts w:ascii="Times New Roman" w:eastAsia="Calibri" w:hAnsi="Times New Roman"/>
          <w:b/>
          <w:sz w:val="26"/>
        </w:rPr>
        <w:t>Cash Bond.</w:t>
      </w:r>
      <w:r w:rsidRPr="004E28C5">
        <w:rPr>
          <w:rFonts w:ascii="Times New Roman" w:eastAsia="Calibri" w:hAnsi="Times New Roman"/>
          <w:sz w:val="26"/>
        </w:rPr>
        <w:t xml:space="preserve">  A “cash bond” is a secured appearance bond consisting of actual cash deposited by the defendant or someone acting on the defendant’s behalf</w:t>
      </w:r>
      <w:r w:rsidRPr="004E28C5">
        <w:rPr>
          <w:rFonts w:ascii="Times New Roman" w:eastAsia="Calibri" w:hAnsi="Times New Roman"/>
          <w:strike/>
          <w:sz w:val="26"/>
        </w:rPr>
        <w:t xml:space="preserve"> other than a professional bondsman</w:t>
      </w:r>
      <w:r w:rsidRPr="004E28C5">
        <w:rPr>
          <w:rFonts w:ascii="Times New Roman" w:eastAsia="Calibri" w:hAnsi="Times New Roman"/>
          <w:sz w:val="26"/>
        </w:rPr>
        <w:t>.</w:t>
      </w:r>
    </w:p>
    <w:p w:rsidR="006A3075" w:rsidRDefault="006A3075" w:rsidP="006A3075">
      <w:pPr>
        <w:pStyle w:val="Heading3"/>
        <w:rPr>
          <w:rFonts w:ascii="Times New Roman" w:hAnsi="Times New Roman"/>
        </w:rPr>
      </w:pPr>
      <w:bookmarkStart w:id="6" w:name="_Toc486579609"/>
      <w:r>
        <w:rPr>
          <w:rFonts w:ascii="Times New Roman" w:hAnsi="Times New Roman"/>
        </w:rPr>
        <w:t>Rule 7.2.  Right to Release</w:t>
      </w:r>
      <w:bookmarkEnd w:id="6"/>
    </w:p>
    <w:p w:rsidR="006A3075" w:rsidRPr="00C16968" w:rsidRDefault="006A3075" w:rsidP="00C16968">
      <w:pPr>
        <w:pStyle w:val="ListParagraph"/>
        <w:numPr>
          <w:ilvl w:val="0"/>
          <w:numId w:val="19"/>
        </w:numPr>
        <w:spacing w:after="160" w:line="254" w:lineRule="auto"/>
        <w:rPr>
          <w:rFonts w:ascii="Times New Roman" w:eastAsia="Calibri" w:hAnsi="Times New Roman"/>
          <w:sz w:val="26"/>
        </w:rPr>
      </w:pPr>
      <w:r w:rsidRPr="00C16968">
        <w:rPr>
          <w:rFonts w:ascii="Times New Roman" w:eastAsia="Calibri" w:hAnsi="Times New Roman"/>
          <w:b/>
          <w:sz w:val="26"/>
        </w:rPr>
        <w:t xml:space="preserve">Before Conviction; Bailable Offenses. </w:t>
      </w:r>
    </w:p>
    <w:p w:rsidR="006A3075" w:rsidRPr="006A3075" w:rsidRDefault="006A3075" w:rsidP="006A3075">
      <w:pPr>
        <w:pStyle w:val="ListParagraph"/>
        <w:numPr>
          <w:ilvl w:val="1"/>
          <w:numId w:val="19"/>
        </w:numPr>
        <w:spacing w:after="160" w:line="254" w:lineRule="auto"/>
        <w:rPr>
          <w:rFonts w:ascii="Times New Roman" w:hAnsi="Times New Roman"/>
          <w:sz w:val="26"/>
          <w:szCs w:val="26"/>
        </w:rPr>
      </w:pPr>
      <w:r w:rsidRPr="006A3075">
        <w:rPr>
          <w:rFonts w:ascii="Times New Roman" w:hAnsi="Times New Roman"/>
          <w:b/>
          <w:i/>
          <w:sz w:val="26"/>
          <w:szCs w:val="26"/>
        </w:rPr>
        <w:t>Right to Release.</w:t>
      </w:r>
      <w:r w:rsidRPr="006A3075">
        <w:rPr>
          <w:rFonts w:ascii="Times New Roman" w:hAnsi="Times New Roman"/>
          <w:sz w:val="26"/>
          <w:szCs w:val="26"/>
        </w:rPr>
        <w:t xml:space="preserve">  Except as these rules otherwise provide, any defendant charged with an offense bailable as a matter of right must be released pending and during trial on the defendant’s own recognizance with only the mandatory conditions of release required under Rule 7.3(a). This rule does not apply if the court determines that such a release will not reasonably assure the defendant’s appearance or protect </w:t>
      </w:r>
      <w:r w:rsidRPr="006A3075">
        <w:rPr>
          <w:rFonts w:ascii="Times New Roman" w:hAnsi="Times New Roman"/>
          <w:strike/>
          <w:sz w:val="26"/>
          <w:szCs w:val="26"/>
        </w:rPr>
        <w:t xml:space="preserve">the safety of </w:t>
      </w:r>
      <w:r w:rsidRPr="006A3075">
        <w:rPr>
          <w:rFonts w:ascii="Times New Roman" w:hAnsi="Times New Roman"/>
          <w:sz w:val="26"/>
          <w:szCs w:val="26"/>
          <w:u w:val="single"/>
        </w:rPr>
        <w:t>the victim, any other person,</w:t>
      </w:r>
      <w:r w:rsidRPr="006A3075">
        <w:rPr>
          <w:rFonts w:ascii="Times New Roman" w:hAnsi="Times New Roman"/>
          <w:sz w:val="26"/>
          <w:szCs w:val="26"/>
        </w:rPr>
        <w:t xml:space="preserve"> </w:t>
      </w:r>
      <w:r w:rsidRPr="006A3075">
        <w:rPr>
          <w:rFonts w:ascii="Times New Roman" w:hAnsi="Times New Roman"/>
          <w:strike/>
          <w:sz w:val="26"/>
          <w:szCs w:val="26"/>
        </w:rPr>
        <w:t>others</w:t>
      </w:r>
      <w:r>
        <w:rPr>
          <w:rFonts w:ascii="Times New Roman" w:hAnsi="Times New Roman"/>
          <w:sz w:val="26"/>
          <w:szCs w:val="26"/>
        </w:rPr>
        <w:t xml:space="preserve"> </w:t>
      </w:r>
      <w:r w:rsidRPr="006A3075">
        <w:rPr>
          <w:rFonts w:ascii="Times New Roman" w:hAnsi="Times New Roman"/>
          <w:sz w:val="26"/>
          <w:szCs w:val="26"/>
        </w:rPr>
        <w:t xml:space="preserve">or the community from risk of harm by the defendant. If the court makes such a determination, it must impose the least onerous conditions of release set forth in Rule 7.3(d). </w:t>
      </w:r>
    </w:p>
    <w:p w:rsidR="005B0F8E" w:rsidRPr="005B0F8E" w:rsidRDefault="005B0F8E" w:rsidP="00541E32">
      <w:pPr>
        <w:pStyle w:val="ListParagraph"/>
        <w:numPr>
          <w:ilvl w:val="0"/>
          <w:numId w:val="22"/>
        </w:numPr>
        <w:spacing w:after="160" w:line="256" w:lineRule="auto"/>
        <w:rPr>
          <w:rFonts w:ascii="Times New Roman" w:hAnsi="Times New Roman"/>
          <w:sz w:val="26"/>
          <w:szCs w:val="26"/>
        </w:rPr>
      </w:pPr>
      <w:r w:rsidRPr="005B0F8E">
        <w:rPr>
          <w:rFonts w:ascii="Times New Roman" w:hAnsi="Times New Roman"/>
          <w:b/>
          <w:sz w:val="26"/>
          <w:szCs w:val="26"/>
        </w:rPr>
        <w:t>After Conviction.</w:t>
      </w:r>
    </w:p>
    <w:p w:rsidR="005B0F8E" w:rsidRPr="005B0F8E" w:rsidRDefault="005B0F8E" w:rsidP="00541E32">
      <w:pPr>
        <w:pStyle w:val="ListParagraph"/>
        <w:numPr>
          <w:ilvl w:val="1"/>
          <w:numId w:val="21"/>
        </w:numPr>
        <w:spacing w:after="160" w:line="256" w:lineRule="auto"/>
        <w:rPr>
          <w:rFonts w:ascii="Times New Roman" w:hAnsi="Times New Roman"/>
          <w:sz w:val="26"/>
          <w:szCs w:val="26"/>
        </w:rPr>
      </w:pPr>
      <w:r w:rsidRPr="005B0F8E">
        <w:rPr>
          <w:rFonts w:ascii="Times New Roman" w:hAnsi="Times New Roman"/>
          <w:b/>
          <w:i/>
          <w:sz w:val="26"/>
          <w:szCs w:val="26"/>
        </w:rPr>
        <w:t>Superior Court.</w:t>
      </w:r>
      <w:r w:rsidRPr="005B0F8E">
        <w:rPr>
          <w:rFonts w:ascii="Times New Roman" w:hAnsi="Times New Roman"/>
          <w:sz w:val="26"/>
          <w:szCs w:val="26"/>
        </w:rPr>
        <w:t xml:space="preserve"> </w:t>
      </w:r>
    </w:p>
    <w:p w:rsidR="005B0F8E" w:rsidRPr="00541E32" w:rsidRDefault="005B0F8E" w:rsidP="00541E32">
      <w:pPr>
        <w:pStyle w:val="ListParagraph"/>
        <w:numPr>
          <w:ilvl w:val="2"/>
          <w:numId w:val="20"/>
        </w:numPr>
        <w:spacing w:after="160" w:line="256" w:lineRule="auto"/>
        <w:rPr>
          <w:rFonts w:ascii="Times New Roman" w:hAnsi="Times New Roman"/>
          <w:sz w:val="26"/>
          <w:szCs w:val="26"/>
          <w:u w:val="single"/>
        </w:rPr>
      </w:pPr>
      <w:r w:rsidRPr="00541E32">
        <w:rPr>
          <w:rFonts w:ascii="Times New Roman" w:hAnsi="Times New Roman"/>
          <w:i/>
          <w:sz w:val="26"/>
          <w:szCs w:val="26"/>
          <w:u w:val="single"/>
        </w:rPr>
        <w:t>Protecting Safety.</w:t>
      </w:r>
      <w:r w:rsidRPr="00541E32">
        <w:rPr>
          <w:rFonts w:ascii="Times New Roman" w:hAnsi="Times New Roman"/>
          <w:sz w:val="26"/>
          <w:szCs w:val="26"/>
          <w:u w:val="single"/>
        </w:rPr>
        <w:t xml:space="preserve">  In determining release conditions if the defendant is released under (c)(1)(A) or (B), the court must impose conditions that will protect the victim, any other person, or the community from risk of harm by the defendant.</w:t>
      </w:r>
    </w:p>
    <w:p w:rsidR="00541E32" w:rsidRPr="00541E32" w:rsidRDefault="00541E32" w:rsidP="009766A1">
      <w:pPr>
        <w:pStyle w:val="ListParagraph"/>
        <w:keepNext/>
        <w:numPr>
          <w:ilvl w:val="1"/>
          <w:numId w:val="43"/>
        </w:numPr>
        <w:spacing w:after="160" w:line="257" w:lineRule="auto"/>
        <w:rPr>
          <w:rFonts w:ascii="Times New Roman" w:hAnsi="Times New Roman"/>
          <w:sz w:val="26"/>
          <w:szCs w:val="26"/>
        </w:rPr>
      </w:pPr>
      <w:r w:rsidRPr="00541E32">
        <w:rPr>
          <w:rFonts w:ascii="Times New Roman" w:hAnsi="Times New Roman"/>
          <w:b/>
          <w:i/>
          <w:sz w:val="26"/>
          <w:szCs w:val="26"/>
        </w:rPr>
        <w:t>Limited Jurisdiction Courts.</w:t>
      </w:r>
    </w:p>
    <w:p w:rsidR="00541E32" w:rsidRPr="00541E32" w:rsidRDefault="00541E32" w:rsidP="00921E6A">
      <w:pPr>
        <w:numPr>
          <w:ilvl w:val="2"/>
          <w:numId w:val="23"/>
        </w:numPr>
        <w:spacing w:after="160" w:line="256" w:lineRule="auto"/>
        <w:rPr>
          <w:rFonts w:ascii="Times New Roman" w:eastAsia="Calibri" w:hAnsi="Times New Roman"/>
          <w:sz w:val="26"/>
          <w:szCs w:val="26"/>
        </w:rPr>
      </w:pPr>
      <w:r w:rsidRPr="00541E32">
        <w:rPr>
          <w:rFonts w:ascii="Times New Roman" w:eastAsia="Calibri" w:hAnsi="Times New Roman"/>
          <w:i/>
          <w:sz w:val="26"/>
          <w:szCs w:val="26"/>
        </w:rPr>
        <w:t>Motion to Amend Conditions of Release.</w:t>
      </w:r>
      <w:r w:rsidRPr="00541E32">
        <w:rPr>
          <w:rFonts w:ascii="Times New Roman" w:eastAsia="Calibri" w:hAnsi="Times New Roman"/>
          <w:sz w:val="26"/>
          <w:szCs w:val="26"/>
        </w:rPr>
        <w:t xml:space="preserve">  </w:t>
      </w:r>
    </w:p>
    <w:p w:rsidR="00541E32" w:rsidRPr="00541E32" w:rsidRDefault="00541E32" w:rsidP="0030734D">
      <w:pPr>
        <w:numPr>
          <w:ilvl w:val="3"/>
          <w:numId w:val="23"/>
        </w:numPr>
        <w:tabs>
          <w:tab w:val="clear" w:pos="1166"/>
          <w:tab w:val="num" w:pos="1530"/>
        </w:tabs>
        <w:spacing w:after="160" w:line="256" w:lineRule="auto"/>
        <w:ind w:left="1530" w:hanging="450"/>
        <w:rPr>
          <w:rFonts w:ascii="Times New Roman" w:eastAsia="Calibri" w:hAnsi="Times New Roman"/>
          <w:sz w:val="26"/>
          <w:szCs w:val="26"/>
        </w:rPr>
      </w:pPr>
      <w:r w:rsidRPr="00541E32">
        <w:rPr>
          <w:rFonts w:ascii="Times New Roman" w:eastAsia="Calibri" w:hAnsi="Times New Roman"/>
          <w:sz w:val="26"/>
          <w:szCs w:val="26"/>
        </w:rPr>
        <w:t xml:space="preserve">Upon the filing of a timely notice of appeal, the court—on motion or on its own—may amend the conditions of release if it finds a substantial risk exists that the defendant presents a danger to </w:t>
      </w:r>
      <w:r w:rsidRPr="00541E32">
        <w:rPr>
          <w:rFonts w:ascii="Times New Roman" w:eastAsia="Calibri" w:hAnsi="Times New Roman"/>
          <w:sz w:val="26"/>
          <w:szCs w:val="26"/>
          <w:u w:val="single"/>
        </w:rPr>
        <w:t xml:space="preserve">the victim, </w:t>
      </w:r>
      <w:r w:rsidRPr="00541E32">
        <w:rPr>
          <w:rFonts w:ascii="Times New Roman" w:eastAsia="Calibri" w:hAnsi="Times New Roman"/>
          <w:sz w:val="26"/>
          <w:szCs w:val="26"/>
        </w:rPr>
        <w:t>another person or the community, or the defendant is unlikely to return to court if required to do so after the appeal concludes.</w:t>
      </w:r>
    </w:p>
    <w:p w:rsidR="00921E6A" w:rsidRPr="00921E6A" w:rsidRDefault="00921E6A" w:rsidP="0030734D">
      <w:pPr>
        <w:pStyle w:val="ListParagraph"/>
        <w:numPr>
          <w:ilvl w:val="3"/>
          <w:numId w:val="24"/>
        </w:numPr>
        <w:tabs>
          <w:tab w:val="clear" w:pos="1166"/>
          <w:tab w:val="num" w:pos="1530"/>
        </w:tabs>
        <w:spacing w:after="160" w:line="256" w:lineRule="auto"/>
        <w:ind w:left="1530" w:hanging="450"/>
        <w:rPr>
          <w:rFonts w:ascii="Times New Roman" w:hAnsi="Times New Roman"/>
          <w:sz w:val="26"/>
          <w:szCs w:val="26"/>
        </w:rPr>
      </w:pPr>
      <w:r w:rsidRPr="00921E6A">
        <w:rPr>
          <w:rFonts w:ascii="Times New Roman" w:hAnsi="Times New Roman"/>
          <w:sz w:val="26"/>
          <w:szCs w:val="26"/>
        </w:rPr>
        <w:t xml:space="preserve">The court may amend the conditions of release in accordance with the standards set forth in Rule 7.3 and Rule 7.4(b). In determining the method of release or the amount of bail, the court must consider the nature and circumstances of the offense, family or local ties, employment, financial resources, the defendant’s character and mental condition, the length of residence in the community, the record of arrests or convictions, the risk of harm to </w:t>
      </w:r>
      <w:r w:rsidRPr="00921E6A">
        <w:rPr>
          <w:rFonts w:ascii="Times New Roman" w:hAnsi="Times New Roman"/>
          <w:sz w:val="26"/>
          <w:szCs w:val="26"/>
          <w:u w:val="single"/>
        </w:rPr>
        <w:t xml:space="preserve">the victim, </w:t>
      </w:r>
      <w:r w:rsidRPr="00921E6A">
        <w:rPr>
          <w:rFonts w:ascii="Times New Roman" w:hAnsi="Times New Roman"/>
          <w:sz w:val="26"/>
          <w:szCs w:val="26"/>
        </w:rPr>
        <w:t>other persons</w:t>
      </w:r>
      <w:r w:rsidRPr="00921E6A">
        <w:rPr>
          <w:rFonts w:ascii="Times New Roman" w:hAnsi="Times New Roman"/>
          <w:sz w:val="26"/>
          <w:szCs w:val="26"/>
          <w:u w:val="single"/>
        </w:rPr>
        <w:t>,</w:t>
      </w:r>
      <w:r w:rsidRPr="00921E6A">
        <w:rPr>
          <w:rFonts w:ascii="Times New Roman" w:hAnsi="Times New Roman"/>
          <w:sz w:val="26"/>
          <w:szCs w:val="26"/>
        </w:rPr>
        <w:t xml:space="preserve"> or the community, and appearances at prior court proceedings.</w:t>
      </w:r>
    </w:p>
    <w:p w:rsidR="009C02AD" w:rsidRPr="00535992" w:rsidRDefault="009C02AD" w:rsidP="009C02AD">
      <w:pPr>
        <w:pStyle w:val="Heading3"/>
        <w:rPr>
          <w:rFonts w:ascii="Times New Roman" w:hAnsi="Times New Roman"/>
        </w:rPr>
      </w:pPr>
      <w:bookmarkStart w:id="7" w:name="_Toc486579634"/>
      <w:r w:rsidRPr="00535992">
        <w:rPr>
          <w:rFonts w:ascii="Times New Roman" w:hAnsi="Times New Roman"/>
        </w:rPr>
        <w:t>Rule 11.3.  Appointment of Experts</w:t>
      </w:r>
      <w:bookmarkEnd w:id="7"/>
    </w:p>
    <w:p w:rsidR="009C02AD" w:rsidRPr="009C02AD" w:rsidRDefault="009C02AD" w:rsidP="009C02AD">
      <w:pPr>
        <w:keepNext/>
        <w:numPr>
          <w:ilvl w:val="0"/>
          <w:numId w:val="25"/>
        </w:numPr>
        <w:spacing w:after="160" w:line="259" w:lineRule="auto"/>
        <w:rPr>
          <w:rFonts w:ascii="Times New Roman" w:eastAsia="Calibri" w:hAnsi="Times New Roman"/>
          <w:sz w:val="26"/>
        </w:rPr>
      </w:pPr>
      <w:r w:rsidRPr="009C02AD">
        <w:rPr>
          <w:rFonts w:ascii="Times New Roman" w:eastAsia="Calibri" w:hAnsi="Times New Roman"/>
          <w:b/>
          <w:bCs/>
          <w:sz w:val="26"/>
        </w:rPr>
        <w:t>Appointment of Experts.</w:t>
      </w:r>
      <w:r w:rsidRPr="009C02AD">
        <w:rPr>
          <w:rFonts w:ascii="Times New Roman" w:eastAsia="Calibri" w:hAnsi="Times New Roman"/>
          <w:sz w:val="26"/>
        </w:rPr>
        <w:t xml:space="preserve"> </w:t>
      </w:r>
    </w:p>
    <w:p w:rsidR="009C02AD" w:rsidRPr="009C02AD" w:rsidRDefault="009C02AD" w:rsidP="009C02AD">
      <w:pPr>
        <w:pStyle w:val="ListParagraph"/>
        <w:numPr>
          <w:ilvl w:val="1"/>
          <w:numId w:val="26"/>
        </w:numPr>
        <w:spacing w:after="160" w:line="259" w:lineRule="auto"/>
        <w:rPr>
          <w:rFonts w:ascii="Times New Roman" w:hAnsi="Times New Roman"/>
          <w:sz w:val="26"/>
          <w:szCs w:val="26"/>
        </w:rPr>
      </w:pPr>
      <w:r w:rsidRPr="009C02AD">
        <w:rPr>
          <w:rFonts w:ascii="Times New Roman" w:hAnsi="Times New Roman"/>
          <w:b/>
          <w:bCs/>
          <w:i/>
          <w:iCs/>
          <w:sz w:val="26"/>
          <w:szCs w:val="26"/>
        </w:rPr>
        <w:t>Examiner Qualifications.</w:t>
      </w:r>
      <w:r w:rsidRPr="009C02AD">
        <w:rPr>
          <w:rFonts w:ascii="Times New Roman" w:hAnsi="Times New Roman"/>
          <w:sz w:val="26"/>
          <w:szCs w:val="26"/>
        </w:rPr>
        <w:t xml:space="preserve">  A mental health expert must be:</w:t>
      </w:r>
    </w:p>
    <w:p w:rsidR="009C02AD" w:rsidRPr="009C02AD" w:rsidRDefault="009C02AD" w:rsidP="009C02AD">
      <w:pPr>
        <w:pStyle w:val="ListParagraph"/>
        <w:numPr>
          <w:ilvl w:val="2"/>
          <w:numId w:val="26"/>
        </w:numPr>
        <w:spacing w:after="160" w:line="259" w:lineRule="auto"/>
        <w:rPr>
          <w:rFonts w:ascii="Times New Roman" w:hAnsi="Times New Roman"/>
          <w:sz w:val="26"/>
          <w:szCs w:val="26"/>
        </w:rPr>
      </w:pPr>
      <w:r w:rsidRPr="009C02AD">
        <w:rPr>
          <w:rFonts w:ascii="Times New Roman" w:hAnsi="Times New Roman"/>
          <w:sz w:val="26"/>
          <w:szCs w:val="26"/>
        </w:rPr>
        <w:t xml:space="preserve">familiar with Arizona’s standards and statutes for competence </w:t>
      </w:r>
      <w:r w:rsidRPr="00BF7EF0">
        <w:rPr>
          <w:rFonts w:ascii="Times New Roman" w:hAnsi="Times New Roman"/>
          <w:sz w:val="26"/>
          <w:szCs w:val="26"/>
          <w:u w:val="single"/>
        </w:rPr>
        <w:t>and criminal and involuntary commitment statutes</w:t>
      </w:r>
      <w:r w:rsidRPr="009C02AD">
        <w:rPr>
          <w:rFonts w:ascii="Times New Roman" w:hAnsi="Times New Roman"/>
          <w:sz w:val="26"/>
          <w:szCs w:val="26"/>
        </w:rPr>
        <w:t>;</w:t>
      </w:r>
    </w:p>
    <w:p w:rsidR="009B11E7" w:rsidRPr="00535992" w:rsidRDefault="009B11E7" w:rsidP="009B11E7">
      <w:pPr>
        <w:pStyle w:val="Heading3"/>
        <w:rPr>
          <w:rFonts w:ascii="Times New Roman" w:hAnsi="Times New Roman"/>
        </w:rPr>
      </w:pPr>
      <w:bookmarkStart w:id="8" w:name="_Toc486579636"/>
      <w:r w:rsidRPr="00535992">
        <w:rPr>
          <w:rFonts w:ascii="Times New Roman" w:hAnsi="Times New Roman"/>
        </w:rPr>
        <w:t>Rule 11.5.  Hearing and Orders</w:t>
      </w:r>
      <w:bookmarkEnd w:id="8"/>
    </w:p>
    <w:p w:rsidR="009B11E7" w:rsidRPr="009B11E7" w:rsidRDefault="009B11E7" w:rsidP="009B11E7">
      <w:pPr>
        <w:pStyle w:val="ListParagraph"/>
        <w:numPr>
          <w:ilvl w:val="0"/>
          <w:numId w:val="26"/>
        </w:numPr>
        <w:spacing w:after="160" w:line="259" w:lineRule="auto"/>
        <w:rPr>
          <w:rFonts w:ascii="Times New Roman" w:hAnsi="Times New Roman"/>
          <w:sz w:val="26"/>
          <w:szCs w:val="26"/>
        </w:rPr>
      </w:pPr>
      <w:r w:rsidRPr="009B11E7">
        <w:rPr>
          <w:rFonts w:ascii="Times New Roman" w:hAnsi="Times New Roman"/>
          <w:b/>
          <w:bCs/>
          <w:sz w:val="26"/>
          <w:szCs w:val="26"/>
        </w:rPr>
        <w:t>Orders.</w:t>
      </w:r>
      <w:r w:rsidRPr="009B11E7">
        <w:rPr>
          <w:rFonts w:ascii="Times New Roman" w:hAnsi="Times New Roman"/>
          <w:sz w:val="26"/>
          <w:szCs w:val="26"/>
        </w:rPr>
        <w:t xml:space="preserve">  </w:t>
      </w:r>
    </w:p>
    <w:p w:rsidR="009B11E7" w:rsidRPr="009B11E7" w:rsidRDefault="009B11E7" w:rsidP="009B11E7">
      <w:pPr>
        <w:numPr>
          <w:ilvl w:val="1"/>
          <w:numId w:val="27"/>
        </w:numPr>
        <w:spacing w:after="160" w:line="259" w:lineRule="auto"/>
        <w:rPr>
          <w:rFonts w:ascii="Times New Roman" w:eastAsia="Calibri" w:hAnsi="Times New Roman"/>
          <w:sz w:val="26"/>
        </w:rPr>
      </w:pPr>
      <w:r w:rsidRPr="009B11E7">
        <w:rPr>
          <w:rFonts w:ascii="Times New Roman" w:eastAsia="Calibri" w:hAnsi="Times New Roman"/>
          <w:b/>
          <w:bCs/>
          <w:i/>
          <w:iCs/>
          <w:sz w:val="26"/>
        </w:rPr>
        <w:t>If Incompetent and Not</w:t>
      </w:r>
      <w:r w:rsidRPr="009B11E7">
        <w:rPr>
          <w:rFonts w:ascii="Times New Roman" w:eastAsia="Calibri" w:hAnsi="Times New Roman"/>
          <w:b/>
          <w:i/>
          <w:sz w:val="26"/>
        </w:rPr>
        <w:t xml:space="preserve"> Restorable.</w:t>
      </w:r>
      <w:r w:rsidRPr="009B11E7">
        <w:rPr>
          <w:rFonts w:ascii="Times New Roman" w:eastAsia="Calibri" w:hAnsi="Times New Roman"/>
          <w:sz w:val="26"/>
        </w:rPr>
        <w:t xml:space="preserve">  If the court determines that the defendant is incompetent and that there is no substantial probability that the defendant will become competent within 21 months, the court may on request of the examined defendant or the State do one or more of the following:</w:t>
      </w:r>
    </w:p>
    <w:p w:rsidR="009B11E7" w:rsidRPr="009B11E7" w:rsidRDefault="009B11E7" w:rsidP="009B11E7">
      <w:pPr>
        <w:numPr>
          <w:ilvl w:val="2"/>
          <w:numId w:val="27"/>
        </w:numPr>
        <w:spacing w:after="160" w:line="259" w:lineRule="auto"/>
        <w:rPr>
          <w:rFonts w:ascii="Times New Roman" w:eastAsia="Calibri" w:hAnsi="Times New Roman"/>
          <w:sz w:val="26"/>
        </w:rPr>
      </w:pPr>
      <w:r w:rsidRPr="009B11E7">
        <w:rPr>
          <w:rFonts w:ascii="Times New Roman" w:eastAsia="Calibri" w:hAnsi="Times New Roman"/>
          <w:sz w:val="26"/>
        </w:rPr>
        <w:t>remand the defendant to t</w:t>
      </w:r>
      <w:r w:rsidRPr="009B11E7">
        <w:rPr>
          <w:rFonts w:ascii="Times New Roman" w:eastAsia="Calibri" w:hAnsi="Times New Roman"/>
          <w:strike/>
          <w:sz w:val="26"/>
        </w:rPr>
        <w:t xml:space="preserve">he Department of Health Services </w:t>
      </w:r>
      <w:r w:rsidRPr="009B11E7">
        <w:rPr>
          <w:rFonts w:ascii="Times New Roman" w:eastAsia="Calibri" w:hAnsi="Times New Roman"/>
          <w:sz w:val="26"/>
          <w:u w:val="single"/>
        </w:rPr>
        <w:t>an evaluating agency approved and licensed under Title 36</w:t>
      </w:r>
      <w:r w:rsidRPr="009B11E7">
        <w:rPr>
          <w:rFonts w:ascii="Times New Roman" w:eastAsia="Calibri" w:hAnsi="Times New Roman"/>
          <w:sz w:val="26"/>
        </w:rPr>
        <w:t xml:space="preserve"> to begin civil commitment proceedings u</w:t>
      </w:r>
      <w:bookmarkStart w:id="9" w:name="_GoBack"/>
      <w:bookmarkEnd w:id="9"/>
      <w:r w:rsidRPr="009B11E7">
        <w:rPr>
          <w:rFonts w:ascii="Times New Roman" w:eastAsia="Calibri" w:hAnsi="Times New Roman"/>
          <w:sz w:val="26"/>
        </w:rPr>
        <w:t>nder A.R.S. §§ 36-501 et seq.;</w:t>
      </w:r>
    </w:p>
    <w:p w:rsidR="007328BE" w:rsidRPr="007328BE" w:rsidRDefault="007328BE" w:rsidP="007328BE">
      <w:pPr>
        <w:pStyle w:val="ListParagraph"/>
        <w:numPr>
          <w:ilvl w:val="1"/>
          <w:numId w:val="27"/>
        </w:numPr>
        <w:spacing w:after="160" w:line="259" w:lineRule="auto"/>
        <w:rPr>
          <w:rFonts w:ascii="Times New Roman" w:hAnsi="Times New Roman"/>
          <w:sz w:val="26"/>
          <w:szCs w:val="26"/>
          <w:u w:val="single"/>
        </w:rPr>
      </w:pPr>
      <w:r w:rsidRPr="007328BE">
        <w:rPr>
          <w:rFonts w:ascii="Times New Roman" w:hAnsi="Times New Roman"/>
          <w:b/>
          <w:i/>
          <w:sz w:val="26"/>
          <w:szCs w:val="26"/>
          <w:u w:val="single"/>
        </w:rPr>
        <w:t>Additional Actions.</w:t>
      </w:r>
      <w:r w:rsidRPr="007328BE">
        <w:rPr>
          <w:rFonts w:ascii="Times New Roman" w:hAnsi="Times New Roman"/>
          <w:sz w:val="26"/>
          <w:szCs w:val="26"/>
          <w:u w:val="single"/>
        </w:rPr>
        <w:t xml:space="preserve">  If the court enters an order under (b)(3)(A) or (b)(3)(B), it may retain jurisdiction and enter further orders as specified in A.R.S. §§ 13-4517 and 13-4518.</w:t>
      </w:r>
    </w:p>
    <w:p w:rsidR="009075C9" w:rsidRPr="00535992" w:rsidRDefault="009075C9" w:rsidP="009075C9">
      <w:pPr>
        <w:pStyle w:val="Heading3"/>
        <w:rPr>
          <w:rFonts w:ascii="Times New Roman" w:hAnsi="Times New Roman"/>
        </w:rPr>
      </w:pPr>
      <w:bookmarkStart w:id="10" w:name="_Toc486579652"/>
      <w:r w:rsidRPr="00535992">
        <w:rPr>
          <w:rFonts w:ascii="Times New Roman" w:hAnsi="Times New Roman"/>
        </w:rPr>
        <w:t>Rule 12.9.  Challenge to Grand Jury Proceedings</w:t>
      </w:r>
      <w:bookmarkEnd w:id="10"/>
    </w:p>
    <w:p w:rsidR="009075C9" w:rsidRDefault="009075C9" w:rsidP="005D541C">
      <w:pPr>
        <w:numPr>
          <w:ilvl w:val="0"/>
          <w:numId w:val="45"/>
        </w:numPr>
        <w:spacing w:after="160" w:line="259" w:lineRule="auto"/>
        <w:rPr>
          <w:rFonts w:ascii="Times New Roman" w:eastAsia="Calibri" w:hAnsi="Times New Roman"/>
          <w:sz w:val="26"/>
        </w:rPr>
      </w:pPr>
      <w:r w:rsidRPr="009075C9">
        <w:rPr>
          <w:rFonts w:ascii="Times New Roman" w:eastAsia="Calibri" w:hAnsi="Times New Roman"/>
          <w:b/>
          <w:sz w:val="26"/>
        </w:rPr>
        <w:t>Timing.</w:t>
      </w:r>
      <w:r w:rsidRPr="009075C9">
        <w:rPr>
          <w:rFonts w:ascii="Times New Roman" w:eastAsia="Calibri" w:hAnsi="Times New Roman"/>
          <w:sz w:val="26"/>
        </w:rPr>
        <w:t xml:space="preserve">  A defendant must file a motion under (a) no later than </w:t>
      </w:r>
      <w:r w:rsidRPr="009075C9">
        <w:rPr>
          <w:rFonts w:ascii="Times New Roman" w:eastAsia="Calibri" w:hAnsi="Times New Roman"/>
          <w:strike/>
          <w:sz w:val="26"/>
        </w:rPr>
        <w:t>25</w:t>
      </w:r>
      <w:r w:rsidRPr="009075C9">
        <w:rPr>
          <w:rFonts w:ascii="Times New Roman" w:eastAsia="Calibri" w:hAnsi="Times New Roman"/>
          <w:sz w:val="26"/>
          <w:u w:val="single"/>
        </w:rPr>
        <w:t>45</w:t>
      </w:r>
      <w:r w:rsidRPr="009075C9">
        <w:rPr>
          <w:rFonts w:ascii="Times New Roman" w:eastAsia="Calibri" w:hAnsi="Times New Roman"/>
          <w:sz w:val="26"/>
        </w:rPr>
        <w:t xml:space="preserve"> days after the certified transcript and minutes of the grand jury proceedings are filed or no later than </w:t>
      </w:r>
      <w:r w:rsidRPr="009075C9">
        <w:rPr>
          <w:rFonts w:ascii="Times New Roman" w:eastAsia="Calibri" w:hAnsi="Times New Roman"/>
          <w:strike/>
          <w:sz w:val="26"/>
        </w:rPr>
        <w:t>25</w:t>
      </w:r>
      <w:r w:rsidRPr="009075C9">
        <w:rPr>
          <w:rFonts w:ascii="Times New Roman" w:eastAsia="Calibri" w:hAnsi="Times New Roman"/>
          <w:sz w:val="26"/>
          <w:u w:val="single"/>
        </w:rPr>
        <w:t>45</w:t>
      </w:r>
      <w:r w:rsidRPr="009075C9">
        <w:rPr>
          <w:rFonts w:ascii="Times New Roman" w:eastAsia="Calibri" w:hAnsi="Times New Roman"/>
          <w:sz w:val="26"/>
        </w:rPr>
        <w:t xml:space="preserve"> days after the defendant’s arraignment, whichever is later.</w:t>
      </w:r>
    </w:p>
    <w:p w:rsidR="00DC147F" w:rsidRPr="00DC147F" w:rsidRDefault="00DC147F" w:rsidP="00DC147F">
      <w:pPr>
        <w:pStyle w:val="Heading3"/>
        <w:rPr>
          <w:rStyle w:val="Strong"/>
          <w:rFonts w:ascii="Times New Roman" w:hAnsi="Times New Roman" w:cs="Times New Roman"/>
          <w:b/>
          <w:bCs/>
        </w:rPr>
      </w:pPr>
      <w:bookmarkStart w:id="11" w:name="_Toc486579664"/>
      <w:r w:rsidRPr="00DC147F">
        <w:rPr>
          <w:rStyle w:val="Strong"/>
          <w:rFonts w:ascii="Times New Roman" w:hAnsi="Times New Roman" w:cs="Times New Roman"/>
          <w:b/>
          <w:bCs/>
        </w:rPr>
        <w:t xml:space="preserve">Rule 13.1.  Definitions and </w:t>
      </w:r>
      <w:r w:rsidRPr="00DC147F">
        <w:rPr>
          <w:rStyle w:val="Strong"/>
          <w:rFonts w:ascii="Times New Roman" w:hAnsi="Times New Roman" w:cs="Times New Roman"/>
          <w:b/>
          <w:bCs/>
          <w:strike/>
        </w:rPr>
        <w:t>Nature</w:t>
      </w:r>
      <w:bookmarkEnd w:id="11"/>
      <w:r w:rsidRPr="00DC147F">
        <w:rPr>
          <w:rStyle w:val="Strong"/>
          <w:rFonts w:ascii="Times New Roman" w:hAnsi="Times New Roman" w:cs="Times New Roman"/>
          <w:b/>
          <w:bCs/>
        </w:rPr>
        <w:t xml:space="preserve"> </w:t>
      </w:r>
      <w:r w:rsidRPr="00DC147F">
        <w:rPr>
          <w:rStyle w:val="Strong"/>
          <w:rFonts w:ascii="Times New Roman" w:hAnsi="Times New Roman" w:cs="Times New Roman"/>
          <w:b/>
          <w:bCs/>
          <w:u w:val="single"/>
        </w:rPr>
        <w:t>Construction</w:t>
      </w:r>
      <w:r w:rsidRPr="00DC147F">
        <w:rPr>
          <w:rStyle w:val="Strong"/>
          <w:rFonts w:ascii="Times New Roman" w:hAnsi="Times New Roman" w:cs="Times New Roman"/>
          <w:b/>
          <w:bCs/>
        </w:rPr>
        <w:t xml:space="preserve"> </w:t>
      </w:r>
    </w:p>
    <w:p w:rsidR="009B11E7" w:rsidRPr="00DB0110" w:rsidRDefault="00FB403C" w:rsidP="00DB0110">
      <w:pPr>
        <w:pStyle w:val="Heading3"/>
        <w:rPr>
          <w:rFonts w:ascii="Times New Roman" w:eastAsia="Calibri" w:hAnsi="Times New Roman" w:cs="Times New Roman"/>
        </w:rPr>
      </w:pPr>
      <w:r w:rsidRPr="00DB0110">
        <w:rPr>
          <w:rFonts w:ascii="Times New Roman" w:eastAsia="Calibri" w:hAnsi="Times New Roman" w:cs="Times New Roman"/>
        </w:rPr>
        <w:t>Rule 15.3.  Depositions</w:t>
      </w:r>
    </w:p>
    <w:p w:rsidR="00FB403C" w:rsidRPr="00FB403C" w:rsidRDefault="00FB403C" w:rsidP="005D541C">
      <w:pPr>
        <w:keepNext/>
        <w:numPr>
          <w:ilvl w:val="0"/>
          <w:numId w:val="44"/>
        </w:numPr>
        <w:spacing w:after="160" w:line="256" w:lineRule="auto"/>
        <w:rPr>
          <w:rFonts w:ascii="Times New Roman" w:eastAsia="Calibri" w:hAnsi="Times New Roman"/>
          <w:sz w:val="26"/>
        </w:rPr>
      </w:pPr>
      <w:r w:rsidRPr="00FB403C">
        <w:rPr>
          <w:rFonts w:ascii="Times New Roman" w:eastAsia="Calibri" w:hAnsi="Times New Roman"/>
          <w:b/>
          <w:bCs/>
          <w:sz w:val="26"/>
        </w:rPr>
        <w:t>Motion for Taking Deposition; Notice; Service.</w:t>
      </w:r>
    </w:p>
    <w:p w:rsidR="00FB403C" w:rsidRPr="00A11495" w:rsidRDefault="00FB403C" w:rsidP="00FB403C">
      <w:pPr>
        <w:pStyle w:val="ListParagraph"/>
        <w:numPr>
          <w:ilvl w:val="1"/>
          <w:numId w:val="28"/>
        </w:numPr>
        <w:spacing w:after="160" w:line="256" w:lineRule="auto"/>
        <w:rPr>
          <w:rFonts w:ascii="Times New Roman" w:hAnsi="Times New Roman"/>
          <w:sz w:val="26"/>
          <w:szCs w:val="26"/>
        </w:rPr>
      </w:pPr>
      <w:r w:rsidRPr="00FB403C">
        <w:rPr>
          <w:rFonts w:ascii="Times New Roman" w:hAnsi="Times New Roman"/>
          <w:b/>
          <w:bCs/>
          <w:i/>
          <w:iCs/>
          <w:sz w:val="26"/>
          <w:szCs w:val="26"/>
        </w:rPr>
        <w:t xml:space="preserve">Notice and Subpoena. </w:t>
      </w:r>
      <w:r w:rsidRPr="00FB403C">
        <w:rPr>
          <w:rFonts w:ascii="Times New Roman" w:hAnsi="Times New Roman"/>
          <w:sz w:val="26"/>
          <w:szCs w:val="26"/>
        </w:rPr>
        <w:t xml:space="preserve"> If the court grants the motion, the moving party must notice the deposition in the manner provided in Arizona Rule of Civil Procedure 30(b). The notice must specify the terms and conditions in the court’s order granting the deposition. The moving party also must serve a subpoena on the deponent in the manner provided in A.R.S. § 13-4072</w:t>
      </w:r>
      <w:r w:rsidRPr="00A11495">
        <w:rPr>
          <w:rFonts w:ascii="Times New Roman" w:hAnsi="Times New Roman"/>
          <w:sz w:val="26"/>
          <w:szCs w:val="26"/>
          <w:u w:val="single"/>
        </w:rPr>
        <w:t>(A)-(E) or as otherwise ordered by the court</w:t>
      </w:r>
      <w:r w:rsidRPr="00A11495">
        <w:rPr>
          <w:rFonts w:ascii="Times New Roman" w:hAnsi="Times New Roman"/>
          <w:sz w:val="26"/>
          <w:szCs w:val="26"/>
        </w:rPr>
        <w:t xml:space="preserve">. </w:t>
      </w:r>
    </w:p>
    <w:p w:rsidR="00E234D5" w:rsidRPr="00E234D5" w:rsidRDefault="00E234D5" w:rsidP="00E234D5">
      <w:pPr>
        <w:pStyle w:val="Heading2"/>
        <w:rPr>
          <w:rFonts w:ascii="Times New Roman" w:hAnsi="Times New Roman" w:cs="Times New Roman"/>
          <w:i w:val="0"/>
          <w:sz w:val="26"/>
          <w:szCs w:val="26"/>
        </w:rPr>
      </w:pPr>
      <w:bookmarkStart w:id="12" w:name="_Toc486579690"/>
      <w:r w:rsidRPr="00E234D5">
        <w:rPr>
          <w:rFonts w:ascii="Times New Roman" w:hAnsi="Times New Roman" w:cs="Times New Roman"/>
          <w:i w:val="0"/>
          <w:sz w:val="26"/>
          <w:szCs w:val="26"/>
        </w:rPr>
        <w:t>Rule 17.  Pleas of Guilty and No Contest</w:t>
      </w:r>
      <w:r w:rsidRPr="00E234D5">
        <w:rPr>
          <w:rFonts w:ascii="Times New Roman" w:hAnsi="Times New Roman" w:cs="Times New Roman"/>
          <w:i w:val="0"/>
          <w:sz w:val="26"/>
          <w:szCs w:val="26"/>
          <w:u w:val="single"/>
        </w:rPr>
        <w:t>; Submitting a Case on the Record</w:t>
      </w:r>
    </w:p>
    <w:p w:rsidR="00A11495" w:rsidRPr="00535992" w:rsidRDefault="00A11495" w:rsidP="00A11495">
      <w:pPr>
        <w:pStyle w:val="Heading3"/>
        <w:rPr>
          <w:rFonts w:ascii="Times New Roman" w:hAnsi="Times New Roman"/>
        </w:rPr>
      </w:pPr>
      <w:r w:rsidRPr="00535992">
        <w:rPr>
          <w:rFonts w:ascii="Times New Roman" w:hAnsi="Times New Roman"/>
        </w:rPr>
        <w:t>Rule 17.1.  The Defendant’s Plea</w:t>
      </w:r>
      <w:bookmarkEnd w:id="12"/>
      <w:r w:rsidRPr="00535992">
        <w:rPr>
          <w:rFonts w:ascii="Times New Roman" w:hAnsi="Times New Roman"/>
        </w:rPr>
        <w:t xml:space="preserve"> </w:t>
      </w:r>
    </w:p>
    <w:p w:rsidR="00A11495" w:rsidRPr="0052069D" w:rsidRDefault="00A11495" w:rsidP="0052069D">
      <w:pPr>
        <w:pStyle w:val="ListParagraph"/>
        <w:keepNext/>
        <w:numPr>
          <w:ilvl w:val="0"/>
          <w:numId w:val="29"/>
        </w:numPr>
        <w:spacing w:after="160" w:line="259" w:lineRule="auto"/>
        <w:rPr>
          <w:rFonts w:ascii="Times New Roman" w:hAnsi="Times New Roman"/>
          <w:b/>
          <w:bCs/>
          <w:sz w:val="26"/>
          <w:szCs w:val="26"/>
        </w:rPr>
      </w:pPr>
      <w:r w:rsidRPr="0052069D">
        <w:rPr>
          <w:rFonts w:ascii="Times New Roman" w:hAnsi="Times New Roman"/>
          <w:b/>
          <w:bCs/>
          <w:sz w:val="26"/>
          <w:szCs w:val="26"/>
        </w:rPr>
        <w:t>Limited Jurisdiction Court Alternatives for Entering a Plea.</w:t>
      </w:r>
    </w:p>
    <w:p w:rsidR="00A11495" w:rsidRPr="00A11495" w:rsidRDefault="00A11495" w:rsidP="00A11495">
      <w:pPr>
        <w:numPr>
          <w:ilvl w:val="1"/>
          <w:numId w:val="29"/>
        </w:numPr>
        <w:spacing w:after="160" w:line="259" w:lineRule="auto"/>
        <w:rPr>
          <w:rFonts w:ascii="Times New Roman" w:eastAsia="Calibri" w:hAnsi="Times New Roman"/>
          <w:b/>
          <w:bCs/>
          <w:sz w:val="26"/>
          <w:szCs w:val="26"/>
        </w:rPr>
      </w:pPr>
      <w:r w:rsidRPr="00A11495">
        <w:rPr>
          <w:rFonts w:ascii="Times New Roman" w:eastAsia="Calibri" w:hAnsi="Times New Roman"/>
          <w:b/>
          <w:bCs/>
          <w:i/>
          <w:iCs/>
          <w:sz w:val="26"/>
          <w:szCs w:val="26"/>
        </w:rPr>
        <w:t>Plea by Mail</w:t>
      </w:r>
      <w:r w:rsidRPr="00A11495">
        <w:rPr>
          <w:rFonts w:ascii="Times New Roman" w:eastAsia="Calibri" w:hAnsi="Times New Roman"/>
          <w:b/>
          <w:bCs/>
          <w:sz w:val="26"/>
          <w:szCs w:val="26"/>
        </w:rPr>
        <w:t xml:space="preserve">.   </w:t>
      </w:r>
    </w:p>
    <w:p w:rsidR="0052069D" w:rsidRPr="00960407" w:rsidRDefault="0052069D" w:rsidP="0052069D">
      <w:pPr>
        <w:pStyle w:val="ListParagraph"/>
        <w:numPr>
          <w:ilvl w:val="2"/>
          <w:numId w:val="30"/>
        </w:numPr>
        <w:spacing w:after="160" w:line="259" w:lineRule="auto"/>
        <w:rPr>
          <w:rFonts w:ascii="Times New Roman" w:hAnsi="Times New Roman"/>
          <w:sz w:val="26"/>
          <w:szCs w:val="26"/>
        </w:rPr>
      </w:pPr>
      <w:r w:rsidRPr="00960407">
        <w:rPr>
          <w:rFonts w:ascii="Times New Roman" w:hAnsi="Times New Roman"/>
          <w:i/>
          <w:iCs/>
          <w:sz w:val="26"/>
          <w:szCs w:val="26"/>
        </w:rPr>
        <w:t>Procedure.</w:t>
      </w:r>
      <w:r w:rsidRPr="00960407">
        <w:rPr>
          <w:rFonts w:ascii="Times New Roman" w:hAnsi="Times New Roman"/>
          <w:sz w:val="26"/>
          <w:szCs w:val="26"/>
        </w:rPr>
        <w:t xml:space="preserve">  The defendant must submit the plea in writing substantially in the form set forth in Rule </w:t>
      </w:r>
      <w:r w:rsidRPr="00DB66CC">
        <w:rPr>
          <w:rFonts w:ascii="Times New Roman" w:hAnsi="Times New Roman"/>
          <w:sz w:val="26"/>
          <w:szCs w:val="26"/>
          <w:u w:val="single"/>
        </w:rPr>
        <w:t>41</w:t>
      </w:r>
      <w:r w:rsidRPr="00960407">
        <w:rPr>
          <w:rFonts w:ascii="Times New Roman" w:hAnsi="Times New Roman"/>
          <w:strike/>
          <w:sz w:val="26"/>
          <w:szCs w:val="26"/>
        </w:rPr>
        <w:t>28</w:t>
      </w:r>
      <w:r w:rsidRPr="00960407">
        <w:rPr>
          <w:rFonts w:ascii="Times New Roman" w:hAnsi="Times New Roman"/>
          <w:sz w:val="26"/>
          <w:szCs w:val="26"/>
        </w:rPr>
        <w:t>, Form 28(a). The defendant must sign the plea form</w:t>
      </w:r>
      <w:r w:rsidRPr="00960407">
        <w:rPr>
          <w:rFonts w:ascii="Times New Roman" w:hAnsi="Times New Roman"/>
          <w:sz w:val="26"/>
          <w:szCs w:val="26"/>
          <w:u w:val="single"/>
        </w:rPr>
        <w:t xml:space="preserve">, </w:t>
      </w:r>
      <w:r w:rsidRPr="00DB66CC">
        <w:rPr>
          <w:rFonts w:ascii="Times New Roman" w:hAnsi="Times New Roman"/>
          <w:sz w:val="26"/>
          <w:szCs w:val="26"/>
          <w:u w:val="single"/>
        </w:rPr>
        <w:t>which must include the following</w:t>
      </w:r>
      <w:r w:rsidRPr="00960407">
        <w:rPr>
          <w:rFonts w:ascii="Times New Roman" w:hAnsi="Times New Roman"/>
          <w:sz w:val="26"/>
          <w:szCs w:val="26"/>
        </w:rPr>
        <w:t xml:space="preserve">: </w:t>
      </w:r>
      <w:r w:rsidRPr="00DB66CC">
        <w:rPr>
          <w:rFonts w:ascii="Times New Roman" w:hAnsi="Times New Roman"/>
          <w:strike/>
          <w:sz w:val="26"/>
          <w:szCs w:val="26"/>
        </w:rPr>
        <w:t>before a notary public acknowledging the defendant’s signature. The form must include the following;</w:t>
      </w:r>
    </w:p>
    <w:p w:rsidR="009C7EDC" w:rsidRPr="00A9486C" w:rsidRDefault="009C7EDC" w:rsidP="009C7EDC">
      <w:pPr>
        <w:keepNext/>
        <w:spacing w:before="240" w:after="60" w:line="259" w:lineRule="auto"/>
        <w:outlineLvl w:val="2"/>
        <w:rPr>
          <w:rFonts w:ascii="Times New Roman Bold" w:eastAsia="Times New Roman" w:hAnsi="Times New Roman Bold"/>
          <w:b/>
          <w:bCs/>
          <w:sz w:val="26"/>
          <w:szCs w:val="26"/>
        </w:rPr>
      </w:pPr>
      <w:r w:rsidRPr="00A9486C">
        <w:rPr>
          <w:rFonts w:ascii="Times New Roman Bold" w:eastAsia="Times New Roman" w:hAnsi="Times New Roman Bold"/>
          <w:sz w:val="26"/>
          <w:szCs w:val="26"/>
        </w:rPr>
        <w:t xml:space="preserve">Rule 17.7.  Submitting a Case </w:t>
      </w:r>
      <w:r w:rsidR="006F477C" w:rsidRPr="00A9486C">
        <w:rPr>
          <w:rFonts w:ascii="Times New Roman Bold" w:eastAsia="Times New Roman" w:hAnsi="Times New Roman Bold"/>
          <w:strike/>
          <w:sz w:val="26"/>
          <w:szCs w:val="26"/>
        </w:rPr>
        <w:t xml:space="preserve">to the Court </w:t>
      </w:r>
      <w:r w:rsidR="00117915" w:rsidRPr="00A9486C">
        <w:rPr>
          <w:rFonts w:ascii="Times New Roman Bold" w:eastAsia="Times New Roman" w:hAnsi="Times New Roman Bold"/>
          <w:sz w:val="26"/>
          <w:szCs w:val="26"/>
        </w:rPr>
        <w:t xml:space="preserve">on </w:t>
      </w:r>
      <w:r w:rsidR="006F477C" w:rsidRPr="00A9486C">
        <w:rPr>
          <w:rFonts w:ascii="Times New Roman Bold" w:eastAsia="Times New Roman" w:hAnsi="Times New Roman Bold"/>
          <w:strike/>
          <w:sz w:val="26"/>
          <w:szCs w:val="26"/>
        </w:rPr>
        <w:t xml:space="preserve">a Stipulated </w:t>
      </w:r>
      <w:r w:rsidR="00117915" w:rsidRPr="00A9486C">
        <w:rPr>
          <w:rFonts w:ascii="Times New Roman Bold" w:eastAsia="Times New Roman" w:hAnsi="Times New Roman Bold"/>
          <w:sz w:val="26"/>
          <w:szCs w:val="26"/>
          <w:u w:val="single"/>
        </w:rPr>
        <w:t>the</w:t>
      </w:r>
      <w:r w:rsidRPr="00A9486C">
        <w:rPr>
          <w:rFonts w:ascii="Times New Roman Bold" w:eastAsia="Times New Roman" w:hAnsi="Times New Roman Bold"/>
          <w:sz w:val="26"/>
          <w:szCs w:val="26"/>
        </w:rPr>
        <w:t xml:space="preserve"> Record</w:t>
      </w:r>
      <w:bookmarkEnd w:id="2"/>
      <w:r w:rsidRPr="00A9486C">
        <w:rPr>
          <w:rFonts w:ascii="Times New Roman Bold" w:eastAsia="Times New Roman" w:hAnsi="Times New Roman Bold"/>
          <w:b/>
          <w:bCs/>
          <w:sz w:val="26"/>
          <w:szCs w:val="26"/>
        </w:rPr>
        <w:t xml:space="preserve"> </w:t>
      </w:r>
    </w:p>
    <w:p w:rsidR="00DB66CC" w:rsidRPr="00DB66CC" w:rsidRDefault="00DB66CC" w:rsidP="00DB66CC">
      <w:pPr>
        <w:pStyle w:val="Heading3"/>
        <w:rPr>
          <w:rStyle w:val="Strong"/>
          <w:rFonts w:ascii="Times New Roman" w:hAnsi="Times New Roman" w:cs="Times New Roman"/>
          <w:b/>
          <w:bCs/>
        </w:rPr>
      </w:pPr>
      <w:bookmarkStart w:id="13" w:name="_Toc486579724"/>
      <w:r w:rsidRPr="00DB66CC">
        <w:rPr>
          <w:rStyle w:val="Strong"/>
          <w:rFonts w:ascii="Times New Roman" w:hAnsi="Times New Roman" w:cs="Times New Roman"/>
          <w:b/>
          <w:bCs/>
        </w:rPr>
        <w:t>Rule 23.1.  Form of Verdict; Sealed Verdict</w:t>
      </w:r>
      <w:bookmarkEnd w:id="13"/>
    </w:p>
    <w:p w:rsidR="00DB66CC" w:rsidRPr="00DB66CC" w:rsidRDefault="00DB66CC" w:rsidP="00DB66CC">
      <w:pPr>
        <w:pStyle w:val="ListParagraph"/>
        <w:numPr>
          <w:ilvl w:val="0"/>
          <w:numId w:val="31"/>
        </w:numPr>
        <w:spacing w:after="160" w:line="256" w:lineRule="auto"/>
        <w:rPr>
          <w:rFonts w:ascii="Times New Roman" w:hAnsi="Times New Roman"/>
          <w:sz w:val="26"/>
          <w:szCs w:val="26"/>
        </w:rPr>
      </w:pPr>
      <w:r w:rsidRPr="00DB66CC">
        <w:rPr>
          <w:rFonts w:ascii="Times New Roman" w:hAnsi="Times New Roman"/>
          <w:b/>
          <w:bCs/>
          <w:sz w:val="26"/>
          <w:szCs w:val="26"/>
        </w:rPr>
        <w:t>Form of Verdict.</w:t>
      </w:r>
      <w:r w:rsidRPr="00DB66CC">
        <w:rPr>
          <w:rFonts w:ascii="Times New Roman" w:hAnsi="Times New Roman"/>
          <w:sz w:val="26"/>
          <w:szCs w:val="26"/>
        </w:rPr>
        <w:t xml:space="preserve">  The jury’s verdict must be in writing, signed by the foreperson, and returned to the judge in open court. </w:t>
      </w:r>
      <w:r w:rsidRPr="00DB0110">
        <w:rPr>
          <w:rFonts w:ascii="Times New Roman" w:hAnsi="Times New Roman"/>
          <w:strike/>
          <w:sz w:val="26"/>
          <w:szCs w:val="26"/>
        </w:rPr>
        <w:t xml:space="preserve">The foreperson may </w:t>
      </w:r>
      <w:r w:rsidRPr="00DB0110">
        <w:rPr>
          <w:rFonts w:ascii="Times New Roman" w:hAnsi="Times New Roman"/>
          <w:strike/>
          <w:sz w:val="26"/>
          <w:szCs w:val="26"/>
          <w:u w:val="single"/>
        </w:rPr>
        <w:t>must</w:t>
      </w:r>
      <w:r w:rsidRPr="00DB0110">
        <w:rPr>
          <w:rFonts w:ascii="Times New Roman" w:hAnsi="Times New Roman"/>
          <w:strike/>
          <w:sz w:val="26"/>
          <w:szCs w:val="26"/>
        </w:rPr>
        <w:t xml:space="preserve"> sign the verdict, either by affixing his or her signature on the verdict or by writing his or her juror number and initials on the verdict. </w:t>
      </w:r>
    </w:p>
    <w:p w:rsidR="00A0339A" w:rsidRDefault="00A0339A" w:rsidP="00A0339A">
      <w:pPr>
        <w:pStyle w:val="Heading3"/>
        <w:rPr>
          <w:rStyle w:val="Strong"/>
          <w:rFonts w:ascii="Times New Roman" w:hAnsi="Times New Roman" w:cs="Times New Roman"/>
          <w:b/>
          <w:bCs/>
        </w:rPr>
      </w:pPr>
      <w:bookmarkStart w:id="14" w:name="_Toc486579743"/>
      <w:r w:rsidRPr="00A0339A">
        <w:rPr>
          <w:rStyle w:val="Strong"/>
          <w:rFonts w:ascii="Times New Roman" w:hAnsi="Times New Roman" w:cs="Times New Roman"/>
          <w:b/>
          <w:bCs/>
        </w:rPr>
        <w:t>Rule 26.10.  Pronouncing Judgment and Sentence</w:t>
      </w:r>
      <w:bookmarkEnd w:id="14"/>
    </w:p>
    <w:p w:rsidR="00A0339A" w:rsidRDefault="00A0339A" w:rsidP="00A0339A">
      <w:pPr>
        <w:numPr>
          <w:ilvl w:val="0"/>
          <w:numId w:val="31"/>
        </w:numPr>
        <w:spacing w:after="160" w:line="256" w:lineRule="auto"/>
        <w:rPr>
          <w:rFonts w:ascii="Times New Roman" w:eastAsia="Calibri" w:hAnsi="Times New Roman"/>
          <w:sz w:val="26"/>
          <w:szCs w:val="26"/>
        </w:rPr>
      </w:pPr>
      <w:r w:rsidRPr="00A0339A">
        <w:rPr>
          <w:rFonts w:ascii="Times New Roman" w:eastAsia="Calibri" w:hAnsi="Times New Roman"/>
          <w:b/>
          <w:bCs/>
          <w:sz w:val="26"/>
          <w:szCs w:val="26"/>
        </w:rPr>
        <w:t>Sentence.</w:t>
      </w:r>
      <w:r w:rsidRPr="00A0339A">
        <w:rPr>
          <w:rFonts w:ascii="Times New Roman" w:eastAsia="Calibri" w:hAnsi="Times New Roman"/>
          <w:sz w:val="26"/>
          <w:szCs w:val="26"/>
        </w:rPr>
        <w:t>  When the court pronounces sentence, it must:</w:t>
      </w:r>
    </w:p>
    <w:p w:rsidR="00A0339A" w:rsidRDefault="00A0339A" w:rsidP="00A0339A">
      <w:pPr>
        <w:pStyle w:val="ListParagraph"/>
        <w:numPr>
          <w:ilvl w:val="1"/>
          <w:numId w:val="32"/>
        </w:numPr>
        <w:spacing w:after="160" w:line="256" w:lineRule="auto"/>
        <w:rPr>
          <w:rFonts w:ascii="Times New Roman" w:hAnsi="Times New Roman"/>
          <w:sz w:val="26"/>
          <w:szCs w:val="26"/>
        </w:rPr>
      </w:pPr>
      <w:r w:rsidRPr="00DB0110">
        <w:rPr>
          <w:rFonts w:ascii="Times New Roman" w:hAnsi="Times New Roman"/>
          <w:strike/>
          <w:sz w:val="26"/>
          <w:szCs w:val="26"/>
        </w:rPr>
        <w:t xml:space="preserve">for any felony offense or a violation of A.R.S. §§ 13-1802, </w:t>
      </w:r>
      <w:r w:rsidRPr="00DB0110">
        <w:rPr>
          <w:rFonts w:ascii="Times New Roman" w:hAnsi="Times New Roman"/>
          <w:strike/>
          <w:sz w:val="26"/>
          <w:szCs w:val="26"/>
          <w:u w:val="single"/>
        </w:rPr>
        <w:t>13</w:t>
      </w:r>
      <w:r w:rsidRPr="00DB0110">
        <w:rPr>
          <w:rFonts w:ascii="Times New Roman" w:hAnsi="Times New Roman"/>
          <w:strike/>
          <w:sz w:val="26"/>
          <w:szCs w:val="26"/>
        </w:rPr>
        <w:t>-1805, 28-1381, or 28-1382</w:t>
      </w:r>
      <w:r w:rsidRPr="00A333AB">
        <w:rPr>
          <w:rFonts w:ascii="Times New Roman" w:hAnsi="Times New Roman"/>
          <w:sz w:val="26"/>
          <w:szCs w:val="26"/>
        </w:rPr>
        <w:t>, permanently affix the defendant’s right index fingerprint to the sentencing document or order</w:t>
      </w:r>
      <w:r w:rsidRPr="00A333AB">
        <w:rPr>
          <w:rFonts w:ascii="Times New Roman" w:hAnsi="Times New Roman"/>
          <w:sz w:val="26"/>
          <w:szCs w:val="26"/>
          <w:u w:val="single"/>
        </w:rPr>
        <w:t xml:space="preserve"> </w:t>
      </w:r>
      <w:r w:rsidRPr="00DB0110">
        <w:rPr>
          <w:rFonts w:ascii="Times New Roman" w:hAnsi="Times New Roman"/>
          <w:sz w:val="26"/>
          <w:szCs w:val="26"/>
          <w:u w:val="single"/>
        </w:rPr>
        <w:t>in accordance with A.R.S. § 13-607(A)</w:t>
      </w:r>
      <w:r w:rsidRPr="00A333AB">
        <w:rPr>
          <w:rFonts w:ascii="Times New Roman" w:hAnsi="Times New Roman"/>
          <w:sz w:val="26"/>
          <w:szCs w:val="26"/>
        </w:rPr>
        <w:t>; and</w:t>
      </w:r>
    </w:p>
    <w:p w:rsidR="00F36827" w:rsidRDefault="00F36827" w:rsidP="00F36827">
      <w:pPr>
        <w:keepNext/>
        <w:spacing w:before="240" w:after="60" w:line="259" w:lineRule="auto"/>
        <w:outlineLvl w:val="2"/>
        <w:rPr>
          <w:rFonts w:ascii="Times New Roman" w:eastAsia="Times New Roman" w:hAnsi="Times New Roman"/>
          <w:b/>
          <w:bCs/>
          <w:sz w:val="26"/>
          <w:szCs w:val="26"/>
        </w:rPr>
      </w:pPr>
      <w:bookmarkStart w:id="15" w:name="_Toc486579767"/>
      <w:r w:rsidRPr="00F36827">
        <w:rPr>
          <w:rFonts w:ascii="Times New Roman" w:eastAsia="Times New Roman" w:hAnsi="Times New Roman"/>
          <w:b/>
          <w:bCs/>
          <w:sz w:val="26"/>
          <w:szCs w:val="26"/>
        </w:rPr>
        <w:t>Rule 29.1.  Grounds; Notice</w:t>
      </w:r>
      <w:bookmarkEnd w:id="15"/>
    </w:p>
    <w:p w:rsidR="00F36827" w:rsidRDefault="00F36827" w:rsidP="00F36827">
      <w:pPr>
        <w:numPr>
          <w:ilvl w:val="0"/>
          <w:numId w:val="33"/>
        </w:numPr>
        <w:spacing w:after="160" w:line="256" w:lineRule="auto"/>
        <w:rPr>
          <w:rFonts w:ascii="Times New Roman" w:eastAsia="Calibri" w:hAnsi="Times New Roman"/>
          <w:sz w:val="26"/>
        </w:rPr>
      </w:pPr>
      <w:r w:rsidRPr="00F36827">
        <w:rPr>
          <w:rFonts w:ascii="Times New Roman" w:eastAsia="Calibri" w:hAnsi="Times New Roman"/>
          <w:b/>
          <w:bCs/>
          <w:sz w:val="26"/>
        </w:rPr>
        <w:t>Sex Trafficking Victims.</w:t>
      </w:r>
      <w:r w:rsidRPr="00F36827">
        <w:rPr>
          <w:rFonts w:ascii="Times New Roman" w:eastAsia="Calibri" w:hAnsi="Times New Roman"/>
          <w:sz w:val="26"/>
        </w:rPr>
        <w:t xml:space="preserve">  </w:t>
      </w:r>
      <w:r w:rsidRPr="00DB0110">
        <w:rPr>
          <w:rFonts w:ascii="Times New Roman" w:eastAsia="Calibri" w:hAnsi="Times New Roman"/>
          <w:sz w:val="26"/>
          <w:u w:val="single"/>
        </w:rPr>
        <w:t xml:space="preserve">Under A.R.S. § </w:t>
      </w:r>
      <w:r w:rsidRPr="00F36827">
        <w:rPr>
          <w:rFonts w:ascii="Times New Roman" w:eastAsia="Calibri" w:hAnsi="Times New Roman"/>
          <w:sz w:val="26"/>
          <w:u w:val="single"/>
        </w:rPr>
        <w:t>13-</w:t>
      </w:r>
      <w:r w:rsidRPr="00DB0110">
        <w:rPr>
          <w:rFonts w:ascii="Times New Roman" w:eastAsia="Calibri" w:hAnsi="Times New Roman"/>
          <w:sz w:val="26"/>
          <w:u w:val="single"/>
        </w:rPr>
        <w:t>907.01, a</w:t>
      </w:r>
      <w:r w:rsidRPr="00F36827">
        <w:rPr>
          <w:rFonts w:ascii="Times New Roman" w:eastAsia="Calibri" w:hAnsi="Times New Roman"/>
          <w:strike/>
          <w:sz w:val="26"/>
        </w:rPr>
        <w:t>A</w:t>
      </w:r>
      <w:r w:rsidRPr="00F36827">
        <w:rPr>
          <w:rFonts w:ascii="Times New Roman" w:eastAsia="Calibri" w:hAnsi="Times New Roman"/>
          <w:sz w:val="26"/>
        </w:rPr>
        <w:t xml:space="preserve"> sex trafficking victim may request the </w:t>
      </w:r>
      <w:r w:rsidRPr="00EC03B9">
        <w:rPr>
          <w:rFonts w:ascii="Times New Roman" w:eastAsia="Calibri" w:hAnsi="Times New Roman"/>
          <w:sz w:val="26"/>
          <w:u w:val="single"/>
        </w:rPr>
        <w:t>sentencing</w:t>
      </w:r>
      <w:r w:rsidRPr="00F36827">
        <w:rPr>
          <w:rFonts w:ascii="Times New Roman" w:eastAsia="Calibri" w:hAnsi="Times New Roman"/>
          <w:sz w:val="26"/>
        </w:rPr>
        <w:t xml:space="preserve"> court </w:t>
      </w:r>
      <w:r w:rsidRPr="00F36827">
        <w:rPr>
          <w:rFonts w:ascii="Times New Roman" w:eastAsia="Calibri" w:hAnsi="Times New Roman"/>
          <w:strike/>
          <w:sz w:val="26"/>
        </w:rPr>
        <w:t>that pronounced sentence</w:t>
      </w:r>
      <w:r w:rsidRPr="00F36827">
        <w:rPr>
          <w:rFonts w:ascii="Times New Roman" w:eastAsia="Calibri" w:hAnsi="Times New Roman"/>
          <w:sz w:val="26"/>
        </w:rPr>
        <w:t xml:space="preserve"> to vacate </w:t>
      </w:r>
      <w:r w:rsidRPr="00DB0110">
        <w:rPr>
          <w:rFonts w:ascii="Times New Roman" w:eastAsia="Calibri" w:hAnsi="Times New Roman"/>
          <w:sz w:val="26"/>
          <w:u w:val="single"/>
        </w:rPr>
        <w:t>the victim’s</w:t>
      </w:r>
      <w:r w:rsidRPr="00DB0110">
        <w:rPr>
          <w:rFonts w:ascii="Times New Roman" w:eastAsia="Calibri" w:hAnsi="Times New Roman"/>
          <w:strike/>
          <w:sz w:val="26"/>
        </w:rPr>
        <w:t>a</w:t>
      </w:r>
      <w:r w:rsidRPr="00F36827">
        <w:rPr>
          <w:rFonts w:ascii="Times New Roman" w:eastAsia="Calibri" w:hAnsi="Times New Roman"/>
          <w:sz w:val="26"/>
        </w:rPr>
        <w:t xml:space="preserve"> conviction under A.R.S. </w:t>
      </w:r>
      <w:r w:rsidRPr="00F36827">
        <w:rPr>
          <w:rFonts w:ascii="Times New Roman" w:eastAsia="Calibri" w:hAnsi="Times New Roman"/>
          <w:strike/>
          <w:sz w:val="26"/>
        </w:rPr>
        <w:t>§</w:t>
      </w:r>
      <w:r w:rsidRPr="00F36827">
        <w:rPr>
          <w:rFonts w:ascii="Times New Roman" w:eastAsia="Calibri" w:hAnsi="Times New Roman"/>
          <w:sz w:val="26"/>
        </w:rPr>
        <w:t>§ 13-3214</w:t>
      </w:r>
      <w:r w:rsidRPr="00F36827">
        <w:rPr>
          <w:rFonts w:ascii="Times New Roman" w:eastAsia="Calibri" w:hAnsi="Times New Roman"/>
          <w:strike/>
          <w:sz w:val="26"/>
        </w:rPr>
        <w:t> and 13-907</w:t>
      </w:r>
      <w:r w:rsidRPr="00DB0110">
        <w:rPr>
          <w:rFonts w:ascii="Times New Roman" w:eastAsia="Calibri" w:hAnsi="Times New Roman"/>
          <w:sz w:val="26"/>
          <w:u w:val="single"/>
        </w:rPr>
        <w:t xml:space="preserve">, or </w:t>
      </w:r>
      <w:r w:rsidRPr="00DB0110">
        <w:rPr>
          <w:rFonts w:ascii="Times New Roman" w:eastAsia="Calibri" w:hAnsi="Times New Roman"/>
          <w:strike/>
          <w:sz w:val="26"/>
          <w:u w:val="single"/>
        </w:rPr>
        <w:t>a</w:t>
      </w:r>
      <w:r w:rsidRPr="00F36827">
        <w:rPr>
          <w:rFonts w:ascii="Times New Roman" w:eastAsia="Calibri" w:hAnsi="Times New Roman"/>
          <w:sz w:val="26"/>
          <w:u w:val="single"/>
        </w:rPr>
        <w:t xml:space="preserve"> </w:t>
      </w:r>
      <w:r w:rsidRPr="00F36827">
        <w:rPr>
          <w:rFonts w:ascii="Times New Roman" w:eastAsia="Calibri" w:hAnsi="Times New Roman"/>
          <w:strike/>
          <w:sz w:val="26"/>
          <w:u w:val="single"/>
        </w:rPr>
        <w:t>conviction</w:t>
      </w:r>
      <w:r w:rsidRPr="00DB0110">
        <w:rPr>
          <w:rFonts w:ascii="Times New Roman" w:eastAsia="Calibri" w:hAnsi="Times New Roman"/>
          <w:sz w:val="26"/>
          <w:u w:val="single"/>
        </w:rPr>
        <w:t xml:space="preserve"> </w:t>
      </w:r>
      <w:r w:rsidRPr="00F36827">
        <w:rPr>
          <w:rFonts w:ascii="Times New Roman" w:eastAsia="Calibri" w:hAnsi="Times New Roman"/>
          <w:strike/>
          <w:sz w:val="26"/>
          <w:u w:val="single"/>
        </w:rPr>
        <w:t>under</w:t>
      </w:r>
      <w:r w:rsidRPr="00DB0110">
        <w:rPr>
          <w:rFonts w:ascii="Times New Roman" w:eastAsia="Calibri" w:hAnsi="Times New Roman"/>
          <w:sz w:val="26"/>
          <w:u w:val="single"/>
        </w:rPr>
        <w:t xml:space="preserve"> a city or town ordinance that has the same or substantially similar elements,</w:t>
      </w:r>
      <w:r w:rsidRPr="00F36827">
        <w:rPr>
          <w:rFonts w:ascii="Times New Roman" w:eastAsia="Calibri" w:hAnsi="Times New Roman"/>
          <w:sz w:val="26"/>
        </w:rPr>
        <w:t xml:space="preserve"> if the offense was committed before July 24, 2014.</w:t>
      </w:r>
    </w:p>
    <w:p w:rsidR="00DB0110" w:rsidRPr="00535992" w:rsidRDefault="00DB0110" w:rsidP="00DB0110">
      <w:pPr>
        <w:pStyle w:val="Heading3"/>
        <w:rPr>
          <w:rFonts w:ascii="Times New Roman" w:hAnsi="Times New Roman"/>
        </w:rPr>
      </w:pPr>
      <w:bookmarkStart w:id="16" w:name="_Toc486579778"/>
      <w:r w:rsidRPr="00535992">
        <w:rPr>
          <w:rFonts w:ascii="Times New Roman" w:hAnsi="Times New Roman"/>
        </w:rPr>
        <w:t>Rule 31.3.  Suspension of These Rules; Suspension of an Appeal; Computation of Time; Modifying a Deadline</w:t>
      </w:r>
      <w:bookmarkEnd w:id="16"/>
    </w:p>
    <w:p w:rsidR="00770C41" w:rsidRDefault="00770C41" w:rsidP="00770C41">
      <w:pPr>
        <w:numPr>
          <w:ilvl w:val="0"/>
          <w:numId w:val="34"/>
        </w:numPr>
        <w:spacing w:after="160" w:line="259" w:lineRule="auto"/>
        <w:rPr>
          <w:rFonts w:ascii="Times New Roman" w:eastAsia="Calibri" w:hAnsi="Times New Roman"/>
          <w:sz w:val="26"/>
        </w:rPr>
      </w:pPr>
      <w:r w:rsidRPr="00770C41">
        <w:rPr>
          <w:rFonts w:ascii="Times New Roman" w:eastAsia="Calibri" w:hAnsi="Times New Roman"/>
          <w:b/>
          <w:bCs/>
          <w:sz w:val="26"/>
        </w:rPr>
        <w:t>Modifying a Deadline.</w:t>
      </w:r>
      <w:r w:rsidRPr="00770C41">
        <w:rPr>
          <w:rFonts w:ascii="Times New Roman" w:eastAsia="Calibri" w:hAnsi="Times New Roman"/>
          <w:sz w:val="26"/>
        </w:rPr>
        <w:t xml:space="preserve">  A party seeking to modify a deadline in the appellate court must obtain an appellate court order authorizing the modified deadline. </w:t>
      </w:r>
      <w:r w:rsidRPr="00770C41">
        <w:rPr>
          <w:rFonts w:ascii="Times New Roman" w:eastAsia="Calibri" w:hAnsi="Times New Roman"/>
          <w:strike/>
          <w:sz w:val="26"/>
        </w:rPr>
        <w:t xml:space="preserve">An appellate court </w:t>
      </w:r>
      <w:r w:rsidRPr="00770C41">
        <w:rPr>
          <w:rFonts w:ascii="Times New Roman" w:eastAsia="Calibri" w:hAnsi="Times New Roman"/>
          <w:sz w:val="26"/>
          <w:u w:val="single"/>
        </w:rPr>
        <w:t>F</w:t>
      </w:r>
      <w:r w:rsidRPr="00770C41">
        <w:rPr>
          <w:rFonts w:ascii="Times New Roman" w:eastAsia="Calibri" w:hAnsi="Times New Roman"/>
          <w:strike/>
          <w:sz w:val="26"/>
        </w:rPr>
        <w:t>f</w:t>
      </w:r>
      <w:r w:rsidRPr="00770C41">
        <w:rPr>
          <w:rFonts w:ascii="Times New Roman" w:eastAsia="Calibri" w:hAnsi="Times New Roman"/>
          <w:sz w:val="26"/>
        </w:rPr>
        <w:t xml:space="preserve">or good cause </w:t>
      </w:r>
      <w:r w:rsidRPr="00770C41">
        <w:rPr>
          <w:rFonts w:ascii="Times New Roman" w:eastAsia="Calibri" w:hAnsi="Times New Roman"/>
          <w:sz w:val="26"/>
          <w:u w:val="single"/>
        </w:rPr>
        <w:t>and after considering the rights of the victim, an appellate court</w:t>
      </w:r>
      <w:r w:rsidRPr="00770C41">
        <w:rPr>
          <w:rFonts w:ascii="Times New Roman" w:eastAsia="Calibri" w:hAnsi="Times New Roman"/>
          <w:sz w:val="26"/>
        </w:rPr>
        <w:t xml:space="preserve"> may shorten or extend the time for doing any act required by Rule 31, a court order, or an applicable statute.  </w:t>
      </w:r>
    </w:p>
    <w:p w:rsidR="00B37C05" w:rsidRPr="00535992" w:rsidRDefault="00B37C05" w:rsidP="00B37C05">
      <w:pPr>
        <w:pStyle w:val="Heading3"/>
        <w:rPr>
          <w:rFonts w:ascii="Times New Roman" w:hAnsi="Times New Roman"/>
        </w:rPr>
      </w:pPr>
      <w:bookmarkStart w:id="17" w:name="_Toc486579785"/>
      <w:r w:rsidRPr="00535992">
        <w:rPr>
          <w:rFonts w:ascii="Times New Roman" w:hAnsi="Times New Roman"/>
        </w:rPr>
        <w:t>Rule 31.9.  Transmission of the Record to the Appellate Court</w:t>
      </w:r>
      <w:bookmarkEnd w:id="17"/>
    </w:p>
    <w:p w:rsidR="002A17B1" w:rsidRPr="002A17B1" w:rsidRDefault="002A17B1" w:rsidP="002A17B1">
      <w:pPr>
        <w:keepNext/>
        <w:numPr>
          <w:ilvl w:val="0"/>
          <w:numId w:val="35"/>
        </w:numPr>
        <w:spacing w:after="160" w:line="259" w:lineRule="auto"/>
        <w:rPr>
          <w:rFonts w:ascii="Times New Roman" w:eastAsia="Calibri" w:hAnsi="Times New Roman"/>
          <w:sz w:val="26"/>
        </w:rPr>
      </w:pPr>
      <w:r w:rsidRPr="002A17B1">
        <w:rPr>
          <w:rFonts w:ascii="Times New Roman" w:eastAsia="Calibri" w:hAnsi="Times New Roman"/>
          <w:b/>
          <w:bCs/>
          <w:sz w:val="26"/>
        </w:rPr>
        <w:t xml:space="preserve">Electronic Transmission by the Superior Court Clerk. </w:t>
      </w:r>
    </w:p>
    <w:p w:rsidR="002A17B1" w:rsidRDefault="002A17B1" w:rsidP="002A17B1">
      <w:pPr>
        <w:pStyle w:val="ListParagraph"/>
        <w:numPr>
          <w:ilvl w:val="1"/>
          <w:numId w:val="36"/>
        </w:numPr>
        <w:spacing w:after="160" w:line="259" w:lineRule="auto"/>
        <w:rPr>
          <w:rFonts w:ascii="Times New Roman" w:hAnsi="Times New Roman"/>
          <w:sz w:val="24"/>
          <w:szCs w:val="24"/>
        </w:rPr>
      </w:pPr>
      <w:r w:rsidRPr="002A17B1">
        <w:rPr>
          <w:rFonts w:ascii="Times New Roman" w:hAnsi="Times New Roman"/>
          <w:b/>
          <w:bCs/>
          <w:i/>
          <w:iCs/>
          <w:sz w:val="24"/>
          <w:szCs w:val="24"/>
        </w:rPr>
        <w:t>Extension and Reduction of Time.</w:t>
      </w:r>
      <w:r w:rsidRPr="002A17B1">
        <w:rPr>
          <w:rFonts w:ascii="Times New Roman" w:hAnsi="Times New Roman"/>
          <w:sz w:val="24"/>
          <w:szCs w:val="24"/>
        </w:rPr>
        <w:t xml:space="preserve">  For good cause </w:t>
      </w:r>
      <w:r w:rsidRPr="002A17B1">
        <w:rPr>
          <w:rFonts w:ascii="Times New Roman" w:hAnsi="Times New Roman"/>
          <w:sz w:val="24"/>
          <w:szCs w:val="24"/>
          <w:u w:val="single"/>
        </w:rPr>
        <w:t>and after considering the rights of the victim</w:t>
      </w:r>
      <w:r w:rsidRPr="002A17B1">
        <w:rPr>
          <w:rFonts w:ascii="Times New Roman" w:hAnsi="Times New Roman"/>
          <w:sz w:val="24"/>
          <w:szCs w:val="24"/>
        </w:rPr>
        <w:t>, the appellate court may grant one 20-day extension for transmitting the record on appeal. The appellate court also may order the superior court clerk to transmit the electronic record, or a portion of the record, at an earlier time or it may order physical transmission of the entire record or portions of the record under (d). The appellate clerk must distribute a copy of any order entered under this rule to the parties, the superior court clerk, and to the requesting authorized transcriber.</w:t>
      </w:r>
    </w:p>
    <w:p w:rsidR="00DE7050" w:rsidRDefault="00DE7050" w:rsidP="00DE7050">
      <w:pPr>
        <w:pStyle w:val="Heading3"/>
        <w:rPr>
          <w:rFonts w:ascii="Times New Roman" w:hAnsi="Times New Roman" w:cs="Times New Roman"/>
        </w:rPr>
      </w:pPr>
      <w:r w:rsidRPr="00DE7050">
        <w:rPr>
          <w:rFonts w:ascii="Times New Roman" w:hAnsi="Times New Roman" w:cs="Times New Roman"/>
        </w:rPr>
        <w:t>Rule 32.4.  Filing of Notice and Petition, and Other Initial Proceedings</w:t>
      </w:r>
    </w:p>
    <w:p w:rsidR="00DE7050" w:rsidRPr="00DE7050" w:rsidRDefault="00DE7050" w:rsidP="00DE7050">
      <w:pPr>
        <w:numPr>
          <w:ilvl w:val="0"/>
          <w:numId w:val="37"/>
        </w:numPr>
        <w:spacing w:after="160" w:line="259" w:lineRule="auto"/>
        <w:rPr>
          <w:rFonts w:ascii="Times New Roman" w:eastAsia="Calibri" w:hAnsi="Times New Roman"/>
          <w:b/>
          <w:sz w:val="26"/>
          <w:szCs w:val="23"/>
        </w:rPr>
      </w:pPr>
      <w:r w:rsidRPr="00DE7050">
        <w:rPr>
          <w:rFonts w:ascii="Times New Roman" w:eastAsia="Calibri" w:hAnsi="Times New Roman"/>
          <w:b/>
          <w:sz w:val="26"/>
        </w:rPr>
        <w:t>Time for Filing a Petition for Post-Conviction Relief.</w:t>
      </w:r>
    </w:p>
    <w:p w:rsidR="00F534A6" w:rsidRDefault="00DE7050" w:rsidP="00F534A6">
      <w:pPr>
        <w:pStyle w:val="ListParagraph"/>
        <w:numPr>
          <w:ilvl w:val="1"/>
          <w:numId w:val="37"/>
        </w:numPr>
        <w:spacing w:after="160" w:line="259" w:lineRule="auto"/>
        <w:rPr>
          <w:rFonts w:ascii="Times New Roman" w:eastAsia="Calibri" w:hAnsi="Times New Roman"/>
          <w:b/>
          <w:i/>
          <w:sz w:val="26"/>
        </w:rPr>
      </w:pPr>
      <w:r w:rsidRPr="00F534A6">
        <w:rPr>
          <w:rFonts w:ascii="Times New Roman" w:eastAsia="Calibri" w:hAnsi="Times New Roman"/>
          <w:b/>
          <w:i/>
          <w:sz w:val="26"/>
        </w:rPr>
        <w:t>Capital Cases.</w:t>
      </w:r>
    </w:p>
    <w:p w:rsidR="00DE7050" w:rsidRPr="00F534A6" w:rsidRDefault="00F534A6" w:rsidP="00F534A6">
      <w:pPr>
        <w:pStyle w:val="ListParagraph"/>
        <w:numPr>
          <w:ilvl w:val="2"/>
          <w:numId w:val="38"/>
        </w:numPr>
        <w:spacing w:after="160" w:line="259" w:lineRule="auto"/>
        <w:rPr>
          <w:rFonts w:ascii="Times New Roman" w:eastAsia="Calibri" w:hAnsi="Times New Roman"/>
          <w:b/>
          <w:i/>
          <w:sz w:val="26"/>
        </w:rPr>
      </w:pPr>
      <w:r w:rsidRPr="00F534A6">
        <w:rPr>
          <w:rFonts w:ascii="Times New Roman" w:eastAsia="Calibri" w:hAnsi="Times New Roman"/>
          <w:i/>
          <w:sz w:val="26"/>
        </w:rPr>
        <w:t>Time Extensions.</w:t>
      </w:r>
      <w:r w:rsidRPr="00F534A6">
        <w:rPr>
          <w:rFonts w:ascii="Times New Roman" w:eastAsia="Calibri" w:hAnsi="Times New Roman"/>
          <w:sz w:val="26"/>
        </w:rPr>
        <w:t xml:space="preserve">  For good cause, the court may grant a capital defendant one 60-day extension in which to file a petition. </w:t>
      </w:r>
      <w:r w:rsidRPr="00F534A6">
        <w:rPr>
          <w:rFonts w:ascii="Times New Roman" w:eastAsia="Calibri" w:hAnsi="Times New Roman"/>
          <w:strike/>
          <w:sz w:val="26"/>
        </w:rPr>
        <w:t>The</w:t>
      </w:r>
      <w:r w:rsidRPr="00F534A6">
        <w:rPr>
          <w:rFonts w:ascii="Times New Roman" w:eastAsia="Calibri" w:hAnsi="Times New Roman"/>
          <w:sz w:val="26"/>
          <w:u w:val="single"/>
        </w:rPr>
        <w:t>For good cause and after considering the rights of the victim, the</w:t>
      </w:r>
      <w:r w:rsidRPr="00F534A6">
        <w:rPr>
          <w:rFonts w:ascii="Times New Roman" w:eastAsia="Calibri" w:hAnsi="Times New Roman"/>
          <w:sz w:val="26"/>
        </w:rPr>
        <w:t xml:space="preserve"> court may grant additional 30-day extensions for good cause.  </w:t>
      </w:r>
      <w:r w:rsidR="00DE7050" w:rsidRPr="00F534A6">
        <w:rPr>
          <w:rFonts w:ascii="Times New Roman" w:eastAsia="Calibri" w:hAnsi="Times New Roman"/>
          <w:sz w:val="26"/>
        </w:rPr>
        <w:t xml:space="preserve">   </w:t>
      </w:r>
    </w:p>
    <w:p w:rsidR="00F534A6" w:rsidRPr="00F534A6" w:rsidRDefault="00F534A6" w:rsidP="00F534A6">
      <w:pPr>
        <w:pStyle w:val="ListParagraph"/>
        <w:numPr>
          <w:ilvl w:val="1"/>
          <w:numId w:val="38"/>
        </w:numPr>
        <w:spacing w:after="160" w:line="259" w:lineRule="auto"/>
        <w:rPr>
          <w:rFonts w:ascii="Times New Roman" w:hAnsi="Times New Roman"/>
          <w:b/>
          <w:sz w:val="26"/>
          <w:szCs w:val="26"/>
        </w:rPr>
      </w:pPr>
      <w:r w:rsidRPr="00F534A6">
        <w:rPr>
          <w:rFonts w:ascii="Times New Roman" w:hAnsi="Times New Roman"/>
          <w:b/>
          <w:i/>
          <w:sz w:val="26"/>
          <w:szCs w:val="26"/>
        </w:rPr>
        <w:t>Noncapital Cases.</w:t>
      </w:r>
      <w:r w:rsidRPr="00F534A6">
        <w:rPr>
          <w:rFonts w:ascii="Times New Roman" w:hAnsi="Times New Roman"/>
          <w:i/>
          <w:sz w:val="26"/>
          <w:szCs w:val="26"/>
        </w:rPr>
        <w:t xml:space="preserve"> </w:t>
      </w:r>
    </w:p>
    <w:p w:rsidR="00F534A6" w:rsidRPr="00F534A6" w:rsidRDefault="00F534A6" w:rsidP="00F534A6">
      <w:pPr>
        <w:pStyle w:val="ListParagraph"/>
        <w:numPr>
          <w:ilvl w:val="2"/>
          <w:numId w:val="39"/>
        </w:numPr>
        <w:spacing w:after="160" w:line="259" w:lineRule="auto"/>
        <w:rPr>
          <w:rFonts w:ascii="Times New Roman" w:hAnsi="Times New Roman"/>
          <w:b/>
          <w:sz w:val="26"/>
          <w:szCs w:val="26"/>
        </w:rPr>
      </w:pPr>
      <w:r w:rsidRPr="00F534A6">
        <w:rPr>
          <w:rFonts w:ascii="Times New Roman" w:hAnsi="Times New Roman"/>
          <w:i/>
          <w:sz w:val="26"/>
          <w:szCs w:val="26"/>
        </w:rPr>
        <w:t>Time Extensions.</w:t>
      </w:r>
      <w:r w:rsidRPr="00F534A6">
        <w:rPr>
          <w:rFonts w:ascii="Times New Roman" w:hAnsi="Times New Roman"/>
          <w:sz w:val="26"/>
          <w:szCs w:val="26"/>
        </w:rPr>
        <w:t xml:space="preserve">  For good cause </w:t>
      </w:r>
      <w:r w:rsidRPr="00493B85">
        <w:rPr>
          <w:rFonts w:ascii="Times New Roman" w:hAnsi="Times New Roman"/>
          <w:sz w:val="26"/>
          <w:szCs w:val="26"/>
          <w:u w:val="single"/>
        </w:rPr>
        <w:t>and after considering the rights of the victim</w:t>
      </w:r>
      <w:r w:rsidRPr="00F534A6">
        <w:rPr>
          <w:rFonts w:ascii="Times New Roman" w:hAnsi="Times New Roman"/>
          <w:sz w:val="26"/>
          <w:szCs w:val="26"/>
        </w:rPr>
        <w:t>, the court may grant a defendant in a noncapital case a 30-day extension to file the petition. The court may grant additional 30-day extensions only on a showing of extraordinary circumstances.</w:t>
      </w:r>
    </w:p>
    <w:p w:rsidR="00493159" w:rsidRDefault="00493159" w:rsidP="00493159">
      <w:pPr>
        <w:pStyle w:val="Heading3"/>
        <w:rPr>
          <w:rStyle w:val="Strong"/>
          <w:rFonts w:ascii="Times New Roman" w:hAnsi="Times New Roman" w:cs="Times New Roman"/>
          <w:b/>
        </w:rPr>
      </w:pPr>
      <w:bookmarkStart w:id="18" w:name="_Toc486579808"/>
      <w:r w:rsidRPr="00493159">
        <w:rPr>
          <w:rStyle w:val="Strong"/>
          <w:rFonts w:ascii="Times New Roman" w:hAnsi="Times New Roman" w:cs="Times New Roman"/>
          <w:b/>
        </w:rPr>
        <w:t>Rule 32.6.  Response and Reply; Amendments; Review</w:t>
      </w:r>
      <w:bookmarkEnd w:id="18"/>
    </w:p>
    <w:p w:rsidR="00493159" w:rsidRPr="00493159" w:rsidRDefault="00493159" w:rsidP="00493159">
      <w:pPr>
        <w:numPr>
          <w:ilvl w:val="0"/>
          <w:numId w:val="40"/>
        </w:numPr>
        <w:spacing w:after="160" w:line="259" w:lineRule="auto"/>
        <w:rPr>
          <w:rFonts w:ascii="Times New Roman" w:eastAsia="Calibri" w:hAnsi="Times New Roman"/>
          <w:sz w:val="26"/>
        </w:rPr>
      </w:pPr>
      <w:r w:rsidRPr="00493159">
        <w:rPr>
          <w:rFonts w:ascii="Times New Roman" w:eastAsia="Calibri" w:hAnsi="Times New Roman"/>
          <w:b/>
          <w:bCs/>
          <w:sz w:val="26"/>
        </w:rPr>
        <w:t>State’s Response.</w:t>
      </w:r>
      <w:r w:rsidRPr="00493159">
        <w:rPr>
          <w:rFonts w:ascii="Times New Roman" w:eastAsia="Calibri" w:hAnsi="Times New Roman"/>
          <w:sz w:val="26"/>
        </w:rPr>
        <w:t xml:space="preserve">  The State must file its response no later than 45 days after the defendant files the petition. The court may grant the State a 30-day extension to file its response for good cause, and may grant the State additional extensions </w:t>
      </w:r>
      <w:r w:rsidRPr="00493159">
        <w:rPr>
          <w:rFonts w:ascii="Times New Roman" w:eastAsia="Calibri" w:hAnsi="Times New Roman"/>
          <w:strike/>
          <w:sz w:val="26"/>
        </w:rPr>
        <w:t>only</w:t>
      </w:r>
      <w:r w:rsidRPr="00493159">
        <w:rPr>
          <w:rFonts w:ascii="Times New Roman" w:eastAsia="Calibri" w:hAnsi="Times New Roman"/>
          <w:sz w:val="26"/>
        </w:rPr>
        <w:t xml:space="preserve"> on a showing of extraordinary circumstances </w:t>
      </w:r>
      <w:r w:rsidRPr="00493159">
        <w:rPr>
          <w:rFonts w:ascii="Times New Roman" w:eastAsia="Calibri" w:hAnsi="Times New Roman"/>
          <w:sz w:val="26"/>
          <w:u w:val="single"/>
        </w:rPr>
        <w:t>and after considering the rights of the victim</w:t>
      </w:r>
      <w:r w:rsidRPr="00493159">
        <w:rPr>
          <w:rFonts w:ascii="Times New Roman" w:eastAsia="Calibri" w:hAnsi="Times New Roman"/>
          <w:sz w:val="26"/>
        </w:rPr>
        <w:t xml:space="preserve">. The State’s response must include a memorandum that contains citations to relevant portions of the record and to relevant legal authorities, and must attach any affidavits, records, or other evidence that contradicts the petition’s allegations.  </w:t>
      </w:r>
    </w:p>
    <w:p w:rsidR="00493159" w:rsidRPr="00026284" w:rsidRDefault="00775070" w:rsidP="00026284">
      <w:pPr>
        <w:pStyle w:val="Heading3"/>
        <w:rPr>
          <w:rFonts w:ascii="Times New Roman" w:hAnsi="Times New Roman" w:cs="Times New Roman"/>
        </w:rPr>
      </w:pPr>
      <w:r w:rsidRPr="00026284">
        <w:rPr>
          <w:rFonts w:ascii="Times New Roman" w:hAnsi="Times New Roman" w:cs="Times New Roman"/>
        </w:rPr>
        <w:t>Rule 39.  Victims’ Rights</w:t>
      </w:r>
    </w:p>
    <w:p w:rsidR="00775070" w:rsidRPr="00775070" w:rsidRDefault="00775070" w:rsidP="00550A27">
      <w:pPr>
        <w:numPr>
          <w:ilvl w:val="0"/>
          <w:numId w:val="46"/>
        </w:numPr>
        <w:spacing w:after="160" w:line="259" w:lineRule="auto"/>
        <w:rPr>
          <w:rFonts w:ascii="Times New Roman" w:eastAsia="Calibri" w:hAnsi="Times New Roman"/>
          <w:b/>
          <w:sz w:val="26"/>
          <w:szCs w:val="23"/>
        </w:rPr>
      </w:pPr>
      <w:r w:rsidRPr="00775070">
        <w:rPr>
          <w:rFonts w:ascii="Times New Roman" w:eastAsia="Calibri" w:hAnsi="Times New Roman"/>
          <w:b/>
          <w:sz w:val="26"/>
        </w:rPr>
        <w:t>Assistance and Representation.</w:t>
      </w:r>
    </w:p>
    <w:p w:rsidR="00775070" w:rsidRPr="00775070" w:rsidRDefault="00775070" w:rsidP="005D2586">
      <w:pPr>
        <w:pStyle w:val="ListParagraph"/>
        <w:numPr>
          <w:ilvl w:val="1"/>
          <w:numId w:val="42"/>
        </w:numPr>
        <w:spacing w:after="160" w:line="259" w:lineRule="auto"/>
        <w:rPr>
          <w:rFonts w:ascii="Times New Roman" w:hAnsi="Times New Roman"/>
          <w:sz w:val="26"/>
          <w:szCs w:val="26"/>
        </w:rPr>
      </w:pPr>
      <w:r w:rsidRPr="00775070">
        <w:rPr>
          <w:rFonts w:ascii="Times New Roman" w:hAnsi="Times New Roman"/>
          <w:b/>
          <w:i/>
          <w:sz w:val="26"/>
          <w:szCs w:val="26"/>
        </w:rPr>
        <w:t>Conflicts.</w:t>
      </w:r>
      <w:r w:rsidRPr="00775070">
        <w:rPr>
          <w:rFonts w:ascii="Times New Roman" w:hAnsi="Times New Roman"/>
          <w:sz w:val="26"/>
          <w:szCs w:val="26"/>
        </w:rPr>
        <w:t xml:space="preserve">  If any conflict arises between the prosecutor and a victim in asserting the victim’s rights, the prosecutor must advise the victim of the right to seek independent legal counsel and provide contact information </w:t>
      </w:r>
      <w:r w:rsidRPr="00F90028">
        <w:rPr>
          <w:rFonts w:ascii="Times New Roman" w:hAnsi="Times New Roman"/>
          <w:sz w:val="26"/>
          <w:szCs w:val="26"/>
          <w:u w:val="single"/>
        </w:rPr>
        <w:t>for</w:t>
      </w:r>
      <w:r w:rsidRPr="00F90028">
        <w:rPr>
          <w:rFonts w:ascii="Times New Roman" w:hAnsi="Times New Roman"/>
          <w:strike/>
          <w:sz w:val="26"/>
          <w:szCs w:val="26"/>
        </w:rPr>
        <w:t>to</w:t>
      </w:r>
      <w:r w:rsidRPr="00775070">
        <w:rPr>
          <w:rFonts w:ascii="Times New Roman" w:hAnsi="Times New Roman"/>
          <w:sz w:val="26"/>
          <w:szCs w:val="26"/>
        </w:rPr>
        <w:t xml:space="preserve"> the appropriate state or local bar association</w:t>
      </w:r>
      <w:r w:rsidR="00F90028">
        <w:rPr>
          <w:rFonts w:ascii="Times New Roman" w:hAnsi="Times New Roman"/>
          <w:sz w:val="26"/>
          <w:szCs w:val="26"/>
        </w:rPr>
        <w:t xml:space="preserve"> </w:t>
      </w:r>
      <w:r w:rsidRPr="00F90028">
        <w:rPr>
          <w:rFonts w:ascii="Times New Roman" w:hAnsi="Times New Roman"/>
          <w:strike/>
          <w:sz w:val="26"/>
          <w:szCs w:val="26"/>
        </w:rPr>
        <w:t>for referral to a lawyer</w:t>
      </w:r>
      <w:r w:rsidRPr="00F90028">
        <w:rPr>
          <w:rFonts w:ascii="Times New Roman" w:hAnsi="Times New Roman"/>
          <w:strike/>
          <w:sz w:val="26"/>
          <w:szCs w:val="26"/>
          <w:u w:val="single"/>
        </w:rPr>
        <w:t xml:space="preserve"> or the Attorney General’s Victims’ Rights Program</w:t>
      </w:r>
      <w:r w:rsidRPr="00775070">
        <w:rPr>
          <w:rFonts w:ascii="Times New Roman" w:hAnsi="Times New Roman"/>
          <w:sz w:val="26"/>
          <w:szCs w:val="26"/>
        </w:rPr>
        <w:t>.</w:t>
      </w:r>
    </w:p>
    <w:p w:rsidR="00775070" w:rsidRPr="00775070" w:rsidRDefault="00775070" w:rsidP="00775070">
      <w:pPr>
        <w:spacing w:after="160" w:line="259" w:lineRule="auto"/>
        <w:rPr>
          <w:rFonts w:ascii="Times New Roman" w:eastAsia="Calibri" w:hAnsi="Times New Roman"/>
          <w:b/>
          <w:sz w:val="26"/>
          <w:szCs w:val="23"/>
        </w:rPr>
      </w:pPr>
    </w:p>
    <w:p w:rsidR="00775070" w:rsidRPr="00775070" w:rsidRDefault="00775070" w:rsidP="00493159">
      <w:pPr>
        <w:rPr>
          <w:rFonts w:ascii="Times New Roman" w:hAnsi="Times New Roman"/>
          <w:b/>
          <w:sz w:val="26"/>
          <w:szCs w:val="26"/>
        </w:rPr>
      </w:pPr>
    </w:p>
    <w:p w:rsidR="00F534A6" w:rsidRPr="00493159" w:rsidRDefault="00F534A6" w:rsidP="00493159">
      <w:pPr>
        <w:spacing w:after="160" w:line="259" w:lineRule="auto"/>
        <w:rPr>
          <w:rFonts w:ascii="Times New Roman" w:eastAsia="Calibri" w:hAnsi="Times New Roman"/>
          <w:b/>
          <w:i/>
          <w:sz w:val="26"/>
        </w:rPr>
      </w:pPr>
    </w:p>
    <w:p w:rsidR="00DE7050" w:rsidRPr="00DE7050" w:rsidRDefault="00DE7050" w:rsidP="00DE7050"/>
    <w:p w:rsidR="002A17B1" w:rsidRPr="002A17B1" w:rsidRDefault="002A17B1" w:rsidP="002A17B1">
      <w:pPr>
        <w:keepNext/>
        <w:spacing w:after="160" w:line="259" w:lineRule="auto"/>
        <w:rPr>
          <w:rFonts w:ascii="Times New Roman" w:eastAsia="Calibri" w:hAnsi="Times New Roman"/>
          <w:sz w:val="26"/>
        </w:rPr>
      </w:pPr>
      <w:r w:rsidRPr="002A17B1">
        <w:rPr>
          <w:rFonts w:ascii="Times New Roman" w:eastAsia="Calibri" w:hAnsi="Times New Roman"/>
          <w:b/>
          <w:bCs/>
          <w:sz w:val="26"/>
        </w:rPr>
        <w:t xml:space="preserve"> </w:t>
      </w:r>
    </w:p>
    <w:p w:rsidR="00B37C05" w:rsidRPr="00770C41" w:rsidRDefault="00B37C05" w:rsidP="00B37C05">
      <w:pPr>
        <w:spacing w:after="160" w:line="259" w:lineRule="auto"/>
        <w:rPr>
          <w:rFonts w:ascii="Times New Roman" w:eastAsia="Calibri" w:hAnsi="Times New Roman"/>
          <w:sz w:val="26"/>
        </w:rPr>
      </w:pPr>
    </w:p>
    <w:p w:rsidR="00DB0110" w:rsidRPr="00F36827" w:rsidRDefault="00DB0110" w:rsidP="00DB0110">
      <w:pPr>
        <w:spacing w:after="160" w:line="256" w:lineRule="auto"/>
        <w:rPr>
          <w:rFonts w:ascii="Times New Roman" w:eastAsia="Calibri" w:hAnsi="Times New Roman"/>
          <w:sz w:val="26"/>
        </w:rPr>
      </w:pPr>
    </w:p>
    <w:p w:rsidR="00F36827" w:rsidRPr="00F36827" w:rsidRDefault="00F36827" w:rsidP="00F36827">
      <w:pPr>
        <w:keepNext/>
        <w:spacing w:before="240" w:after="60" w:line="259" w:lineRule="auto"/>
        <w:outlineLvl w:val="2"/>
        <w:rPr>
          <w:rFonts w:ascii="Times New Roman" w:eastAsia="Times New Roman" w:hAnsi="Times New Roman"/>
          <w:b/>
          <w:bCs/>
          <w:sz w:val="26"/>
          <w:szCs w:val="26"/>
        </w:rPr>
      </w:pPr>
    </w:p>
    <w:p w:rsidR="00F36827" w:rsidRPr="00F36827" w:rsidRDefault="00F36827" w:rsidP="00F36827">
      <w:pPr>
        <w:spacing w:after="160" w:line="256" w:lineRule="auto"/>
        <w:rPr>
          <w:rFonts w:ascii="Times New Roman" w:hAnsi="Times New Roman"/>
          <w:sz w:val="26"/>
          <w:szCs w:val="26"/>
        </w:rPr>
      </w:pPr>
    </w:p>
    <w:p w:rsidR="00A0339A" w:rsidRPr="00A0339A" w:rsidRDefault="00A0339A" w:rsidP="00F36827">
      <w:pPr>
        <w:spacing w:after="160" w:line="256" w:lineRule="auto"/>
        <w:rPr>
          <w:rFonts w:ascii="Times New Roman" w:eastAsia="Calibri" w:hAnsi="Times New Roman"/>
          <w:sz w:val="26"/>
          <w:szCs w:val="26"/>
        </w:rPr>
      </w:pPr>
    </w:p>
    <w:p w:rsidR="00A0339A" w:rsidRPr="00A0339A" w:rsidRDefault="00A0339A" w:rsidP="00A0339A"/>
    <w:p w:rsidR="00DB66CC" w:rsidRPr="009C7EDC" w:rsidRDefault="00DB66CC" w:rsidP="00DB66CC">
      <w:pPr>
        <w:spacing w:after="160" w:line="259" w:lineRule="auto"/>
        <w:rPr>
          <w:rFonts w:ascii="Times New Roman" w:eastAsia="Calibri" w:hAnsi="Times New Roman"/>
          <w:sz w:val="26"/>
          <w:u w:val="single"/>
        </w:rPr>
      </w:pPr>
    </w:p>
    <w:p w:rsidR="009C7EDC" w:rsidRDefault="009C7EDC"/>
    <w:sectPr w:rsidR="009C7E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F9" w:rsidRDefault="00223DF9" w:rsidP="00352CB5">
      <w:r>
        <w:separator/>
      </w:r>
    </w:p>
  </w:endnote>
  <w:endnote w:type="continuationSeparator" w:id="0">
    <w:p w:rsidR="00223DF9" w:rsidRDefault="00223DF9" w:rsidP="003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577052"/>
      <w:docPartObj>
        <w:docPartGallery w:val="Page Numbers (Bottom of Page)"/>
        <w:docPartUnique/>
      </w:docPartObj>
    </w:sdtPr>
    <w:sdtEndPr>
      <w:rPr>
        <w:rFonts w:ascii="Times New Roman" w:hAnsi="Times New Roman"/>
        <w:noProof/>
        <w:sz w:val="24"/>
      </w:rPr>
    </w:sdtEndPr>
    <w:sdtContent>
      <w:p w:rsidR="00DD34BC" w:rsidRPr="00DD34BC" w:rsidRDefault="00DD34BC">
        <w:pPr>
          <w:pStyle w:val="Footer"/>
          <w:jc w:val="center"/>
          <w:rPr>
            <w:rFonts w:ascii="Times New Roman" w:hAnsi="Times New Roman"/>
            <w:sz w:val="24"/>
          </w:rPr>
        </w:pPr>
        <w:r w:rsidRPr="00DD34BC">
          <w:rPr>
            <w:rFonts w:ascii="Times New Roman" w:hAnsi="Times New Roman"/>
            <w:sz w:val="24"/>
          </w:rPr>
          <w:fldChar w:fldCharType="begin"/>
        </w:r>
        <w:r w:rsidRPr="00DD34BC">
          <w:rPr>
            <w:rFonts w:ascii="Times New Roman" w:hAnsi="Times New Roman"/>
            <w:sz w:val="24"/>
          </w:rPr>
          <w:instrText xml:space="preserve"> PAGE   \* MERGEFORMAT </w:instrText>
        </w:r>
        <w:r w:rsidRPr="00DD34BC">
          <w:rPr>
            <w:rFonts w:ascii="Times New Roman" w:hAnsi="Times New Roman"/>
            <w:sz w:val="24"/>
          </w:rPr>
          <w:fldChar w:fldCharType="separate"/>
        </w:r>
        <w:r>
          <w:rPr>
            <w:rFonts w:ascii="Times New Roman" w:hAnsi="Times New Roman"/>
            <w:noProof/>
            <w:sz w:val="24"/>
          </w:rPr>
          <w:t>1</w:t>
        </w:r>
        <w:r w:rsidRPr="00DD34BC">
          <w:rPr>
            <w:rFonts w:ascii="Times New Roman" w:hAnsi="Times New Roman"/>
            <w:noProof/>
            <w:sz w:val="24"/>
          </w:rPr>
          <w:fldChar w:fldCharType="end"/>
        </w:r>
      </w:p>
    </w:sdtContent>
  </w:sdt>
  <w:p w:rsidR="00DD34BC" w:rsidRDefault="00DD3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F9" w:rsidRDefault="00223DF9" w:rsidP="00352CB5">
      <w:r>
        <w:separator/>
      </w:r>
    </w:p>
  </w:footnote>
  <w:footnote w:type="continuationSeparator" w:id="0">
    <w:p w:rsidR="00223DF9" w:rsidRDefault="00223DF9" w:rsidP="0035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6CD"/>
    <w:multiLevelType w:val="multilevel"/>
    <w:tmpl w:val="2564C4CA"/>
    <w:lvl w:ilvl="0">
      <w:start w:val="3"/>
      <w:numFmt w:val="lowerLetter"/>
      <w:lvlText w:val="(%1)"/>
      <w:lvlJc w:val="left"/>
      <w:pPr>
        <w:ind w:left="360" w:hanging="360"/>
      </w:pPr>
      <w:rPr>
        <w:rFonts w:hint="default"/>
        <w:b/>
        <w:i w:val="0"/>
        <w:sz w:val="26"/>
      </w:rPr>
    </w:lvl>
    <w:lvl w:ilvl="1">
      <w:start w:val="2"/>
      <w:numFmt w:val="decimal"/>
      <w:lvlText w:val="(%2)"/>
      <w:lvlJc w:val="left"/>
      <w:pPr>
        <w:tabs>
          <w:tab w:val="num" w:pos="864"/>
        </w:tabs>
        <w:ind w:left="864" w:hanging="504"/>
      </w:pPr>
      <w:rPr>
        <w:rFonts w:hint="default"/>
        <w:b/>
        <w:i w:val="0"/>
        <w:sz w:val="26"/>
      </w:rPr>
    </w:lvl>
    <w:lvl w:ilvl="2">
      <w:start w:val="2"/>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AC300BB"/>
    <w:multiLevelType w:val="multilevel"/>
    <w:tmpl w:val="B26EC384"/>
    <w:lvl w:ilvl="0">
      <w:start w:val="2"/>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0"/>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E5742B5"/>
    <w:multiLevelType w:val="multilevel"/>
    <w:tmpl w:val="2C3C7CB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3304031"/>
    <w:multiLevelType w:val="multilevel"/>
    <w:tmpl w:val="995E5B2C"/>
    <w:lvl w:ilvl="0">
      <w:start w:val="1"/>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6AA3F10"/>
    <w:multiLevelType w:val="multilevel"/>
    <w:tmpl w:val="79B477B8"/>
    <w:styleLink w:val="Stylerule"/>
    <w:lvl w:ilvl="0">
      <w:start w:val="1"/>
      <w:numFmt w:val="lowerLetter"/>
      <w:lvlText w:val="(%1)"/>
      <w:lvlJc w:val="left"/>
      <w:pPr>
        <w:ind w:left="360" w:hanging="360"/>
      </w:pPr>
      <w:rPr>
        <w:rFonts w:ascii="Times New Roman" w:hAnsi="Times New Roman" w:hint="default"/>
        <w:b/>
        <w:i w:val="0"/>
        <w:sz w:val="26"/>
      </w:rPr>
    </w:lvl>
    <w:lvl w:ilvl="1">
      <w:start w:val="1"/>
      <w:numFmt w:val="decimal"/>
      <w:lvlText w:val="(%2)"/>
      <w:lvlJc w:val="left"/>
      <w:pPr>
        <w:ind w:left="720" w:hanging="360"/>
      </w:pPr>
      <w:rPr>
        <w:rFonts w:hint="default"/>
        <w:b/>
        <w:sz w:val="26"/>
      </w:rPr>
    </w:lvl>
    <w:lvl w:ilvl="2">
      <w:start w:val="1"/>
      <w:numFmt w:val="upperLetter"/>
      <w:lvlText w:val="(%3)"/>
      <w:lvlJc w:val="left"/>
      <w:pPr>
        <w:tabs>
          <w:tab w:val="num" w:pos="1166"/>
        </w:tabs>
        <w:ind w:left="1080" w:hanging="360"/>
      </w:pPr>
      <w:rPr>
        <w:rFonts w:ascii="Times New Roman Bold" w:hAnsi="Times New Roman Bold" w:hint="default"/>
        <w:b/>
        <w:i w:val="0"/>
        <w:sz w:val="26"/>
      </w:rPr>
    </w:lvl>
    <w:lvl w:ilvl="3">
      <w:start w:val="1"/>
      <w:numFmt w:val="lowerRoman"/>
      <w:lvlText w:val="(%4)"/>
      <w:lvlJc w:val="left"/>
      <w:pPr>
        <w:ind w:left="1440" w:hanging="360"/>
      </w:pPr>
      <w:rPr>
        <w:rFonts w:ascii="Times" w:hAnsi="Times" w:hint="default"/>
        <w:b/>
        <w:i w:val="0"/>
        <w:sz w:val="26"/>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8F369EA"/>
    <w:multiLevelType w:val="multilevel"/>
    <w:tmpl w:val="D04A5960"/>
    <w:lvl w:ilvl="0">
      <w:start w:val="3"/>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B4B45F0"/>
    <w:multiLevelType w:val="multilevel"/>
    <w:tmpl w:val="5B4CC82C"/>
    <w:lvl w:ilvl="0">
      <w:start w:val="3"/>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0A56B2"/>
    <w:multiLevelType w:val="multilevel"/>
    <w:tmpl w:val="3E245A54"/>
    <w:lvl w:ilvl="0">
      <w:start w:val="6"/>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D241AE2"/>
    <w:multiLevelType w:val="multilevel"/>
    <w:tmpl w:val="A134DA02"/>
    <w:lvl w:ilvl="0">
      <w:start w:val="3"/>
      <w:numFmt w:val="lowerLetter"/>
      <w:lvlText w:val="(%1)"/>
      <w:lvlJc w:val="left"/>
      <w:pPr>
        <w:ind w:left="360" w:hanging="360"/>
      </w:pPr>
      <w:rPr>
        <w:rFonts w:ascii="Times New Roman Bold" w:hAnsi="Times New Roman Bold" w:hint="default"/>
        <w:b/>
        <w:i w:val="0"/>
        <w:sz w:val="26"/>
      </w:rPr>
    </w:lvl>
    <w:lvl w:ilvl="1">
      <w:start w:val="3"/>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E781212"/>
    <w:multiLevelType w:val="multilevel"/>
    <w:tmpl w:val="E25CA8A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3"/>
      <w:numFmt w:val="upperLetter"/>
      <w:lvlText w:val="(%3)"/>
      <w:lvlJc w:val="left"/>
      <w:pPr>
        <w:ind w:left="1166" w:hanging="446"/>
      </w:pPr>
      <w:rPr>
        <w:rFonts w:ascii="Times New Roman Bold" w:hAnsi="Times New Roman Bold" w:hint="default"/>
        <w:b/>
        <w:i w:val="0"/>
        <w:sz w:val="26"/>
      </w:rPr>
    </w:lvl>
    <w:lvl w:ilvl="3">
      <w:start w:val="3"/>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24D12F6"/>
    <w:multiLevelType w:val="multilevel"/>
    <w:tmpl w:val="9434136A"/>
    <w:lvl w:ilvl="0">
      <w:start w:val="2"/>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79548FA"/>
    <w:multiLevelType w:val="multilevel"/>
    <w:tmpl w:val="66649464"/>
    <w:lvl w:ilvl="0">
      <w:start w:val="1"/>
      <w:numFmt w:val="lowerLetter"/>
      <w:lvlText w:val="(%1)"/>
      <w:lvlJc w:val="left"/>
      <w:pPr>
        <w:ind w:left="360" w:hanging="360"/>
      </w:pPr>
      <w:rPr>
        <w:rFonts w:ascii="Times New Roman Bold" w:hAnsi="Times New Roman Bold" w:hint="default"/>
        <w:b/>
        <w:i w:val="0"/>
        <w:sz w:val="26"/>
      </w:rPr>
    </w:lvl>
    <w:lvl w:ilvl="1">
      <w:start w:val="3"/>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B4D5D39"/>
    <w:multiLevelType w:val="multilevel"/>
    <w:tmpl w:val="AB2E8C92"/>
    <w:lvl w:ilvl="0">
      <w:start w:val="2"/>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FB5631E"/>
    <w:multiLevelType w:val="multilevel"/>
    <w:tmpl w:val="B37EA048"/>
    <w:lvl w:ilvl="0">
      <w:start w:val="5"/>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u w:val="single"/>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0770D9B"/>
    <w:multiLevelType w:val="multilevel"/>
    <w:tmpl w:val="B764F862"/>
    <w:lvl w:ilvl="0">
      <w:start w:val="2"/>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3"/>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23E2DF5"/>
    <w:multiLevelType w:val="multilevel"/>
    <w:tmpl w:val="3F923C9E"/>
    <w:lvl w:ilvl="0">
      <w:start w:val="4"/>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40E2FBD"/>
    <w:multiLevelType w:val="multilevel"/>
    <w:tmpl w:val="A69C1A4E"/>
    <w:lvl w:ilvl="0">
      <w:start w:val="2"/>
      <w:numFmt w:val="lowerLetter"/>
      <w:lvlText w:val="(%1)"/>
      <w:lvlJc w:val="left"/>
      <w:pPr>
        <w:ind w:left="360" w:hanging="360"/>
      </w:pPr>
      <w:rPr>
        <w:rFonts w:ascii="Times New Roman Bold" w:hAnsi="Times New Roman Bold" w:hint="default"/>
        <w:b/>
        <w:i w:val="0"/>
        <w:sz w:val="26"/>
      </w:rPr>
    </w:lvl>
    <w:lvl w:ilvl="1">
      <w:start w:val="5"/>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D4F4BAA"/>
    <w:multiLevelType w:val="multilevel"/>
    <w:tmpl w:val="4F5ABE92"/>
    <w:lvl w:ilvl="0">
      <w:start w:val="2"/>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2"/>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DC73698"/>
    <w:multiLevelType w:val="multilevel"/>
    <w:tmpl w:val="77A206A0"/>
    <w:lvl w:ilvl="0">
      <w:start w:val="1"/>
      <w:numFmt w:val="lowerLetter"/>
      <w:lvlText w:val="(%1)"/>
      <w:lvlJc w:val="left"/>
      <w:pPr>
        <w:ind w:left="360" w:hanging="360"/>
      </w:pPr>
      <w:rPr>
        <w:rFonts w:ascii="Times New Roman Bold" w:hAnsi="Times New Roman Bold" w:hint="default"/>
        <w:b/>
        <w:i w:val="0"/>
        <w:sz w:val="26"/>
        <w:u w:val="single"/>
      </w:rPr>
    </w:lvl>
    <w:lvl w:ilvl="1">
      <w:start w:val="5"/>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3C931E7"/>
    <w:multiLevelType w:val="multilevel"/>
    <w:tmpl w:val="680E602A"/>
    <w:lvl w:ilvl="0">
      <w:start w:val="3"/>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51032CE"/>
    <w:multiLevelType w:val="multilevel"/>
    <w:tmpl w:val="969A1984"/>
    <w:styleLink w:val="RuleStyle"/>
    <w:lvl w:ilvl="0">
      <w:start w:val="1"/>
      <w:numFmt w:val="lowerLetter"/>
      <w:lvlText w:val="(%1)"/>
      <w:lvlJc w:val="left"/>
      <w:pPr>
        <w:ind w:left="1440" w:hanging="360"/>
      </w:pPr>
      <w:rPr>
        <w:rFonts w:ascii="Times New Roman" w:hAnsi="Times New Roman" w:hint="default"/>
        <w:b/>
        <w:sz w:val="24"/>
      </w:rPr>
    </w:lvl>
    <w:lvl w:ilvl="1">
      <w:start w:val="1"/>
      <w:numFmt w:val="decimal"/>
      <w:lvlText w:val="(%2)"/>
      <w:lvlJc w:val="left"/>
      <w:pPr>
        <w:ind w:left="1800" w:hanging="360"/>
      </w:pPr>
      <w:rPr>
        <w:rFonts w:hint="default"/>
        <w:b/>
        <w:i w:val="0"/>
      </w:rPr>
    </w:lvl>
    <w:lvl w:ilvl="2">
      <w:start w:val="1"/>
      <w:numFmt w:val="upperLetter"/>
      <w:lvlText w:val="(%3)"/>
      <w:lvlJc w:val="left"/>
      <w:pPr>
        <w:ind w:left="2160" w:hanging="360"/>
      </w:pPr>
      <w:rPr>
        <w:rFonts w:hint="default"/>
        <w:b/>
        <w:i w:val="0"/>
      </w:rPr>
    </w:lvl>
    <w:lvl w:ilvl="3">
      <w:start w:val="1"/>
      <w:numFmt w:val="lowerRoman"/>
      <w:lvlText w:val="(%4)"/>
      <w:lvlJc w:val="left"/>
      <w:pPr>
        <w:ind w:left="2520" w:hanging="360"/>
      </w:pPr>
      <w:rPr>
        <w:rFonts w:hint="default"/>
        <w:b/>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453A13F1"/>
    <w:multiLevelType w:val="multilevel"/>
    <w:tmpl w:val="1FDEDA9E"/>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63E7495"/>
    <w:multiLevelType w:val="multilevel"/>
    <w:tmpl w:val="4628E94C"/>
    <w:lvl w:ilvl="0">
      <w:start w:val="3"/>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87E3CD0"/>
    <w:multiLevelType w:val="multilevel"/>
    <w:tmpl w:val="E7A8BB9E"/>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9504D7F"/>
    <w:multiLevelType w:val="multilevel"/>
    <w:tmpl w:val="7BBC52E6"/>
    <w:lvl w:ilvl="0">
      <w:start w:val="1"/>
      <w:numFmt w:val="lowerLetter"/>
      <w:lvlText w:val="(%1)"/>
      <w:lvlJc w:val="left"/>
      <w:pPr>
        <w:ind w:left="360" w:hanging="360"/>
      </w:pPr>
      <w:rPr>
        <w:rFonts w:ascii="Times New Roman Bold" w:hAnsi="Times New Roman Bold" w:hint="default"/>
        <w:b/>
        <w:i w:val="0"/>
        <w:sz w:val="26"/>
      </w:rPr>
    </w:lvl>
    <w:lvl w:ilvl="1">
      <w:start w:val="5"/>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EE9064B"/>
    <w:multiLevelType w:val="multilevel"/>
    <w:tmpl w:val="2E40ADA0"/>
    <w:lvl w:ilvl="0">
      <w:start w:val="1"/>
      <w:numFmt w:val="lowerLetter"/>
      <w:lvlText w:val="(%1)"/>
      <w:lvlJc w:val="left"/>
      <w:pPr>
        <w:ind w:left="360" w:hanging="360"/>
      </w:pPr>
      <w:rPr>
        <w:rFonts w:ascii="Times New Roman Bold" w:hAnsi="Times New Roman Bold" w:hint="default"/>
        <w:b/>
        <w:i w:val="0"/>
        <w:sz w:val="26"/>
        <w:u w:val="single"/>
      </w:rPr>
    </w:lvl>
    <w:lvl w:ilvl="1">
      <w:start w:val="1"/>
      <w:numFmt w:val="decimal"/>
      <w:lvlText w:val="(%2)"/>
      <w:lvlJc w:val="left"/>
      <w:pPr>
        <w:tabs>
          <w:tab w:val="num" w:pos="864"/>
        </w:tabs>
        <w:ind w:left="864" w:hanging="504"/>
      </w:pPr>
      <w:rPr>
        <w:rFonts w:ascii="Times New Roman Bold" w:hAnsi="Times New Roman Bold" w:hint="default"/>
        <w:b/>
        <w:i w:val="0"/>
        <w:sz w:val="26"/>
        <w:u w:val="single"/>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F3B4DEB"/>
    <w:multiLevelType w:val="multilevel"/>
    <w:tmpl w:val="25C449C0"/>
    <w:lvl w:ilvl="0">
      <w:start w:val="3"/>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4076586"/>
    <w:multiLevelType w:val="multilevel"/>
    <w:tmpl w:val="637859BA"/>
    <w:lvl w:ilvl="0">
      <w:start w:val="3"/>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47E37DE"/>
    <w:multiLevelType w:val="multilevel"/>
    <w:tmpl w:val="E7B82420"/>
    <w:lvl w:ilvl="0">
      <w:start w:val="2"/>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u w:val="single"/>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520647D"/>
    <w:multiLevelType w:val="multilevel"/>
    <w:tmpl w:val="2C3C7CB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7465A7B"/>
    <w:multiLevelType w:val="multilevel"/>
    <w:tmpl w:val="10E4764C"/>
    <w:lvl w:ilvl="0">
      <w:start w:val="2"/>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74C44A0"/>
    <w:multiLevelType w:val="multilevel"/>
    <w:tmpl w:val="A3A8F8B4"/>
    <w:lvl w:ilvl="0">
      <w:start w:val="3"/>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CBA2105"/>
    <w:multiLevelType w:val="hybridMultilevel"/>
    <w:tmpl w:val="C02C092E"/>
    <w:lvl w:ilvl="0" w:tplc="3376B5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B214A"/>
    <w:multiLevelType w:val="multilevel"/>
    <w:tmpl w:val="5A3C08D4"/>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3FD2F4B"/>
    <w:multiLevelType w:val="multilevel"/>
    <w:tmpl w:val="D79E3FD2"/>
    <w:lvl w:ilvl="0">
      <w:start w:val="2"/>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646E1CA9"/>
    <w:multiLevelType w:val="multilevel"/>
    <w:tmpl w:val="2C3C7CBC"/>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68BA7814"/>
    <w:multiLevelType w:val="multilevel"/>
    <w:tmpl w:val="435C8FA2"/>
    <w:lvl w:ilvl="0">
      <w:start w:val="5"/>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DBE5466"/>
    <w:multiLevelType w:val="multilevel"/>
    <w:tmpl w:val="7CC4009C"/>
    <w:lvl w:ilvl="0">
      <w:start w:val="4"/>
      <w:numFmt w:val="lowerLetter"/>
      <w:lvlText w:val="(%1)"/>
      <w:lvlJc w:val="left"/>
      <w:pPr>
        <w:ind w:left="360" w:hanging="360"/>
      </w:pPr>
      <w:rPr>
        <w:rFonts w:ascii="Times New Roman Bold" w:hAnsi="Times New Roman Bold" w:hint="default"/>
        <w:b/>
        <w:i w:val="0"/>
        <w:sz w:val="26"/>
      </w:rPr>
    </w:lvl>
    <w:lvl w:ilvl="1">
      <w:start w:val="3"/>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F0C7E68"/>
    <w:multiLevelType w:val="multilevel"/>
    <w:tmpl w:val="57609112"/>
    <w:lvl w:ilvl="0">
      <w:start w:val="6"/>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3"/>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40D6F6D"/>
    <w:multiLevelType w:val="multilevel"/>
    <w:tmpl w:val="23BA074A"/>
    <w:lvl w:ilvl="0">
      <w:start w:val="2"/>
      <w:numFmt w:val="lowerLetter"/>
      <w:lvlText w:val="(%1)"/>
      <w:lvlJc w:val="left"/>
      <w:pPr>
        <w:ind w:left="360" w:hanging="360"/>
      </w:pPr>
      <w:rPr>
        <w:rFonts w:ascii="Times New Roman Bold" w:hAnsi="Times New Roman Bold" w:hint="default"/>
        <w:b/>
        <w:i w:val="0"/>
        <w:sz w:val="26"/>
      </w:rPr>
    </w:lvl>
    <w:lvl w:ilvl="1">
      <w:start w:val="2"/>
      <w:numFmt w:val="decimal"/>
      <w:lvlText w:val="(%2)"/>
      <w:lvlJc w:val="left"/>
      <w:pPr>
        <w:tabs>
          <w:tab w:val="num" w:pos="864"/>
        </w:tabs>
        <w:ind w:left="864" w:hanging="504"/>
      </w:pPr>
      <w:rPr>
        <w:rFonts w:ascii="Times New Roman Bold" w:hAnsi="Times New Roman Bold" w:hint="default"/>
        <w:b/>
        <w:i w:val="0"/>
        <w:sz w:val="26"/>
      </w:rPr>
    </w:lvl>
    <w:lvl w:ilvl="2">
      <w:start w:val="3"/>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4151110"/>
    <w:multiLevelType w:val="multilevel"/>
    <w:tmpl w:val="219E2BCC"/>
    <w:lvl w:ilvl="0">
      <w:start w:val="3"/>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783D105D"/>
    <w:multiLevelType w:val="multilevel"/>
    <w:tmpl w:val="6F1E44FC"/>
    <w:lvl w:ilvl="0">
      <w:start w:val="1"/>
      <w:numFmt w:val="lowerLetter"/>
      <w:lvlText w:val="(%1)"/>
      <w:lvlJc w:val="left"/>
      <w:pPr>
        <w:ind w:left="360" w:hanging="360"/>
      </w:pPr>
      <w:rPr>
        <w:rFonts w:ascii="Times New Roman Bold" w:hAnsi="Times New Roman Bold" w:hint="default"/>
        <w:b/>
        <w:i w:val="0"/>
        <w:sz w:val="26"/>
      </w:rPr>
    </w:lvl>
    <w:lvl w:ilvl="1">
      <w:start w:val="5"/>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79976779"/>
    <w:multiLevelType w:val="multilevel"/>
    <w:tmpl w:val="12E06CD8"/>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3"/>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AA677B5"/>
    <w:multiLevelType w:val="multilevel"/>
    <w:tmpl w:val="5D4C9794"/>
    <w:lvl w:ilvl="0">
      <w:start w:val="8"/>
      <w:numFmt w:val="lowerLetter"/>
      <w:lvlText w:val="(%1)"/>
      <w:lvlJc w:val="left"/>
      <w:pPr>
        <w:ind w:left="360" w:hanging="360"/>
      </w:pPr>
      <w:rPr>
        <w:rFonts w:ascii="Times New Roman Bold" w:hAnsi="Times New Roman Bold" w:hint="default"/>
        <w:b/>
        <w:i w:val="0"/>
        <w:sz w:val="26"/>
        <w:u w:val="single"/>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7E52695D"/>
    <w:multiLevelType w:val="multilevel"/>
    <w:tmpl w:val="45CC22F2"/>
    <w:lvl w:ilvl="0">
      <w:start w:val="3"/>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3"/>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0"/>
  </w:num>
  <w:num w:numId="2">
    <w:abstractNumId w:val="4"/>
  </w:num>
  <w:num w:numId="3">
    <w:abstractNumId w:val="3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8"/>
  </w:num>
  <w:num w:numId="7">
    <w:abstractNumId w:val="25"/>
  </w:num>
  <w:num w:numId="8">
    <w:abstractNumId w:val="43"/>
  </w:num>
  <w:num w:numId="9">
    <w:abstractNumId w:val="1"/>
  </w:num>
  <w:num w:numId="10">
    <w:abstractNumId w:val="2"/>
  </w:num>
  <w:num w:numId="11">
    <w:abstractNumId w:val="28"/>
  </w:num>
  <w:num w:numId="12">
    <w:abstractNumId w:val="13"/>
  </w:num>
  <w:num w:numId="13">
    <w:abstractNumId w:val="29"/>
  </w:num>
  <w:num w:numId="14">
    <w:abstractNumId w:val="6"/>
  </w:num>
  <w:num w:numId="15">
    <w:abstractNumId w:val="10"/>
  </w:num>
  <w:num w:numId="16">
    <w:abstractNumId w:val="31"/>
  </w:num>
  <w:num w:numId="17">
    <w:abstractNumId w:val="17"/>
  </w:num>
  <w:num w:numId="18">
    <w:abstractNumId w:val="33"/>
  </w:num>
  <w:num w:numId="19">
    <w:abstractNumId w:val="3"/>
  </w:num>
  <w:num w:numId="20">
    <w:abstractNumId w:val="14"/>
  </w:num>
  <w:num w:numId="21">
    <w:abstractNumId w:val="34"/>
  </w:num>
  <w:num w:numId="22">
    <w:abstractNumId w:val="26"/>
  </w:num>
  <w:num w:numId="23">
    <w:abstractNumId w:val="42"/>
  </w:num>
  <w:num w:numId="24">
    <w:abstractNumId w:val="9"/>
  </w:num>
  <w:num w:numId="25">
    <w:abstractNumId w:val="35"/>
  </w:num>
  <w:num w:numId="26">
    <w:abstractNumId w:val="41"/>
  </w:num>
  <w:num w:numId="27">
    <w:abstractNumId w:val="11"/>
  </w:num>
  <w:num w:numId="28">
    <w:abstractNumId w:val="8"/>
  </w:num>
  <w:num w:numId="29">
    <w:abstractNumId w:val="7"/>
  </w:num>
  <w:num w:numId="30">
    <w:abstractNumId w:val="38"/>
  </w:num>
  <w:num w:numId="31">
    <w:abstractNumId w:val="23"/>
  </w:num>
  <w:num w:numId="32">
    <w:abstractNumId w:val="16"/>
  </w:num>
  <w:num w:numId="33">
    <w:abstractNumId w:val="12"/>
  </w:num>
  <w:num w:numId="34">
    <w:abstractNumId w:val="36"/>
  </w:num>
  <w:num w:numId="35">
    <w:abstractNumId w:val="27"/>
  </w:num>
  <w:num w:numId="36">
    <w:abstractNumId w:val="19"/>
  </w:num>
  <w:num w:numId="37">
    <w:abstractNumId w:val="40"/>
  </w:num>
  <w:num w:numId="38">
    <w:abstractNumId w:val="44"/>
  </w:num>
  <w:num w:numId="39">
    <w:abstractNumId w:val="0"/>
  </w:num>
  <w:num w:numId="40">
    <w:abstractNumId w:val="21"/>
  </w:num>
  <w:num w:numId="41">
    <w:abstractNumId w:val="22"/>
  </w:num>
  <w:num w:numId="42">
    <w:abstractNumId w:val="37"/>
  </w:num>
  <w:num w:numId="43">
    <w:abstractNumId w:val="39"/>
  </w:num>
  <w:num w:numId="44">
    <w:abstractNumId w:val="5"/>
  </w:num>
  <w:num w:numId="45">
    <w:abstractNumId w:val="30"/>
  </w:num>
  <w:num w:numId="46">
    <w:abstractNumId w:val="1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9B"/>
    <w:rsid w:val="00026284"/>
    <w:rsid w:val="000B190A"/>
    <w:rsid w:val="000E18A6"/>
    <w:rsid w:val="0010389A"/>
    <w:rsid w:val="00117915"/>
    <w:rsid w:val="00133A40"/>
    <w:rsid w:val="001436AA"/>
    <w:rsid w:val="00186390"/>
    <w:rsid w:val="001D4417"/>
    <w:rsid w:val="00205773"/>
    <w:rsid w:val="00223DF9"/>
    <w:rsid w:val="002310EA"/>
    <w:rsid w:val="002318DE"/>
    <w:rsid w:val="002A17B1"/>
    <w:rsid w:val="002A766A"/>
    <w:rsid w:val="002F629D"/>
    <w:rsid w:val="00301F32"/>
    <w:rsid w:val="0030734D"/>
    <w:rsid w:val="00352CB5"/>
    <w:rsid w:val="00361FC4"/>
    <w:rsid w:val="003E47DF"/>
    <w:rsid w:val="00493159"/>
    <w:rsid w:val="00493B85"/>
    <w:rsid w:val="00495D9D"/>
    <w:rsid w:val="004E28C5"/>
    <w:rsid w:val="0052069D"/>
    <w:rsid w:val="00537A16"/>
    <w:rsid w:val="00541E32"/>
    <w:rsid w:val="00542E31"/>
    <w:rsid w:val="0054655E"/>
    <w:rsid w:val="00550A27"/>
    <w:rsid w:val="00560571"/>
    <w:rsid w:val="0056667D"/>
    <w:rsid w:val="00580CD3"/>
    <w:rsid w:val="005857A7"/>
    <w:rsid w:val="00587BDF"/>
    <w:rsid w:val="005B0F8E"/>
    <w:rsid w:val="005D2586"/>
    <w:rsid w:val="005D541C"/>
    <w:rsid w:val="00600825"/>
    <w:rsid w:val="006A3075"/>
    <w:rsid w:val="006A6CF1"/>
    <w:rsid w:val="006C227E"/>
    <w:rsid w:val="006F477C"/>
    <w:rsid w:val="006F6B2A"/>
    <w:rsid w:val="007328BE"/>
    <w:rsid w:val="00745543"/>
    <w:rsid w:val="007459D9"/>
    <w:rsid w:val="00770C41"/>
    <w:rsid w:val="00775070"/>
    <w:rsid w:val="007A2D1A"/>
    <w:rsid w:val="008004CD"/>
    <w:rsid w:val="0084240F"/>
    <w:rsid w:val="00850EEF"/>
    <w:rsid w:val="00877F3A"/>
    <w:rsid w:val="00885D47"/>
    <w:rsid w:val="008A12F0"/>
    <w:rsid w:val="008B5A82"/>
    <w:rsid w:val="008C451D"/>
    <w:rsid w:val="009075C9"/>
    <w:rsid w:val="00921E6A"/>
    <w:rsid w:val="00930F24"/>
    <w:rsid w:val="009413E9"/>
    <w:rsid w:val="00960407"/>
    <w:rsid w:val="00964671"/>
    <w:rsid w:val="009766A1"/>
    <w:rsid w:val="009B11E7"/>
    <w:rsid w:val="009C02AD"/>
    <w:rsid w:val="009C7EDC"/>
    <w:rsid w:val="00A0339A"/>
    <w:rsid w:val="00A11495"/>
    <w:rsid w:val="00A148EE"/>
    <w:rsid w:val="00A333AB"/>
    <w:rsid w:val="00A528FE"/>
    <w:rsid w:val="00A9486C"/>
    <w:rsid w:val="00AA0E03"/>
    <w:rsid w:val="00B37C05"/>
    <w:rsid w:val="00B7609C"/>
    <w:rsid w:val="00BF7EF0"/>
    <w:rsid w:val="00C00138"/>
    <w:rsid w:val="00C12C5D"/>
    <w:rsid w:val="00C16968"/>
    <w:rsid w:val="00C56897"/>
    <w:rsid w:val="00C717F4"/>
    <w:rsid w:val="00CB0912"/>
    <w:rsid w:val="00CC34C4"/>
    <w:rsid w:val="00CF4730"/>
    <w:rsid w:val="00D03D0A"/>
    <w:rsid w:val="00D27A00"/>
    <w:rsid w:val="00D8372C"/>
    <w:rsid w:val="00DB0110"/>
    <w:rsid w:val="00DB66CC"/>
    <w:rsid w:val="00DC147F"/>
    <w:rsid w:val="00DD11CC"/>
    <w:rsid w:val="00DD34BC"/>
    <w:rsid w:val="00DD3FE8"/>
    <w:rsid w:val="00DE7050"/>
    <w:rsid w:val="00E234D5"/>
    <w:rsid w:val="00E33C61"/>
    <w:rsid w:val="00E50656"/>
    <w:rsid w:val="00EC03B9"/>
    <w:rsid w:val="00EE73EA"/>
    <w:rsid w:val="00F36827"/>
    <w:rsid w:val="00F534A6"/>
    <w:rsid w:val="00F56E67"/>
    <w:rsid w:val="00F71B0D"/>
    <w:rsid w:val="00F72A9B"/>
    <w:rsid w:val="00F90028"/>
    <w:rsid w:val="00FB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8AB54-CC66-406D-ACB2-688E8CCC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F32"/>
  </w:style>
  <w:style w:type="paragraph" w:styleId="Heading1">
    <w:name w:val="heading 1"/>
    <w:basedOn w:val="Normal"/>
    <w:next w:val="Normal"/>
    <w:link w:val="Heading1Char"/>
    <w:uiPriority w:val="9"/>
    <w:qFormat/>
    <w:rsid w:val="00301F3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301F3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301F3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301F3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01F3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uleStyle">
    <w:name w:val="Rule Style"/>
    <w:uiPriority w:val="99"/>
    <w:rsid w:val="00186390"/>
    <w:pPr>
      <w:numPr>
        <w:numId w:val="1"/>
      </w:numPr>
    </w:pPr>
  </w:style>
  <w:style w:type="numbering" w:customStyle="1" w:styleId="Stylerule">
    <w:name w:val="Style rule"/>
    <w:uiPriority w:val="99"/>
    <w:rsid w:val="00F56E67"/>
    <w:pPr>
      <w:numPr>
        <w:numId w:val="2"/>
      </w:numPr>
    </w:pPr>
  </w:style>
  <w:style w:type="character" w:customStyle="1" w:styleId="apple-converted-space">
    <w:name w:val="apple-converted-space"/>
    <w:basedOn w:val="DefaultParagraphFont"/>
    <w:rsid w:val="0054655E"/>
  </w:style>
  <w:style w:type="character" w:customStyle="1" w:styleId="cosmallcaps">
    <w:name w:val="co_smallcaps"/>
    <w:basedOn w:val="DefaultParagraphFont"/>
    <w:rsid w:val="0054655E"/>
  </w:style>
  <w:style w:type="paragraph" w:customStyle="1" w:styleId="Default">
    <w:name w:val="Default"/>
    <w:rsid w:val="0054655E"/>
    <w:pPr>
      <w:autoSpaceDE w:val="0"/>
      <w:autoSpaceDN w:val="0"/>
      <w:adjustRightInd w:val="0"/>
    </w:pPr>
    <w:rPr>
      <w:rFonts w:eastAsia="Calibri"/>
      <w:color w:val="000000"/>
    </w:rPr>
  </w:style>
  <w:style w:type="character" w:customStyle="1" w:styleId="counderline">
    <w:name w:val="co_underline"/>
    <w:basedOn w:val="DefaultParagraphFont"/>
    <w:rsid w:val="0054655E"/>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01F3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301F3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01F32"/>
    <w:rPr>
      <w:rFonts w:asciiTheme="minorHAnsi" w:eastAsiaTheme="minorEastAsia" w:hAnsiTheme="minorHAnsi" w:cstheme="minorBidi"/>
      <w:b/>
      <w:bCs/>
      <w:sz w:val="28"/>
      <w:szCs w:val="28"/>
    </w:rPr>
  </w:style>
  <w:style w:type="character" w:customStyle="1" w:styleId="Heading5Char">
    <w:name w:val="Heading 5 Char"/>
    <w:link w:val="Heading5"/>
    <w:uiPriority w:val="9"/>
    <w:semiHidden/>
    <w:rsid w:val="00301F32"/>
    <w:rPr>
      <w:rFonts w:asciiTheme="minorHAnsi" w:eastAsiaTheme="minorEastAsia" w:hAnsiTheme="minorHAnsi" w:cstheme="minorBidi"/>
      <w:b/>
      <w:bCs/>
      <w:i/>
      <w:iCs/>
      <w:sz w:val="26"/>
      <w:szCs w:val="26"/>
    </w:rPr>
  </w:style>
  <w:style w:type="paragraph" w:styleId="Header">
    <w:name w:val="header"/>
    <w:basedOn w:val="Normal"/>
    <w:link w:val="HeaderChar"/>
    <w:rsid w:val="00301F32"/>
    <w:pPr>
      <w:tabs>
        <w:tab w:val="center" w:pos="4320"/>
        <w:tab w:val="right" w:pos="8640"/>
      </w:tabs>
    </w:pPr>
  </w:style>
  <w:style w:type="character" w:customStyle="1" w:styleId="HeaderChar">
    <w:name w:val="Header Char"/>
    <w:link w:val="Header"/>
    <w:rsid w:val="00301F32"/>
  </w:style>
  <w:style w:type="paragraph" w:styleId="Footer">
    <w:name w:val="footer"/>
    <w:basedOn w:val="Normal"/>
    <w:link w:val="FooterChar"/>
    <w:uiPriority w:val="99"/>
    <w:rsid w:val="00301F32"/>
    <w:pPr>
      <w:tabs>
        <w:tab w:val="center" w:pos="4320"/>
        <w:tab w:val="right" w:pos="8640"/>
      </w:tabs>
    </w:pPr>
  </w:style>
  <w:style w:type="character" w:customStyle="1" w:styleId="FooterChar">
    <w:name w:val="Footer Char"/>
    <w:link w:val="Footer"/>
    <w:uiPriority w:val="99"/>
    <w:rsid w:val="00301F32"/>
  </w:style>
  <w:style w:type="paragraph" w:styleId="Title">
    <w:name w:val="Title"/>
    <w:basedOn w:val="Normal"/>
    <w:next w:val="Normal"/>
    <w:link w:val="TitleChar"/>
    <w:uiPriority w:val="10"/>
    <w:qFormat/>
    <w:rsid w:val="00301F3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b/>
      <w:bCs/>
      <w:kern w:val="28"/>
      <w:sz w:val="32"/>
      <w:szCs w:val="32"/>
    </w:rPr>
  </w:style>
  <w:style w:type="character" w:styleId="Hyperlink">
    <w:name w:val="Hyperlink"/>
    <w:uiPriority w:val="99"/>
    <w:semiHidden/>
    <w:unhideWhenUsed/>
    <w:rsid w:val="00301F32"/>
    <w:rPr>
      <w:color w:val="0563C1"/>
      <w:u w:val="single"/>
    </w:rPr>
  </w:style>
  <w:style w:type="character" w:styleId="Strong">
    <w:name w:val="Strong"/>
    <w:uiPriority w:val="22"/>
    <w:qFormat/>
    <w:rsid w:val="00301F32"/>
    <w:rPr>
      <w:b/>
      <w:bCs/>
    </w:rPr>
  </w:style>
  <w:style w:type="character" w:styleId="Emphasis">
    <w:name w:val="Emphasis"/>
    <w:uiPriority w:val="20"/>
    <w:qFormat/>
    <w:rsid w:val="00301F32"/>
    <w:rPr>
      <w:i/>
      <w:iCs/>
    </w:rPr>
  </w:style>
  <w:style w:type="paragraph" w:styleId="NoSpacing">
    <w:name w:val="No Spacing"/>
    <w:uiPriority w:val="1"/>
    <w:qFormat/>
    <w:rsid w:val="00301F32"/>
    <w:rPr>
      <w:rFonts w:eastAsia="Calibri"/>
    </w:rPr>
  </w:style>
  <w:style w:type="paragraph" w:styleId="ListParagraph">
    <w:name w:val="List Paragraph"/>
    <w:aliases w:val="List Level 1"/>
    <w:basedOn w:val="Normal"/>
    <w:link w:val="ListParagraphChar"/>
    <w:uiPriority w:val="34"/>
    <w:qFormat/>
    <w:rsid w:val="00301F32"/>
    <w:pPr>
      <w:ind w:left="720"/>
    </w:pPr>
  </w:style>
  <w:style w:type="paragraph" w:styleId="Quote">
    <w:name w:val="Quote"/>
    <w:basedOn w:val="Normal"/>
    <w:next w:val="Normal"/>
    <w:link w:val="QuoteChar"/>
    <w:uiPriority w:val="29"/>
    <w:qFormat/>
    <w:rsid w:val="00301F32"/>
    <w:pPr>
      <w:spacing w:before="200" w:after="160"/>
      <w:ind w:left="864" w:right="864"/>
      <w:jc w:val="center"/>
    </w:pPr>
    <w:rPr>
      <w:i/>
      <w:iCs/>
      <w:color w:val="404040" w:themeColor="text1" w:themeTint="BF"/>
    </w:rPr>
  </w:style>
  <w:style w:type="character" w:customStyle="1" w:styleId="QuoteChar">
    <w:name w:val="Quote Char"/>
    <w:link w:val="Quote"/>
    <w:uiPriority w:val="29"/>
    <w:rsid w:val="00301F32"/>
    <w:rPr>
      <w:i/>
      <w:iCs/>
      <w:color w:val="404040" w:themeColor="text1" w:themeTint="BF"/>
    </w:rPr>
  </w:style>
  <w:style w:type="character" w:styleId="BookTitle">
    <w:name w:val="Book Title"/>
    <w:uiPriority w:val="33"/>
    <w:qFormat/>
    <w:rsid w:val="00301F32"/>
    <w:rPr>
      <w:b/>
      <w:bCs/>
      <w:i/>
      <w:iCs/>
      <w:spacing w:val="5"/>
    </w:rPr>
  </w:style>
  <w:style w:type="paragraph" w:customStyle="1" w:styleId="xmsonormal">
    <w:name w:val="x_msonormal"/>
    <w:basedOn w:val="Normal"/>
    <w:rsid w:val="00301F32"/>
    <w:pPr>
      <w:spacing w:before="100" w:beforeAutospacing="1" w:after="100" w:afterAutospacing="1"/>
    </w:pPr>
    <w:rPr>
      <w:rFonts w:ascii="Times New Roman" w:eastAsia="Times New Roman" w:hAnsi="Times New Roman"/>
    </w:rPr>
  </w:style>
  <w:style w:type="table" w:styleId="TableProfessional">
    <w:name w:val="Table Professional"/>
    <w:basedOn w:val="TableNormal"/>
    <w:rsid w:val="00301F3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Accent5">
    <w:name w:val="Grid Table 1 Light Accent 5"/>
    <w:aliases w:val="Grid Table Test"/>
    <w:basedOn w:val="TableSimple3"/>
    <w:uiPriority w:val="46"/>
    <w:rsid w:val="00E33C61"/>
    <w:tblPr>
      <w:tblStyleRowBandSize w:val="1"/>
      <w:tblStyleCol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tblCellMar>
        <w:top w:w="115" w:type="dxa"/>
        <w:left w:w="115" w:type="dxa"/>
        <w:bottom w:w="115" w:type="dxa"/>
        <w:right w:w="115" w:type="dxa"/>
      </w:tblCellMar>
    </w:tblPr>
    <w:tcPr>
      <w:shd w:val="clear" w:color="auto" w:fill="auto"/>
      <w:tcMar>
        <w:left w:w="230" w:type="dxa"/>
        <w:right w:w="230" w:type="dxa"/>
      </w:tcMar>
    </w:tcPr>
    <w:tblStylePr w:type="firstRow">
      <w:pPr>
        <w:wordWrap/>
        <w:jc w:val="center"/>
      </w:pPr>
      <w:rPr>
        <w:rFonts w:ascii="Arial" w:hAnsi="Arial"/>
        <w:b/>
        <w:bCs/>
        <w:color w:val="FFFFFF"/>
        <w:sz w:val="22"/>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solid" w:color="404040" w:themeColor="text1" w:themeTint="BF" w:fill="FFFFFF"/>
      </w:tcPr>
    </w:tblStylePr>
    <w:tblStylePr w:type="lastRow">
      <w:rPr>
        <w:rFonts w:ascii="Arial" w:hAnsi="Arial"/>
        <w:b w:val="0"/>
        <w:bCs/>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auto"/>
      </w:tcPr>
    </w:tblStylePr>
    <w:tblStylePr w:type="firstCol">
      <w:pPr>
        <w:jc w:val="left"/>
      </w:pPr>
      <w:rPr>
        <w:rFonts w:ascii="Arial" w:hAnsi="Arial"/>
        <w:b w:val="0"/>
        <w:bCs/>
        <w:sz w:val="22"/>
      </w:rPr>
    </w:tblStylePr>
    <w:tblStylePr w:type="lastCol">
      <w:rPr>
        <w:rFonts w:ascii="Arial" w:hAnsi="Arial"/>
        <w:b w:val="0"/>
        <w:bCs/>
        <w:sz w:val="22"/>
      </w:rPr>
    </w:tblStylePr>
    <w:tblStylePr w:type="band1Horz">
      <w:rPr>
        <w:rFonts w:ascii="Arial" w:hAnsi="Arial"/>
        <w:sz w:val="22"/>
      </w:rPr>
    </w:tblStylePr>
    <w:tblStylePr w:type="band2Horz">
      <w:rPr>
        <w:rFonts w:ascii="Arial" w:hAnsi="Arial"/>
        <w:sz w:val="22"/>
      </w:rPr>
    </w:tblStylePr>
  </w:style>
  <w:style w:type="table" w:styleId="TableSimple3">
    <w:name w:val="Table Simple 3"/>
    <w:basedOn w:val="TableNormal"/>
    <w:uiPriority w:val="99"/>
    <w:semiHidden/>
    <w:unhideWhenUsed/>
    <w:rsid w:val="00301F32"/>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ParagraphChar">
    <w:name w:val="List Paragraph Char"/>
    <w:aliases w:val="List Level 1 Char"/>
    <w:basedOn w:val="DefaultParagraphFont"/>
    <w:link w:val="ListParagraph"/>
    <w:uiPriority w:val="34"/>
    <w:rsid w:val="00DD3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1385</Words>
  <Characters>7901</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Rule 1.  Scope, Purpose and Construction, Computation of Time, Definitions, Size</vt:lpstr>
      <vt:lpstr>        Rule 1.6.  Form of Documents</vt:lpstr>
      <vt:lpstr>    Rule 4.  Initial Appearance and Arraignment</vt:lpstr>
      <vt:lpstr>    Rule 6.  Attorneys, Right to Counsel; Duties of Counsel; Court-Appointed Attorne</vt:lpstr>
      <vt:lpstr>        Rule 7.1.  Definitions </vt:lpstr>
      <vt:lpstr>        Rule 7.2.  Right to Release</vt:lpstr>
      <vt:lpstr>        Rule 11.3.  Appointment of Experts</vt:lpstr>
      <vt:lpstr>        Rule 11.5.  Hearing and Orders</vt:lpstr>
      <vt:lpstr>        Rule 12.9.  Challenge to Grand Jury Proceedings</vt:lpstr>
      <vt:lpstr>        Rule 13.1.  Definitions and Nature Construction </vt:lpstr>
      <vt:lpstr>        Rule 15.3.  Depositions</vt:lpstr>
      <vt:lpstr>    Rule 17.  Pleas of Guilty and No Contest; Submitting a Case on the Record</vt:lpstr>
      <vt:lpstr>        Rule 17.1.  The Defendant’s Plea </vt:lpstr>
      <vt:lpstr>        Rule 17.7.  Submitting a Case to the Court on a Stipulated the Record </vt:lpstr>
      <vt:lpstr>        Rule 23.1.  Form of Verdict; Sealed Verdict</vt:lpstr>
      <vt:lpstr>        Rule 26.10.  Pronouncing Judgment and Sentence</vt:lpstr>
      <vt:lpstr>        Rule 29.1.  Grounds; Notice</vt:lpstr>
      <vt:lpstr>        Rule 31.3.  Suspension of These Rules; Suspension of an Appeal; Computation of T</vt:lpstr>
      <vt:lpstr>        Rule 31.9.  Transmission of the Record to the Appellate Court</vt:lpstr>
      <vt:lpstr>        Rule 32.4.  Filing of Notice and Petition, and Other Initial Proceedings</vt:lpstr>
      <vt:lpstr>        Rule 32.6.  Response and Reply; Amendments; Review</vt:lpstr>
      <vt:lpstr>        Rule 39.  Victims’ Rights</vt:lpstr>
      <vt:lpstr>        </vt:lpstr>
    </vt:vector>
  </TitlesOfParts>
  <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Julie</dc:creator>
  <cp:keywords/>
  <dc:description/>
  <cp:lastModifiedBy>Graber, Julie</cp:lastModifiedBy>
  <cp:revision>3</cp:revision>
  <dcterms:created xsi:type="dcterms:W3CDTF">2017-07-03T23:14:00Z</dcterms:created>
  <dcterms:modified xsi:type="dcterms:W3CDTF">2017-07-07T16:46:00Z</dcterms:modified>
</cp:coreProperties>
</file>