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6C22B15" w14:textId="77777777" w:rsidR="00476BCF" w:rsidRDefault="00476BCF">
      <w:pPr>
        <w:pStyle w:val="normal0"/>
        <w:tabs>
          <w:tab w:val="left" w:pos="360"/>
        </w:tabs>
        <w:rPr>
          <w:sz w:val="26"/>
          <w:szCs w:val="26"/>
        </w:rPr>
      </w:pPr>
    </w:p>
    <w:p w14:paraId="61FB7841" w14:textId="77777777" w:rsidR="00476BCF" w:rsidRDefault="009F58AB">
      <w:pPr>
        <w:pStyle w:val="normal0"/>
        <w:tabs>
          <w:tab w:val="left" w:pos="360"/>
        </w:tabs>
        <w:jc w:val="center"/>
        <w:rPr>
          <w:sz w:val="28"/>
          <w:szCs w:val="28"/>
        </w:rPr>
      </w:pPr>
      <w:r>
        <w:rPr>
          <w:b/>
          <w:sz w:val="28"/>
          <w:szCs w:val="28"/>
        </w:rPr>
        <w:t>IN THE SUPREME COURT OF ARIZONA</w:t>
      </w:r>
    </w:p>
    <w:p w14:paraId="0741353A" w14:textId="77777777" w:rsidR="00476BCF" w:rsidRDefault="00476BCF">
      <w:pPr>
        <w:pStyle w:val="normal0"/>
        <w:tabs>
          <w:tab w:val="left" w:pos="360"/>
        </w:tabs>
        <w:jc w:val="center"/>
        <w:rPr>
          <w:sz w:val="28"/>
          <w:szCs w:val="28"/>
        </w:rPr>
      </w:pPr>
    </w:p>
    <w:p w14:paraId="6BA39CDA" w14:textId="77777777" w:rsidR="00476BCF" w:rsidRDefault="00476BCF">
      <w:pPr>
        <w:pStyle w:val="normal0"/>
        <w:tabs>
          <w:tab w:val="left" w:pos="360"/>
        </w:tabs>
        <w:jc w:val="center"/>
        <w:rPr>
          <w:sz w:val="28"/>
          <w:szCs w:val="28"/>
        </w:rPr>
      </w:pPr>
    </w:p>
    <w:p w14:paraId="7EC54C88" w14:textId="77777777" w:rsidR="00476BCF" w:rsidRDefault="00476BCF">
      <w:pPr>
        <w:pStyle w:val="normal0"/>
        <w:tabs>
          <w:tab w:val="left" w:pos="360"/>
        </w:tabs>
        <w:jc w:val="center"/>
        <w:rPr>
          <w:sz w:val="28"/>
          <w:szCs w:val="28"/>
        </w:rPr>
      </w:pPr>
    </w:p>
    <w:p w14:paraId="7215E8A0" w14:textId="77777777" w:rsidR="00476BCF" w:rsidRDefault="00476BCF">
      <w:pPr>
        <w:pStyle w:val="normal0"/>
        <w:tabs>
          <w:tab w:val="left" w:pos="360"/>
        </w:tabs>
        <w:jc w:val="center"/>
        <w:rPr>
          <w:sz w:val="28"/>
          <w:szCs w:val="28"/>
        </w:rPr>
      </w:pPr>
    </w:p>
    <w:p w14:paraId="4D8A3FA1" w14:textId="77777777" w:rsidR="00476BCF" w:rsidRDefault="009F58AB">
      <w:pPr>
        <w:pStyle w:val="normal0"/>
        <w:tabs>
          <w:tab w:val="left" w:pos="360"/>
        </w:tabs>
        <w:rPr>
          <w:sz w:val="28"/>
          <w:szCs w:val="28"/>
        </w:rPr>
      </w:pPr>
      <w:r>
        <w:rPr>
          <w:sz w:val="28"/>
          <w:szCs w:val="28"/>
          <w:u w:val="single"/>
        </w:rPr>
        <w:t>____________________________________________________________________</w:t>
      </w:r>
    </w:p>
    <w:p w14:paraId="4BB7E6EB" w14:textId="77777777" w:rsidR="00476BCF" w:rsidRDefault="00476BCF">
      <w:pPr>
        <w:pStyle w:val="normal0"/>
        <w:tabs>
          <w:tab w:val="left" w:pos="360"/>
        </w:tabs>
        <w:rPr>
          <w:sz w:val="28"/>
          <w:szCs w:val="28"/>
        </w:rPr>
      </w:pPr>
    </w:p>
    <w:p w14:paraId="6922A0A2" w14:textId="77777777" w:rsidR="00476BCF" w:rsidRDefault="009F58AB">
      <w:pPr>
        <w:pStyle w:val="normal0"/>
        <w:tabs>
          <w:tab w:val="left" w:pos="360"/>
        </w:tabs>
        <w:jc w:val="center"/>
        <w:rPr>
          <w:sz w:val="28"/>
          <w:szCs w:val="28"/>
        </w:rPr>
      </w:pPr>
      <w:r>
        <w:rPr>
          <w:sz w:val="28"/>
          <w:szCs w:val="28"/>
        </w:rPr>
        <w:t>PETITIONER’S REPLY TO COMMENTS ON PETITION FOR AMENDMENT TO SUPREME COURT RULES PURSUANT TO A.R.S., SUP. CT. RULES, RULE 28</w:t>
      </w:r>
    </w:p>
    <w:p w14:paraId="707949D4" w14:textId="77777777" w:rsidR="00476BCF" w:rsidRDefault="009F58AB">
      <w:pPr>
        <w:pStyle w:val="normal0"/>
        <w:tabs>
          <w:tab w:val="left" w:pos="360"/>
        </w:tabs>
        <w:rPr>
          <w:sz w:val="28"/>
          <w:szCs w:val="28"/>
        </w:rPr>
      </w:pPr>
      <w:r>
        <w:rPr>
          <w:sz w:val="28"/>
          <w:szCs w:val="28"/>
          <w:u w:val="single"/>
        </w:rPr>
        <w:t>____________________________________________________________________</w:t>
      </w:r>
    </w:p>
    <w:p w14:paraId="78124831" w14:textId="77777777" w:rsidR="00476BCF" w:rsidRDefault="00476BCF">
      <w:pPr>
        <w:pStyle w:val="normal0"/>
        <w:tabs>
          <w:tab w:val="left" w:pos="360"/>
        </w:tabs>
        <w:jc w:val="center"/>
        <w:rPr>
          <w:sz w:val="28"/>
          <w:szCs w:val="28"/>
        </w:rPr>
      </w:pPr>
    </w:p>
    <w:p w14:paraId="70687B81" w14:textId="77777777" w:rsidR="00476BCF" w:rsidRDefault="00476BCF">
      <w:pPr>
        <w:pStyle w:val="normal0"/>
        <w:tabs>
          <w:tab w:val="left" w:pos="360"/>
        </w:tabs>
        <w:jc w:val="center"/>
        <w:rPr>
          <w:sz w:val="28"/>
          <w:szCs w:val="28"/>
        </w:rPr>
      </w:pPr>
    </w:p>
    <w:p w14:paraId="7356FFDE" w14:textId="77777777" w:rsidR="00476BCF" w:rsidRDefault="00476BCF">
      <w:pPr>
        <w:pStyle w:val="normal0"/>
        <w:tabs>
          <w:tab w:val="left" w:pos="360"/>
        </w:tabs>
        <w:jc w:val="center"/>
        <w:rPr>
          <w:sz w:val="28"/>
          <w:szCs w:val="28"/>
        </w:rPr>
      </w:pPr>
    </w:p>
    <w:p w14:paraId="6BA2D92A" w14:textId="77777777" w:rsidR="00476BCF" w:rsidRDefault="00476BCF">
      <w:pPr>
        <w:pStyle w:val="normal0"/>
        <w:tabs>
          <w:tab w:val="left" w:pos="360"/>
        </w:tabs>
        <w:jc w:val="center"/>
        <w:rPr>
          <w:sz w:val="28"/>
          <w:szCs w:val="28"/>
        </w:rPr>
      </w:pPr>
    </w:p>
    <w:p w14:paraId="6172014A" w14:textId="77777777" w:rsidR="00476BCF" w:rsidRDefault="00476BCF">
      <w:pPr>
        <w:pStyle w:val="normal0"/>
        <w:tabs>
          <w:tab w:val="left" w:pos="360"/>
        </w:tabs>
        <w:jc w:val="center"/>
        <w:rPr>
          <w:sz w:val="28"/>
          <w:szCs w:val="28"/>
        </w:rPr>
      </w:pPr>
    </w:p>
    <w:p w14:paraId="6DA85669" w14:textId="77777777" w:rsidR="00476BCF" w:rsidRDefault="00476BCF">
      <w:pPr>
        <w:pStyle w:val="normal0"/>
        <w:tabs>
          <w:tab w:val="left" w:pos="360"/>
        </w:tabs>
        <w:jc w:val="center"/>
        <w:rPr>
          <w:sz w:val="28"/>
          <w:szCs w:val="28"/>
        </w:rPr>
      </w:pPr>
    </w:p>
    <w:p w14:paraId="6E07F4E0" w14:textId="77777777" w:rsidR="00476BCF" w:rsidRDefault="00476BCF">
      <w:pPr>
        <w:pStyle w:val="normal0"/>
        <w:tabs>
          <w:tab w:val="left" w:pos="360"/>
        </w:tabs>
        <w:jc w:val="center"/>
        <w:rPr>
          <w:sz w:val="28"/>
          <w:szCs w:val="28"/>
        </w:rPr>
      </w:pPr>
    </w:p>
    <w:p w14:paraId="424A2398" w14:textId="77777777" w:rsidR="00476BCF" w:rsidRDefault="00476BCF">
      <w:pPr>
        <w:pStyle w:val="normal0"/>
        <w:tabs>
          <w:tab w:val="left" w:pos="360"/>
        </w:tabs>
        <w:jc w:val="center"/>
        <w:rPr>
          <w:sz w:val="28"/>
          <w:szCs w:val="28"/>
        </w:rPr>
      </w:pPr>
    </w:p>
    <w:p w14:paraId="31445F8D" w14:textId="77777777" w:rsidR="00476BCF" w:rsidRDefault="00476BCF">
      <w:pPr>
        <w:pStyle w:val="normal0"/>
        <w:tabs>
          <w:tab w:val="left" w:pos="360"/>
        </w:tabs>
        <w:jc w:val="center"/>
        <w:rPr>
          <w:sz w:val="28"/>
          <w:szCs w:val="28"/>
        </w:rPr>
      </w:pPr>
    </w:p>
    <w:p w14:paraId="27127C31" w14:textId="77777777" w:rsidR="00476BCF" w:rsidRDefault="00476BCF">
      <w:pPr>
        <w:pStyle w:val="normal0"/>
        <w:tabs>
          <w:tab w:val="left" w:pos="360"/>
        </w:tabs>
        <w:jc w:val="center"/>
        <w:rPr>
          <w:sz w:val="28"/>
          <w:szCs w:val="28"/>
        </w:rPr>
      </w:pPr>
    </w:p>
    <w:p w14:paraId="0B3320B9" w14:textId="77777777" w:rsidR="00476BCF" w:rsidRDefault="00476BCF">
      <w:pPr>
        <w:pStyle w:val="normal0"/>
        <w:tabs>
          <w:tab w:val="left" w:pos="360"/>
        </w:tabs>
        <w:jc w:val="center"/>
        <w:rPr>
          <w:sz w:val="28"/>
          <w:szCs w:val="28"/>
        </w:rPr>
      </w:pPr>
    </w:p>
    <w:p w14:paraId="437B002B" w14:textId="77777777" w:rsidR="00476BCF" w:rsidRDefault="00476BCF">
      <w:pPr>
        <w:pStyle w:val="normal0"/>
        <w:tabs>
          <w:tab w:val="left" w:pos="360"/>
        </w:tabs>
        <w:rPr>
          <w:sz w:val="26"/>
          <w:szCs w:val="26"/>
        </w:rPr>
      </w:pPr>
    </w:p>
    <w:p w14:paraId="60C25CD8" w14:textId="77777777" w:rsidR="00476BCF" w:rsidRDefault="00476BCF">
      <w:pPr>
        <w:pStyle w:val="normal0"/>
        <w:tabs>
          <w:tab w:val="left" w:pos="360"/>
        </w:tabs>
        <w:jc w:val="center"/>
        <w:rPr>
          <w:sz w:val="26"/>
          <w:szCs w:val="26"/>
        </w:rPr>
      </w:pPr>
    </w:p>
    <w:p w14:paraId="1B70A18A" w14:textId="77777777" w:rsidR="00476BCF" w:rsidRDefault="00476BCF">
      <w:pPr>
        <w:pStyle w:val="normal0"/>
        <w:tabs>
          <w:tab w:val="left" w:pos="360"/>
        </w:tabs>
        <w:jc w:val="center"/>
        <w:rPr>
          <w:sz w:val="26"/>
          <w:szCs w:val="26"/>
        </w:rPr>
      </w:pPr>
    </w:p>
    <w:p w14:paraId="4AF1E128" w14:textId="77777777" w:rsidR="00476BCF" w:rsidRDefault="00476BCF">
      <w:pPr>
        <w:pStyle w:val="normal0"/>
        <w:tabs>
          <w:tab w:val="left" w:pos="360"/>
        </w:tabs>
        <w:jc w:val="center"/>
        <w:rPr>
          <w:sz w:val="28"/>
          <w:szCs w:val="28"/>
        </w:rPr>
      </w:pPr>
    </w:p>
    <w:p w14:paraId="3C5793F2" w14:textId="77777777" w:rsidR="00476BCF" w:rsidRDefault="00476BCF">
      <w:pPr>
        <w:pStyle w:val="normal0"/>
        <w:tabs>
          <w:tab w:val="left" w:pos="360"/>
        </w:tabs>
        <w:rPr>
          <w:sz w:val="28"/>
          <w:szCs w:val="28"/>
        </w:rPr>
      </w:pPr>
    </w:p>
    <w:p w14:paraId="06D391A5" w14:textId="77777777" w:rsidR="00476BCF" w:rsidRDefault="009F58AB">
      <w:pPr>
        <w:pStyle w:val="normal0"/>
        <w:tabs>
          <w:tab w:val="left" w:pos="360"/>
        </w:tabs>
        <w:rPr>
          <w:sz w:val="28"/>
          <w:szCs w:val="28"/>
        </w:rPr>
      </w:pPr>
      <w:r>
        <w:rPr>
          <w:sz w:val="28"/>
          <w:szCs w:val="28"/>
        </w:rPr>
        <w:t>CONCORD LAW SCHOOL AT KAPLAN UNIVERSITY</w:t>
      </w:r>
    </w:p>
    <w:p w14:paraId="7D871B8A" w14:textId="77777777" w:rsidR="00476BCF" w:rsidRDefault="009F58AB">
      <w:pPr>
        <w:pStyle w:val="normal0"/>
        <w:tabs>
          <w:tab w:val="left" w:pos="360"/>
        </w:tabs>
        <w:rPr>
          <w:sz w:val="28"/>
          <w:szCs w:val="28"/>
        </w:rPr>
      </w:pPr>
      <w:r>
        <w:rPr>
          <w:sz w:val="28"/>
          <w:szCs w:val="28"/>
        </w:rPr>
        <w:t>Martin Pritikin (California SBN 210845)</w:t>
      </w:r>
    </w:p>
    <w:p w14:paraId="43386A9A" w14:textId="77777777" w:rsidR="00476BCF" w:rsidRDefault="009F58AB">
      <w:pPr>
        <w:pStyle w:val="normal0"/>
        <w:tabs>
          <w:tab w:val="left" w:pos="360"/>
        </w:tabs>
        <w:rPr>
          <w:sz w:val="28"/>
          <w:szCs w:val="28"/>
        </w:rPr>
      </w:pPr>
      <w:r>
        <w:rPr>
          <w:sz w:val="28"/>
          <w:szCs w:val="28"/>
        </w:rPr>
        <w:t>Dean and Vice President</w:t>
      </w:r>
    </w:p>
    <w:p w14:paraId="665E7E52" w14:textId="77777777" w:rsidR="00476BCF" w:rsidRDefault="009F58AB">
      <w:pPr>
        <w:pStyle w:val="normal0"/>
        <w:tabs>
          <w:tab w:val="left" w:pos="360"/>
        </w:tabs>
        <w:rPr>
          <w:sz w:val="28"/>
          <w:szCs w:val="28"/>
        </w:rPr>
      </w:pPr>
      <w:r>
        <w:rPr>
          <w:sz w:val="28"/>
          <w:szCs w:val="28"/>
        </w:rPr>
        <w:t>10100 Santa Monica Blvd. Suite 365</w:t>
      </w:r>
    </w:p>
    <w:p w14:paraId="5220EA9A" w14:textId="77777777" w:rsidR="00476BCF" w:rsidRDefault="009F58AB">
      <w:pPr>
        <w:pStyle w:val="normal0"/>
        <w:tabs>
          <w:tab w:val="left" w:pos="360"/>
        </w:tabs>
        <w:rPr>
          <w:sz w:val="28"/>
          <w:szCs w:val="28"/>
        </w:rPr>
      </w:pPr>
      <w:r>
        <w:rPr>
          <w:sz w:val="28"/>
          <w:szCs w:val="28"/>
        </w:rPr>
        <w:t>Los Angeles, CA 90067</w:t>
      </w:r>
    </w:p>
    <w:p w14:paraId="53D4F57A" w14:textId="77777777" w:rsidR="00476BCF" w:rsidRDefault="009F58AB">
      <w:pPr>
        <w:pStyle w:val="normal0"/>
        <w:tabs>
          <w:tab w:val="left" w:pos="360"/>
        </w:tabs>
        <w:rPr>
          <w:sz w:val="28"/>
          <w:szCs w:val="28"/>
        </w:rPr>
      </w:pPr>
      <w:r>
        <w:rPr>
          <w:sz w:val="28"/>
          <w:szCs w:val="28"/>
        </w:rPr>
        <w:t>Telephone: (323) 533-0002</w:t>
      </w:r>
    </w:p>
    <w:p w14:paraId="2BDA39DD" w14:textId="77777777" w:rsidR="00476BCF" w:rsidRDefault="00F04CA5">
      <w:pPr>
        <w:pStyle w:val="normal0"/>
        <w:tabs>
          <w:tab w:val="left" w:pos="360"/>
        </w:tabs>
        <w:rPr>
          <w:sz w:val="28"/>
          <w:szCs w:val="28"/>
        </w:rPr>
      </w:pPr>
      <w:hyperlink r:id="rId7">
        <w:r w:rsidR="009F58AB">
          <w:rPr>
            <w:color w:val="1155CC"/>
            <w:sz w:val="28"/>
            <w:szCs w:val="28"/>
            <w:u w:val="single"/>
          </w:rPr>
          <w:t>martin.pritikin@kaplan.edu</w:t>
        </w:r>
      </w:hyperlink>
    </w:p>
    <w:p w14:paraId="6DEAA661" w14:textId="77777777" w:rsidR="00476BCF" w:rsidRDefault="00F04CA5">
      <w:pPr>
        <w:pStyle w:val="normal0"/>
        <w:tabs>
          <w:tab w:val="left" w:pos="360"/>
        </w:tabs>
        <w:rPr>
          <w:sz w:val="26"/>
          <w:szCs w:val="26"/>
        </w:rPr>
        <w:sectPr w:rsidR="00476BCF" w:rsidSect="009F58AB">
          <w:headerReference w:type="default" r:id="rId8"/>
          <w:footerReference w:type="even" r:id="rId9"/>
          <w:footerReference w:type="default" r:id="rId10"/>
          <w:headerReference w:type="first" r:id="rId11"/>
          <w:footerReference w:type="first" r:id="rId12"/>
          <w:pgSz w:w="12240" w:h="15840"/>
          <w:pgMar w:top="720" w:right="1282" w:bottom="720" w:left="1282" w:header="0" w:footer="0" w:gutter="0"/>
          <w:pgNumType w:start="1"/>
          <w:cols w:space="720"/>
          <w:titlePg/>
        </w:sectPr>
      </w:pPr>
      <w:hyperlink r:id="rId13">
        <w:r w:rsidR="009F58AB">
          <w:rPr>
            <w:color w:val="0000FF"/>
            <w:sz w:val="28"/>
            <w:szCs w:val="28"/>
            <w:u w:val="single"/>
          </w:rPr>
          <w:t>www.concordlawschool.edu</w:t>
        </w:r>
      </w:hyperlink>
    </w:p>
    <w:p w14:paraId="5DFDC1EF" w14:textId="77777777" w:rsidR="00476BCF" w:rsidRDefault="00476BCF">
      <w:pPr>
        <w:pStyle w:val="normal0"/>
        <w:tabs>
          <w:tab w:val="left" w:pos="360"/>
        </w:tabs>
        <w:rPr>
          <w:sz w:val="26"/>
          <w:szCs w:val="26"/>
        </w:rPr>
        <w:sectPr w:rsidR="00476BCF">
          <w:type w:val="continuous"/>
          <w:pgSz w:w="12240" w:h="15840"/>
          <w:pgMar w:top="720" w:right="1282" w:bottom="720" w:left="1282" w:header="0" w:footer="720" w:gutter="0"/>
          <w:cols w:space="720"/>
        </w:sectPr>
      </w:pPr>
    </w:p>
    <w:p w14:paraId="6B05E0D6" w14:textId="77777777" w:rsidR="00476BCF" w:rsidRDefault="00476BCF">
      <w:pPr>
        <w:pStyle w:val="normal0"/>
        <w:spacing w:line="276" w:lineRule="auto"/>
        <w:rPr>
          <w:sz w:val="26"/>
          <w:szCs w:val="26"/>
        </w:rPr>
        <w:sectPr w:rsidR="00476BCF">
          <w:type w:val="continuous"/>
          <w:pgSz w:w="12240" w:h="15840"/>
          <w:pgMar w:top="720" w:right="1282" w:bottom="720" w:left="1282" w:header="0" w:footer="720" w:gutter="0"/>
          <w:cols w:space="720"/>
        </w:sectPr>
      </w:pPr>
    </w:p>
    <w:p w14:paraId="5B8F6AFA" w14:textId="77777777" w:rsidR="009F58AB" w:rsidRDefault="009F58AB">
      <w:pPr>
        <w:pStyle w:val="normal0"/>
        <w:tabs>
          <w:tab w:val="left" w:pos="360"/>
        </w:tabs>
        <w:spacing w:line="360" w:lineRule="auto"/>
        <w:rPr>
          <w:b/>
        </w:rPr>
      </w:pPr>
    </w:p>
    <w:p w14:paraId="2807CEC4" w14:textId="77777777" w:rsidR="009F58AB" w:rsidRDefault="009F58AB">
      <w:pPr>
        <w:pStyle w:val="normal0"/>
        <w:tabs>
          <w:tab w:val="left" w:pos="360"/>
        </w:tabs>
        <w:spacing w:line="360" w:lineRule="auto"/>
        <w:rPr>
          <w:b/>
        </w:rPr>
      </w:pPr>
    </w:p>
    <w:p w14:paraId="4E93F5CA" w14:textId="77777777" w:rsidR="009F58AB" w:rsidRDefault="009F58AB">
      <w:pPr>
        <w:pStyle w:val="normal0"/>
        <w:tabs>
          <w:tab w:val="left" w:pos="360"/>
        </w:tabs>
        <w:spacing w:line="360" w:lineRule="auto"/>
        <w:rPr>
          <w:b/>
        </w:rPr>
      </w:pPr>
    </w:p>
    <w:p w14:paraId="1D493641" w14:textId="77777777" w:rsidR="00476BCF" w:rsidRDefault="009F58AB">
      <w:pPr>
        <w:pStyle w:val="normal0"/>
        <w:tabs>
          <w:tab w:val="left" w:pos="360"/>
        </w:tabs>
        <w:spacing w:line="360" w:lineRule="auto"/>
        <w:rPr>
          <w:b/>
        </w:rPr>
      </w:pPr>
      <w:r>
        <w:rPr>
          <w:b/>
        </w:rPr>
        <w:lastRenderedPageBreak/>
        <w:t>Introduction</w:t>
      </w:r>
    </w:p>
    <w:p w14:paraId="1CB3165C" w14:textId="20DEB29F" w:rsidR="00476BCF" w:rsidRDefault="009F58AB">
      <w:pPr>
        <w:pStyle w:val="normal0"/>
        <w:spacing w:line="360" w:lineRule="auto"/>
        <w:ind w:firstLine="720"/>
      </w:pPr>
      <w:r>
        <w:t xml:space="preserve">On November 9, 2016, Concord Law School at Kaplan University (“CLS”) filed its petition requesting that this Court amend </w:t>
      </w:r>
      <w:r>
        <w:rPr>
          <w:color w:val="212121"/>
        </w:rPr>
        <w:t xml:space="preserve">ARS Sup.Ct. Rules, Rule 34, to permit application to the bar via examination not only by those who graduate with a juris doctor (JD) degree from a law </w:t>
      </w:r>
      <w:r>
        <w:t xml:space="preserve">school accredited by the American Bar Association (ABA), but also by those who graduate from an online law school (for whom ABA accreditation is unavailable) </w:t>
      </w:r>
      <w:r w:rsidR="00F04CA5">
        <w:t xml:space="preserve">that is </w:t>
      </w:r>
      <w:r>
        <w:t>part of an institution approved by one of the six regional accreditors federally recognized by the Department of Education.</w:t>
      </w:r>
    </w:p>
    <w:p w14:paraId="1D6D8A7C" w14:textId="77777777" w:rsidR="00476BCF" w:rsidRDefault="009F58AB">
      <w:pPr>
        <w:pStyle w:val="normal0"/>
        <w:spacing w:line="360" w:lineRule="auto"/>
        <w:ind w:firstLine="720"/>
        <w:rPr>
          <w:color w:val="212121"/>
        </w:rPr>
      </w:pPr>
      <w:r>
        <w:rPr>
          <w:color w:val="212121"/>
        </w:rPr>
        <w:t xml:space="preserve">Seventeen comments were submitted on the Supreme Court’s Rules Forum in response to the petition during the public comment period, which closed on May 22, 2017. Only two of those comments opposed the petition. </w:t>
      </w:r>
    </w:p>
    <w:p w14:paraId="0E668055" w14:textId="77777777" w:rsidR="00476BCF" w:rsidRDefault="009F58AB">
      <w:pPr>
        <w:pStyle w:val="normal0"/>
        <w:spacing w:line="360" w:lineRule="auto"/>
        <w:ind w:firstLine="720"/>
        <w:rPr>
          <w:color w:val="212121"/>
        </w:rPr>
      </w:pPr>
      <w:r>
        <w:rPr>
          <w:color w:val="212121"/>
        </w:rPr>
        <w:t>The Attorney Regulatory Advisory Committee (“ARC”) submitted a comment in opposition to the petition. The comment cited seven different areas in which it asserted that CLS “has not provided adequate information,” and accordingly recommended that the Court “deny the Petition based on its failure to provide adequate information to support it.”</w:t>
      </w:r>
    </w:p>
    <w:p w14:paraId="0D55E2B9" w14:textId="6E6FA2CD" w:rsidR="00476BCF" w:rsidRDefault="009F58AB">
      <w:pPr>
        <w:pStyle w:val="normal0"/>
        <w:spacing w:line="360" w:lineRule="auto"/>
        <w:ind w:firstLine="720"/>
        <w:rPr>
          <w:color w:val="212121"/>
        </w:rPr>
      </w:pPr>
      <w:r>
        <w:rPr>
          <w:color w:val="212121"/>
        </w:rPr>
        <w:t xml:space="preserve">As an initial matter, in submitting the original petition, CLS was required to comply with A.R.S 28, which limited how much information could be provided. Rule 28(A)(1)(b) provides that petitions submitted electronically “shall comply with the length and formatting requirements of Rule 28(A)(2).” Rule 28(A)(2) provides that, while a petition “may be accompanied by supporting documentation,” the “petition and supporting documentation shall not exceed 20 pages.” Even if CLS could have anticipated that the ARC would ask for all of the information identified in its comment, given that the original petition needed to provide adequate background regarding online legal </w:t>
      </w:r>
      <w:r w:rsidR="00F04CA5">
        <w:rPr>
          <w:color w:val="212121"/>
        </w:rPr>
        <w:t>education and about CLS itself (</w:t>
      </w:r>
      <w:r>
        <w:rPr>
          <w:color w:val="212121"/>
        </w:rPr>
        <w:t>for those who are unfamiliar with either</w:t>
      </w:r>
      <w:r w:rsidR="00F04CA5">
        <w:rPr>
          <w:color w:val="212121"/>
        </w:rPr>
        <w:t>)</w:t>
      </w:r>
      <w:r>
        <w:rPr>
          <w:color w:val="212121"/>
        </w:rPr>
        <w:t>, it would not have been feasible to provide all of that data and also explain the nature of the petition itself.</w:t>
      </w:r>
    </w:p>
    <w:p w14:paraId="32E77C45" w14:textId="33E1416E" w:rsidR="00476BCF" w:rsidRDefault="009F58AB">
      <w:pPr>
        <w:pStyle w:val="normal0"/>
        <w:spacing w:line="360" w:lineRule="auto"/>
        <w:ind w:firstLine="720"/>
        <w:rPr>
          <w:color w:val="212121"/>
        </w:rPr>
      </w:pPr>
      <w:r>
        <w:rPr>
          <w:color w:val="212121"/>
        </w:rPr>
        <w:t xml:space="preserve">The ARC comment did not assert that there was anything in the petition that </w:t>
      </w:r>
      <w:r w:rsidR="00F04CA5">
        <w:rPr>
          <w:color w:val="212121"/>
        </w:rPr>
        <w:t xml:space="preserve">affirmatively </w:t>
      </w:r>
      <w:r>
        <w:rPr>
          <w:color w:val="212121"/>
        </w:rPr>
        <w:t>warranted denial of it, but rather merely that “[a]dequate information is required before the committee can address the actual merits of what CLS has proposed.” CLS is happy to provide the requested supplemental data below.</w:t>
      </w:r>
    </w:p>
    <w:p w14:paraId="75972B38" w14:textId="77777777" w:rsidR="00476BCF" w:rsidRDefault="009F58AB">
      <w:pPr>
        <w:pStyle w:val="normal0"/>
        <w:spacing w:line="360" w:lineRule="auto"/>
        <w:ind w:firstLine="720"/>
        <w:rPr>
          <w:color w:val="212121"/>
        </w:rPr>
      </w:pPr>
      <w:r>
        <w:rPr>
          <w:color w:val="212121"/>
        </w:rPr>
        <w:t>This petition is organized in response to the seven areas noted in the ARC comment. A brief postscript addresses any additional points raised by Professor Paul Bennett.</w:t>
      </w:r>
    </w:p>
    <w:p w14:paraId="43620079" w14:textId="77777777" w:rsidR="00476BCF" w:rsidRDefault="009F58AB">
      <w:pPr>
        <w:pStyle w:val="normal0"/>
        <w:spacing w:before="200" w:after="200"/>
        <w:jc w:val="both"/>
      </w:pPr>
      <w:r>
        <w:rPr>
          <w:b/>
          <w:i/>
        </w:rPr>
        <w:t>ARC Comment:</w:t>
      </w:r>
      <w:r>
        <w:rPr>
          <w:i/>
        </w:rPr>
        <w:t xml:space="preserve"> “</w:t>
      </w:r>
      <w:r w:rsidRPr="00D50C9A">
        <w:rPr>
          <w:b/>
          <w:i/>
        </w:rPr>
        <w:t>1.</w:t>
      </w:r>
      <w:r>
        <w:rPr>
          <w:i/>
        </w:rPr>
        <w:t xml:space="preserve"> CLS has not provided adequate information to support an ‘apples to apples’ comparison of its admission standards to those of all or any subset of ABA-accredited law schools.”</w:t>
      </w:r>
    </w:p>
    <w:p w14:paraId="529A7C05" w14:textId="11B577B2" w:rsidR="00476BCF" w:rsidRDefault="009F58AB" w:rsidP="009F0283">
      <w:pPr>
        <w:pStyle w:val="normal0"/>
        <w:spacing w:line="360" w:lineRule="auto"/>
        <w:ind w:firstLine="720"/>
      </w:pPr>
      <w:r>
        <w:rPr>
          <w:b/>
        </w:rPr>
        <w:t>Response</w:t>
      </w:r>
      <w:r>
        <w:t xml:space="preserve">: A full “apples to apples” comparison is not possible to provide, because the admissions processes for CLS and ABA schools are somewhat different. CLS students must take </w:t>
      </w:r>
      <w:r>
        <w:lastRenderedPageBreak/>
        <w:t xml:space="preserve">CLS’ 40-question online admissions test, analogous to the LSAT, and meet a minimum cut score of 24 out of 40 before they are permitted to submit their application. Thus, a good deal of the “weeding out” of students occurs before applications are submitted. By contrast, most ABA schools allow any interested applicant to apply as long as they submit their application fee, regardless of their LSAT score. Accordingly, the percentage of potential applicants who achieved the minimum cut score on CLS’ admissions test is the metric that best approximates ABA schools’ acceptance rates. </w:t>
      </w:r>
    </w:p>
    <w:p w14:paraId="0B94A8CE" w14:textId="77777777" w:rsidR="00476BCF" w:rsidRDefault="009F58AB">
      <w:pPr>
        <w:pStyle w:val="normal0"/>
        <w:spacing w:line="360" w:lineRule="auto"/>
        <w:ind w:firstLine="720"/>
      </w:pPr>
      <w:r>
        <w:t>As reported in CLS’ mandated disclosures, for the period from September 15, 2015 to September 2016, 37.6 percent (424 out of 1127) of its applicants scored high enough on the admissions test to move forward with their applications. Of the remaining applicants, 97.2 percent were offered admission, for an effective overall acceptance rate of 36.5 percent. By comparison, the average reported acceptance rate of the 85 ABA schools with part-time programs in 2016 was 44.6%.</w:t>
      </w:r>
      <w:r>
        <w:rPr>
          <w:vertAlign w:val="superscript"/>
        </w:rPr>
        <w:footnoteReference w:id="1"/>
      </w:r>
      <w:r>
        <w:t xml:space="preserve"> Sixty of those schools, or 70.6 percent, accepted a higher percentage of applicants.</w:t>
      </w:r>
    </w:p>
    <w:p w14:paraId="611CAA45" w14:textId="39DF5AB7" w:rsidR="00476BCF" w:rsidRDefault="009F58AB">
      <w:pPr>
        <w:pStyle w:val="normal0"/>
        <w:spacing w:line="360" w:lineRule="auto"/>
        <w:ind w:firstLine="720"/>
      </w:pPr>
      <w:r>
        <w:t>Although CLS cannot provide data on how its students admissions test scores correlate to specific LSAT scores, it is worth noting that the average 75th/50th/25th percentile LSAT across all 85 ABA part-time programs is 154/150/147, with 34 of the 85 schools, or 40 percent, having a 50th percentile LSAT below 150</w:t>
      </w:r>
      <w:r w:rsidR="005A66F5">
        <w:t>—</w:t>
      </w:r>
      <w:r>
        <w:t>the level that Law School Transparency has called “serious risk.”</w:t>
      </w:r>
      <w:r>
        <w:rPr>
          <w:vertAlign w:val="superscript"/>
        </w:rPr>
        <w:footnoteReference w:id="2"/>
      </w:r>
      <w:r>
        <w:t xml:space="preserve"> Yet students at any one of the schools may sit for Arizona’s bar exam upon graduation. </w:t>
      </w:r>
    </w:p>
    <w:p w14:paraId="23BD0531" w14:textId="05309C3D" w:rsidR="00476BCF" w:rsidRDefault="009F58AB">
      <w:pPr>
        <w:pStyle w:val="normal0"/>
        <w:spacing w:line="360" w:lineRule="auto"/>
      </w:pPr>
      <w:r>
        <w:tab/>
        <w:t xml:space="preserve">CLS’ original petition did provide “apples to apples” data </w:t>
      </w:r>
      <w:r w:rsidR="00C94C91">
        <w:t>on admitted students’</w:t>
      </w:r>
      <w:r>
        <w:t xml:space="preserve"> UGPA </w:t>
      </w:r>
      <w:r w:rsidR="00C94C91">
        <w:t>compared to those of the Arizona ABA schools</w:t>
      </w:r>
      <w:r>
        <w:t xml:space="preserve">. </w:t>
      </w:r>
      <w:r w:rsidR="00C94C91">
        <w:t>Looking</w:t>
      </w:r>
      <w:r>
        <w:t xml:space="preserve"> at national data, the average</w:t>
      </w:r>
      <w:r>
        <w:rPr>
          <w:i/>
        </w:rPr>
        <w:t xml:space="preserve"> </w:t>
      </w:r>
      <w:r>
        <w:t>75th/50th/25th percentile of all 85 ABA schools with part-time programs, as compared to CLS, is a follows:</w:t>
      </w:r>
    </w:p>
    <w:tbl>
      <w:tblPr>
        <w:tblStyle w:val="a"/>
        <w:tblW w:w="9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00"/>
        <w:gridCol w:w="3390"/>
        <w:gridCol w:w="3330"/>
      </w:tblGrid>
      <w:tr w:rsidR="00476BCF" w14:paraId="42B97A5A" w14:textId="77777777" w:rsidTr="009F0283">
        <w:tc>
          <w:tcPr>
            <w:tcW w:w="9420" w:type="dxa"/>
            <w:gridSpan w:val="3"/>
            <w:tcMar>
              <w:left w:w="28" w:type="dxa"/>
              <w:right w:w="28" w:type="dxa"/>
            </w:tcMar>
          </w:tcPr>
          <w:p w14:paraId="257CE066" w14:textId="77777777" w:rsidR="00476BCF" w:rsidRPr="009F0283" w:rsidRDefault="009F58AB">
            <w:pPr>
              <w:pStyle w:val="normal0"/>
              <w:jc w:val="center"/>
              <w:rPr>
                <w:rFonts w:eastAsia="Calibri"/>
                <w:b/>
                <w:sz w:val="22"/>
                <w:szCs w:val="22"/>
              </w:rPr>
            </w:pPr>
            <w:r w:rsidRPr="009F0283">
              <w:rPr>
                <w:rFonts w:eastAsia="Calibri"/>
                <w:b/>
                <w:sz w:val="22"/>
                <w:szCs w:val="22"/>
              </w:rPr>
              <w:t>Entering Student Undergraduate GPA, 2016</w:t>
            </w:r>
            <w:r w:rsidRPr="009F0283">
              <w:rPr>
                <w:rFonts w:eastAsia="Calibri"/>
                <w:b/>
                <w:sz w:val="22"/>
                <w:szCs w:val="22"/>
                <w:vertAlign w:val="superscript"/>
              </w:rPr>
              <w:footnoteReference w:id="3"/>
            </w:r>
          </w:p>
        </w:tc>
      </w:tr>
      <w:tr w:rsidR="00476BCF" w14:paraId="10F26698" w14:textId="77777777" w:rsidTr="009F0283">
        <w:tc>
          <w:tcPr>
            <w:tcW w:w="2700" w:type="dxa"/>
            <w:tcMar>
              <w:left w:w="43" w:type="dxa"/>
              <w:right w:w="43" w:type="dxa"/>
            </w:tcMar>
          </w:tcPr>
          <w:p w14:paraId="6097AB9B" w14:textId="77777777" w:rsidR="00476BCF" w:rsidRDefault="009F58AB">
            <w:pPr>
              <w:pStyle w:val="normal0"/>
              <w:jc w:val="center"/>
              <w:rPr>
                <w:rFonts w:ascii="Calibri" w:eastAsia="Calibri" w:hAnsi="Calibri" w:cs="Calibri"/>
                <w:sz w:val="22"/>
                <w:szCs w:val="22"/>
              </w:rPr>
            </w:pPr>
            <w:r>
              <w:rPr>
                <w:rFonts w:ascii="Calibri" w:eastAsia="Calibri" w:hAnsi="Calibri" w:cs="Calibri"/>
                <w:sz w:val="22"/>
                <w:szCs w:val="22"/>
              </w:rPr>
              <w:t>School</w:t>
            </w:r>
          </w:p>
        </w:tc>
        <w:tc>
          <w:tcPr>
            <w:tcW w:w="3390" w:type="dxa"/>
            <w:tcMar>
              <w:left w:w="43" w:type="dxa"/>
              <w:right w:w="43" w:type="dxa"/>
            </w:tcMar>
          </w:tcPr>
          <w:p w14:paraId="359F3C24" w14:textId="77777777" w:rsidR="00476BCF" w:rsidRDefault="009F58AB">
            <w:pPr>
              <w:pStyle w:val="normal0"/>
              <w:jc w:val="center"/>
              <w:rPr>
                <w:rFonts w:ascii="Calibri" w:eastAsia="Calibri" w:hAnsi="Calibri" w:cs="Calibri"/>
                <w:sz w:val="22"/>
                <w:szCs w:val="22"/>
              </w:rPr>
            </w:pPr>
            <w:r>
              <w:rPr>
                <w:rFonts w:ascii="Calibri" w:eastAsia="Calibri" w:hAnsi="Calibri" w:cs="Calibri"/>
                <w:sz w:val="22"/>
                <w:szCs w:val="22"/>
              </w:rPr>
              <w:t>All ABA Part-Time</w:t>
            </w:r>
          </w:p>
        </w:tc>
        <w:tc>
          <w:tcPr>
            <w:tcW w:w="3330" w:type="dxa"/>
            <w:tcMar>
              <w:left w:w="43" w:type="dxa"/>
              <w:right w:w="43" w:type="dxa"/>
            </w:tcMar>
          </w:tcPr>
          <w:p w14:paraId="38D2FAF5" w14:textId="77777777" w:rsidR="00476BCF" w:rsidRDefault="009F58AB">
            <w:pPr>
              <w:pStyle w:val="normal0"/>
              <w:jc w:val="center"/>
              <w:rPr>
                <w:rFonts w:ascii="Calibri" w:eastAsia="Calibri" w:hAnsi="Calibri" w:cs="Calibri"/>
                <w:sz w:val="22"/>
                <w:szCs w:val="22"/>
              </w:rPr>
            </w:pPr>
            <w:r>
              <w:rPr>
                <w:rFonts w:ascii="Calibri" w:eastAsia="Calibri" w:hAnsi="Calibri" w:cs="Calibri"/>
                <w:sz w:val="22"/>
                <w:szCs w:val="22"/>
              </w:rPr>
              <w:t>CLS (PT only)</w:t>
            </w:r>
          </w:p>
        </w:tc>
      </w:tr>
      <w:tr w:rsidR="00476BCF" w14:paraId="4E65F97E" w14:textId="77777777" w:rsidTr="009F0283">
        <w:tc>
          <w:tcPr>
            <w:tcW w:w="2700" w:type="dxa"/>
            <w:tcMar>
              <w:left w:w="43" w:type="dxa"/>
              <w:right w:w="43" w:type="dxa"/>
            </w:tcMar>
          </w:tcPr>
          <w:p w14:paraId="3E5683AD" w14:textId="77777777" w:rsidR="00476BCF" w:rsidRDefault="009F58AB">
            <w:pPr>
              <w:pStyle w:val="normal0"/>
              <w:jc w:val="right"/>
              <w:rPr>
                <w:rFonts w:ascii="Calibri" w:eastAsia="Calibri" w:hAnsi="Calibri" w:cs="Calibri"/>
                <w:sz w:val="22"/>
                <w:szCs w:val="22"/>
              </w:rPr>
            </w:pPr>
            <w:r>
              <w:rPr>
                <w:rFonts w:ascii="Calibri" w:eastAsia="Calibri" w:hAnsi="Calibri" w:cs="Calibri"/>
                <w:sz w:val="22"/>
                <w:szCs w:val="22"/>
              </w:rPr>
              <w:t>75th percentile</w:t>
            </w:r>
          </w:p>
        </w:tc>
        <w:tc>
          <w:tcPr>
            <w:tcW w:w="3390" w:type="dxa"/>
            <w:tcMar>
              <w:left w:w="43" w:type="dxa"/>
              <w:right w:w="43" w:type="dxa"/>
            </w:tcMar>
          </w:tcPr>
          <w:p w14:paraId="18064F01" w14:textId="77777777" w:rsidR="00476BCF" w:rsidRDefault="009F58AB">
            <w:pPr>
              <w:pStyle w:val="normal0"/>
              <w:jc w:val="center"/>
              <w:rPr>
                <w:rFonts w:ascii="Calibri" w:eastAsia="Calibri" w:hAnsi="Calibri" w:cs="Calibri"/>
                <w:sz w:val="22"/>
                <w:szCs w:val="22"/>
              </w:rPr>
            </w:pPr>
            <w:r>
              <w:rPr>
                <w:rFonts w:ascii="Calibri" w:eastAsia="Calibri" w:hAnsi="Calibri" w:cs="Calibri"/>
                <w:sz w:val="22"/>
                <w:szCs w:val="22"/>
              </w:rPr>
              <w:t>3.46</w:t>
            </w:r>
          </w:p>
        </w:tc>
        <w:tc>
          <w:tcPr>
            <w:tcW w:w="3330" w:type="dxa"/>
            <w:tcMar>
              <w:left w:w="43" w:type="dxa"/>
              <w:right w:w="43" w:type="dxa"/>
            </w:tcMar>
          </w:tcPr>
          <w:p w14:paraId="451193F5" w14:textId="77777777" w:rsidR="00476BCF" w:rsidRDefault="009F58AB">
            <w:pPr>
              <w:pStyle w:val="normal0"/>
              <w:jc w:val="center"/>
              <w:rPr>
                <w:rFonts w:ascii="Calibri" w:eastAsia="Calibri" w:hAnsi="Calibri" w:cs="Calibri"/>
                <w:sz w:val="22"/>
                <w:szCs w:val="22"/>
              </w:rPr>
            </w:pPr>
            <w:r>
              <w:rPr>
                <w:rFonts w:ascii="Calibri" w:eastAsia="Calibri" w:hAnsi="Calibri" w:cs="Calibri"/>
                <w:sz w:val="22"/>
                <w:szCs w:val="22"/>
              </w:rPr>
              <w:t>3.53</w:t>
            </w:r>
          </w:p>
        </w:tc>
      </w:tr>
      <w:tr w:rsidR="00476BCF" w14:paraId="611E1028" w14:textId="77777777" w:rsidTr="009F0283">
        <w:tc>
          <w:tcPr>
            <w:tcW w:w="2700" w:type="dxa"/>
            <w:tcMar>
              <w:left w:w="43" w:type="dxa"/>
              <w:right w:w="43" w:type="dxa"/>
            </w:tcMar>
          </w:tcPr>
          <w:p w14:paraId="3921284C" w14:textId="77777777" w:rsidR="00476BCF" w:rsidRDefault="009F58AB">
            <w:pPr>
              <w:pStyle w:val="normal0"/>
              <w:jc w:val="right"/>
              <w:rPr>
                <w:rFonts w:ascii="Calibri" w:eastAsia="Calibri" w:hAnsi="Calibri" w:cs="Calibri"/>
                <w:sz w:val="22"/>
                <w:szCs w:val="22"/>
              </w:rPr>
            </w:pPr>
            <w:r>
              <w:rPr>
                <w:rFonts w:ascii="Calibri" w:eastAsia="Calibri" w:hAnsi="Calibri" w:cs="Calibri"/>
                <w:sz w:val="22"/>
                <w:szCs w:val="22"/>
              </w:rPr>
              <w:t>50th percentile</w:t>
            </w:r>
          </w:p>
        </w:tc>
        <w:tc>
          <w:tcPr>
            <w:tcW w:w="3390" w:type="dxa"/>
            <w:tcMar>
              <w:left w:w="43" w:type="dxa"/>
              <w:right w:w="43" w:type="dxa"/>
            </w:tcMar>
          </w:tcPr>
          <w:p w14:paraId="4813B710" w14:textId="77777777" w:rsidR="00476BCF" w:rsidRDefault="009F58AB">
            <w:pPr>
              <w:pStyle w:val="normal0"/>
              <w:jc w:val="center"/>
              <w:rPr>
                <w:rFonts w:ascii="Calibri" w:eastAsia="Calibri" w:hAnsi="Calibri" w:cs="Calibri"/>
                <w:sz w:val="22"/>
                <w:szCs w:val="22"/>
              </w:rPr>
            </w:pPr>
            <w:r>
              <w:rPr>
                <w:rFonts w:ascii="Calibri" w:eastAsia="Calibri" w:hAnsi="Calibri" w:cs="Calibri"/>
                <w:sz w:val="22"/>
                <w:szCs w:val="22"/>
              </w:rPr>
              <w:t>3.21</w:t>
            </w:r>
          </w:p>
        </w:tc>
        <w:tc>
          <w:tcPr>
            <w:tcW w:w="3330" w:type="dxa"/>
            <w:tcMar>
              <w:left w:w="43" w:type="dxa"/>
              <w:right w:w="43" w:type="dxa"/>
            </w:tcMar>
          </w:tcPr>
          <w:p w14:paraId="3762B748" w14:textId="77777777" w:rsidR="00476BCF" w:rsidRDefault="009F58AB">
            <w:pPr>
              <w:pStyle w:val="normal0"/>
              <w:jc w:val="center"/>
              <w:rPr>
                <w:rFonts w:ascii="Calibri" w:eastAsia="Calibri" w:hAnsi="Calibri" w:cs="Calibri"/>
                <w:sz w:val="22"/>
                <w:szCs w:val="22"/>
              </w:rPr>
            </w:pPr>
            <w:r>
              <w:rPr>
                <w:rFonts w:ascii="Calibri" w:eastAsia="Calibri" w:hAnsi="Calibri" w:cs="Calibri"/>
                <w:sz w:val="22"/>
                <w:szCs w:val="22"/>
              </w:rPr>
              <w:t>3.16</w:t>
            </w:r>
          </w:p>
        </w:tc>
      </w:tr>
      <w:tr w:rsidR="00476BCF" w14:paraId="2F5DA2D2" w14:textId="77777777" w:rsidTr="009F0283">
        <w:tc>
          <w:tcPr>
            <w:tcW w:w="2700" w:type="dxa"/>
            <w:tcMar>
              <w:left w:w="43" w:type="dxa"/>
              <w:right w:w="43" w:type="dxa"/>
            </w:tcMar>
          </w:tcPr>
          <w:p w14:paraId="595EC7EA" w14:textId="77777777" w:rsidR="00476BCF" w:rsidRDefault="009F58AB">
            <w:pPr>
              <w:pStyle w:val="normal0"/>
              <w:jc w:val="right"/>
              <w:rPr>
                <w:rFonts w:ascii="Calibri" w:eastAsia="Calibri" w:hAnsi="Calibri" w:cs="Calibri"/>
                <w:sz w:val="22"/>
                <w:szCs w:val="22"/>
              </w:rPr>
            </w:pPr>
            <w:r>
              <w:rPr>
                <w:rFonts w:ascii="Calibri" w:eastAsia="Calibri" w:hAnsi="Calibri" w:cs="Calibri"/>
                <w:sz w:val="22"/>
                <w:szCs w:val="22"/>
              </w:rPr>
              <w:t>25th percentile</w:t>
            </w:r>
          </w:p>
        </w:tc>
        <w:tc>
          <w:tcPr>
            <w:tcW w:w="3390" w:type="dxa"/>
            <w:tcMar>
              <w:left w:w="43" w:type="dxa"/>
              <w:right w:w="43" w:type="dxa"/>
            </w:tcMar>
          </w:tcPr>
          <w:p w14:paraId="24283FBD" w14:textId="77777777" w:rsidR="00476BCF" w:rsidRDefault="009F58AB">
            <w:pPr>
              <w:pStyle w:val="normal0"/>
              <w:jc w:val="center"/>
              <w:rPr>
                <w:rFonts w:ascii="Calibri" w:eastAsia="Calibri" w:hAnsi="Calibri" w:cs="Calibri"/>
                <w:sz w:val="22"/>
                <w:szCs w:val="22"/>
              </w:rPr>
            </w:pPr>
            <w:r>
              <w:rPr>
                <w:rFonts w:ascii="Calibri" w:eastAsia="Calibri" w:hAnsi="Calibri" w:cs="Calibri"/>
                <w:sz w:val="22"/>
                <w:szCs w:val="22"/>
              </w:rPr>
              <w:t>2.89</w:t>
            </w:r>
          </w:p>
        </w:tc>
        <w:tc>
          <w:tcPr>
            <w:tcW w:w="3330" w:type="dxa"/>
            <w:tcMar>
              <w:left w:w="43" w:type="dxa"/>
              <w:right w:w="43" w:type="dxa"/>
            </w:tcMar>
          </w:tcPr>
          <w:p w14:paraId="3722066F" w14:textId="77777777" w:rsidR="00476BCF" w:rsidRDefault="009F58AB">
            <w:pPr>
              <w:pStyle w:val="normal0"/>
              <w:jc w:val="center"/>
              <w:rPr>
                <w:rFonts w:ascii="Calibri" w:eastAsia="Calibri" w:hAnsi="Calibri" w:cs="Calibri"/>
                <w:sz w:val="22"/>
                <w:szCs w:val="22"/>
              </w:rPr>
            </w:pPr>
            <w:r>
              <w:rPr>
                <w:rFonts w:ascii="Calibri" w:eastAsia="Calibri" w:hAnsi="Calibri" w:cs="Calibri"/>
                <w:sz w:val="22"/>
                <w:szCs w:val="22"/>
              </w:rPr>
              <w:t>2.73</w:t>
            </w:r>
          </w:p>
        </w:tc>
      </w:tr>
    </w:tbl>
    <w:p w14:paraId="363C2B9B" w14:textId="7B951A1E" w:rsidR="00476BCF" w:rsidRDefault="009F58AB">
      <w:pPr>
        <w:pStyle w:val="normal0"/>
        <w:widowControl/>
        <w:spacing w:before="200" w:line="360" w:lineRule="auto"/>
      </w:pPr>
      <w:r>
        <w:t xml:space="preserve">Of those 85 schools, 53, or 62.3 percent, have a 75th percentile UGPA lower than CLS; 32, or 37.6 percent, have a 50th percentile UGPA lower than CLS; and 21, or 24.7 percent, have a </w:t>
      </w:r>
      <w:r w:rsidR="00F04CA5">
        <w:t>25</w:t>
      </w:r>
      <w:r>
        <w:t xml:space="preserve">th percentile UGPA lower than CLS. This data shows that the typical CLS student is competitive with the typical part-time ABA school student, who may sit for the bar exam in Arizona or any of the other 50 states without any additional showing. </w:t>
      </w:r>
    </w:p>
    <w:p w14:paraId="72338479" w14:textId="77777777" w:rsidR="00380E88" w:rsidRDefault="00380E88">
      <w:pPr>
        <w:pStyle w:val="normal0"/>
        <w:widowControl/>
        <w:spacing w:before="200" w:line="360" w:lineRule="auto"/>
      </w:pPr>
    </w:p>
    <w:p w14:paraId="3D61A091" w14:textId="77777777" w:rsidR="00476BCF" w:rsidRDefault="009F58AB">
      <w:pPr>
        <w:pStyle w:val="normal0"/>
        <w:spacing w:before="200" w:after="200"/>
        <w:jc w:val="both"/>
        <w:rPr>
          <w:i/>
        </w:rPr>
      </w:pPr>
      <w:r>
        <w:rPr>
          <w:b/>
          <w:i/>
        </w:rPr>
        <w:lastRenderedPageBreak/>
        <w:t xml:space="preserve">ARC Comment: </w:t>
      </w:r>
      <w:r>
        <w:rPr>
          <w:i/>
        </w:rPr>
        <w:t>“</w:t>
      </w:r>
      <w:r w:rsidRPr="009F0283">
        <w:rPr>
          <w:b/>
          <w:i/>
        </w:rPr>
        <w:t>2.</w:t>
      </w:r>
      <w:r>
        <w:rPr>
          <w:i/>
        </w:rPr>
        <w:t xml:space="preserve"> CLS has not provided adequate information as to its efforts to obtain accreditation through the American Bar Association.” </w:t>
      </w:r>
    </w:p>
    <w:p w14:paraId="6559AA8C" w14:textId="75640C68" w:rsidR="00476BCF" w:rsidRDefault="009F58AB">
      <w:pPr>
        <w:pStyle w:val="normal0"/>
        <w:spacing w:line="360" w:lineRule="auto"/>
        <w:ind w:firstLine="720"/>
      </w:pPr>
      <w:r>
        <w:rPr>
          <w:b/>
        </w:rPr>
        <w:t>Response</w:t>
      </w:r>
      <w:r>
        <w:t xml:space="preserve">: Shortly after </w:t>
      </w:r>
      <w:r w:rsidR="009F0283">
        <w:t>Dean</w:t>
      </w:r>
      <w:r>
        <w:t xml:space="preserve"> Pritikin </w:t>
      </w:r>
      <w:r w:rsidR="009F0283">
        <w:t>joined CLS in</w:t>
      </w:r>
      <w:r>
        <w:t xml:space="preserve"> 2016, he contacted the ABA directly, and they made it clear that CLS would not be granted accreditation by the ABA as long as it remained a fully online school. CLS could only seek accreditation if it complied with the current limitations on distance learning (i.e., none in the first year, and no more than 15 units beyond that).</w:t>
      </w:r>
    </w:p>
    <w:p w14:paraId="3BF0AED3" w14:textId="052A2640" w:rsidR="00476BCF" w:rsidRDefault="009F58AB">
      <w:pPr>
        <w:pStyle w:val="normal0"/>
        <w:spacing w:line="360" w:lineRule="auto"/>
        <w:ind w:firstLine="720"/>
      </w:pPr>
      <w:r>
        <w:t>Concord has considered a hybrid online model</w:t>
      </w:r>
      <w:r w:rsidR="009F0283">
        <w:t>, but</w:t>
      </w:r>
      <w:r>
        <w:t xml:space="preserve"> conversations with dozens of alumni revealed that, due to family or work logistics </w:t>
      </w:r>
      <w:r w:rsidR="009F0283">
        <w:t>or</w:t>
      </w:r>
      <w:r>
        <w:t xml:space="preserve"> cost, most would not have been able to complete their legal education if they were required to travel to a ground campus even a few weeks a year, as is required by the Mitchell-Hamline program. CLS determined that it would undermine the value it provided to its students to shift to a hybrid model, and so has not pursued ABA accreditation further.</w:t>
      </w:r>
    </w:p>
    <w:p w14:paraId="1B6FB90F" w14:textId="12357180" w:rsidR="00476BCF" w:rsidRDefault="009F58AB">
      <w:pPr>
        <w:pStyle w:val="normal0"/>
        <w:spacing w:line="360" w:lineRule="auto"/>
        <w:ind w:firstLine="720"/>
      </w:pPr>
      <w:r>
        <w:t xml:space="preserve">Although the ABA does not appear to be willing to change its stance any time soon regarding online learning, the Committee of Bar Examiners </w:t>
      </w:r>
      <w:r w:rsidR="00F04CA5">
        <w:t xml:space="preserve">(CBE) </w:t>
      </w:r>
      <w:r>
        <w:t xml:space="preserve">of the State Bar of California has shown to be more receptive. On April 28, 2017, the CBE recommended state approval of a package of rule and statutory changes that would open up a path to state accreditation for distance learning schools, which is currently only available to fixed-facility schools. Distance learning schools are </w:t>
      </w:r>
      <w:r w:rsidR="00F04CA5">
        <w:t>currently</w:t>
      </w:r>
      <w:r>
        <w:t xml:space="preserve"> subject to many of the same regulations as fixed-facility schools, but may only be registered with, not accredited by, the CBE. One significant rule only applicable to accredited schools is that they must have a 5-year rolling cumulative pass rate on the California Bar Exam of at least 40 percent. CLS already exceeds this standard, with a 5-year rolling pass rate of 44.62 percent.</w:t>
      </w:r>
      <w:r>
        <w:rPr>
          <w:vertAlign w:val="superscript"/>
        </w:rPr>
        <w:footnoteReference w:id="4"/>
      </w:r>
    </w:p>
    <w:p w14:paraId="281B3736" w14:textId="77777777" w:rsidR="00476BCF" w:rsidRDefault="009F58AB">
      <w:pPr>
        <w:pStyle w:val="normal0"/>
        <w:spacing w:before="200" w:after="200"/>
        <w:jc w:val="both"/>
        <w:rPr>
          <w:i/>
        </w:rPr>
      </w:pPr>
      <w:r>
        <w:rPr>
          <w:b/>
          <w:i/>
        </w:rPr>
        <w:t>ARC Comment:</w:t>
      </w:r>
      <w:r>
        <w:rPr>
          <w:i/>
        </w:rPr>
        <w:t xml:space="preserve"> “</w:t>
      </w:r>
      <w:r w:rsidRPr="009F0283">
        <w:rPr>
          <w:b/>
          <w:i/>
        </w:rPr>
        <w:t>3</w:t>
      </w:r>
      <w:r>
        <w:rPr>
          <w:i/>
        </w:rPr>
        <w:t xml:space="preserve">. CLS has not provided adequate information concerning its stand-alone accreditation by the Higher Learning Commission. It appears to claim accreditation by the commission solely by force of its affiliation with Kaplan University. CLS has provided no information concerning the implications of the approval of its Petition. Does the other online law school identified by CLS as being a part of an institution accredited by a federally recognized regional accreditor (St. Francis School of Law) maintain the same admission, educational standards, and bar passage rates as CLS? Will allowing the graduates of that online law school create new opportunities for Arizona citizens and expand access to legal services in underrepresented areas?” </w:t>
      </w:r>
    </w:p>
    <w:p w14:paraId="3721E663" w14:textId="0C21D83D" w:rsidR="00476BCF" w:rsidRDefault="009F58AB">
      <w:pPr>
        <w:pStyle w:val="normal0"/>
        <w:spacing w:line="360" w:lineRule="auto"/>
        <w:ind w:firstLine="720"/>
      </w:pPr>
      <w:r>
        <w:rPr>
          <w:b/>
        </w:rPr>
        <w:t>Response:</w:t>
      </w:r>
      <w:r>
        <w:t xml:space="preserve"> CLS </w:t>
      </w:r>
      <w:r w:rsidR="00453C59">
        <w:t>is not merely “affiliate[ed]</w:t>
      </w:r>
      <w:r>
        <w:t xml:space="preserve"> with” Kaplan University (KU)</w:t>
      </w:r>
      <w:r w:rsidR="00F04CA5">
        <w:t>;</w:t>
      </w:r>
      <w:r w:rsidR="00453C59">
        <w:t xml:space="preserve"> it is a part of it, </w:t>
      </w:r>
      <w:r>
        <w:t xml:space="preserve">and as such, is subject to periodic review along with all other </w:t>
      </w:r>
      <w:r w:rsidR="00453C59">
        <w:t xml:space="preserve">KU </w:t>
      </w:r>
      <w:r>
        <w:t xml:space="preserve">schools and programs. As long as CLS is a part of </w:t>
      </w:r>
      <w:r w:rsidR="00453C59">
        <w:t>KU</w:t>
      </w:r>
      <w:r>
        <w:t xml:space="preserve">, it will not be eligible for accreditation by the HLC as if </w:t>
      </w:r>
      <w:r w:rsidR="00F04CA5">
        <w:t>it were a separate institution.</w:t>
      </w:r>
      <w:r>
        <w:t xml:space="preserve"> When CLS was a stand-alone school, it was accredited by the Distance Education and Training Council (DETC), now known as the Distance Education Accrediting Commission (DEAC).</w:t>
      </w:r>
      <w:r w:rsidR="00F04CA5">
        <w:t xml:space="preserve"> </w:t>
      </w:r>
    </w:p>
    <w:p w14:paraId="2A9040A7" w14:textId="0001CE71" w:rsidR="00476BCF" w:rsidRDefault="009F58AB">
      <w:pPr>
        <w:pStyle w:val="normal0"/>
        <w:widowControl/>
        <w:spacing w:line="360" w:lineRule="auto"/>
        <w:ind w:firstLine="720"/>
        <w:rPr>
          <w:b/>
        </w:rPr>
      </w:pPr>
      <w:r>
        <w:lastRenderedPageBreak/>
        <w:t xml:space="preserve">As noted in the </w:t>
      </w:r>
      <w:r w:rsidR="00453C59">
        <w:t>petition, in 2016, HLC, after</w:t>
      </w:r>
      <w:r>
        <w:t xml:space="preserve"> extensive review, determined KU should remain accredited through 2026 and be permitted to select the “open” pathway for future reaccreditation</w:t>
      </w:r>
      <w:r w:rsidR="005A66F5">
        <w:t>—</w:t>
      </w:r>
      <w:r>
        <w:t>an option reserved for institutions demonstrating the highest levels of quality and compliance.</w:t>
      </w:r>
      <w:r>
        <w:rPr>
          <w:b/>
        </w:rPr>
        <w:t xml:space="preserve"> </w:t>
      </w:r>
    </w:p>
    <w:p w14:paraId="7B0D1497" w14:textId="160878B5" w:rsidR="00476BCF" w:rsidRDefault="007F59E5">
      <w:pPr>
        <w:pStyle w:val="normal0"/>
        <w:spacing w:line="360" w:lineRule="auto"/>
        <w:ind w:firstLine="720"/>
      </w:pPr>
      <w:r>
        <w:t>In</w:t>
      </w:r>
      <w:r w:rsidR="009F58AB">
        <w:t xml:space="preserve"> April, it was announced that Purdue University, a</w:t>
      </w:r>
      <w:r>
        <w:t>n Indiana-based</w:t>
      </w:r>
      <w:r w:rsidR="009F58AB">
        <w:t xml:space="preserve"> public research institution</w:t>
      </w:r>
      <w:r>
        <w:t xml:space="preserve"> that is ranked 60</w:t>
      </w:r>
      <w:r>
        <w:rPr>
          <w:vertAlign w:val="superscript"/>
        </w:rPr>
        <w:t>th</w:t>
      </w:r>
      <w:r>
        <w:t xml:space="preserve"> by U.S. News &amp; World Report</w:t>
      </w:r>
      <w:r>
        <w:rPr>
          <w:vertAlign w:val="superscript"/>
        </w:rPr>
        <w:footnoteReference w:id="5"/>
      </w:r>
      <w:r w:rsidR="009F58AB">
        <w:t>, will acquire KU, including CLS, to extend Purdue’s reach into adult and online education and complement its land-grant mission.</w:t>
      </w:r>
      <w:r w:rsidR="00380E88">
        <w:rPr>
          <w:rStyle w:val="FootnoteReference"/>
        </w:rPr>
        <w:footnoteReference w:id="6"/>
      </w:r>
      <w:r w:rsidR="009F58AB">
        <w:t xml:space="preserve"> Purdue—which, like KU, is accredited by the HLC—plans to convert KU into a public, not-for-profit institution. Thus, the only two schools to whom the proposed rul</w:t>
      </w:r>
      <w:r w:rsidR="00380E88">
        <w:t>e change in Arizona would apply</w:t>
      </w:r>
      <w:r w:rsidR="005A66F5">
        <w:t>—</w:t>
      </w:r>
      <w:r w:rsidR="009F58AB">
        <w:t>CLS and St. Francis</w:t>
      </w:r>
      <w:r w:rsidR="005A66F5">
        <w:t>—</w:t>
      </w:r>
      <w:r w:rsidR="009F58AB">
        <w:t>would both have not-for-profit status.</w:t>
      </w:r>
    </w:p>
    <w:p w14:paraId="3FDBE176" w14:textId="764311EE" w:rsidR="00476BCF" w:rsidRDefault="009F58AB">
      <w:pPr>
        <w:pStyle w:val="normal0"/>
        <w:spacing w:line="360" w:lineRule="auto"/>
        <w:ind w:firstLine="720"/>
      </w:pPr>
      <w:r>
        <w:t xml:space="preserve">CLS’s degree granting authority is through registration with the </w:t>
      </w:r>
      <w:r w:rsidR="00FF7444">
        <w:t>CBE</w:t>
      </w:r>
      <w:r>
        <w:t xml:space="preserve"> of the State Bar of California. Through that registration, CLS is subject to a review every five years.</w:t>
      </w:r>
      <w:r w:rsidR="00F04CA5">
        <w:t xml:space="preserve"> </w:t>
      </w:r>
      <w:r>
        <w:t xml:space="preserve">CLS was last reviewed and granted five-year reapproval in 2014. Upon request, CLS can provide copies of the self-study required as part of the State Bar review process, which is </w:t>
      </w:r>
      <w:r w:rsidR="007F59E5">
        <w:t xml:space="preserve">a rigorous review of curriculum, </w:t>
      </w:r>
      <w:r>
        <w:t>student services, administrative services, and transparency in communications with students. Indeed, these self-evaluation reports are similar in scope and depth to those prepared in advance of ABA site evaluations, as are the annual report that CLS provides to the State Bar.</w:t>
      </w:r>
    </w:p>
    <w:p w14:paraId="71654867" w14:textId="38F887F1" w:rsidR="00476BCF" w:rsidRDefault="00453C59">
      <w:pPr>
        <w:pStyle w:val="normal0"/>
        <w:spacing w:line="360" w:lineRule="auto"/>
        <w:ind w:firstLine="720"/>
      </w:pPr>
      <w:r>
        <w:t>As for</w:t>
      </w:r>
      <w:r w:rsidR="009F58AB">
        <w:t xml:space="preserve"> St. Francis, CLS can only report what is publicly available. </w:t>
      </w:r>
      <w:r w:rsidR="007F59E5">
        <w:t xml:space="preserve">For </w:t>
      </w:r>
      <w:r w:rsidR="009F58AB">
        <w:t xml:space="preserve">the most recent year, St. Francis </w:t>
      </w:r>
      <w:r w:rsidR="007F59E5">
        <w:t>reported admitting</w:t>
      </w:r>
      <w:r w:rsidR="009F58AB">
        <w:t xml:space="preserve"> 41 of 84 applicants, or 48.2 percent</w:t>
      </w:r>
      <w:r w:rsidR="005A66F5">
        <w:t>—</w:t>
      </w:r>
      <w:r w:rsidR="009F58AB">
        <w:t>only slightly higher than the 44.6 percent average for all ABA part-time programs</w:t>
      </w:r>
      <w:r w:rsidR="007F59E5">
        <w:t xml:space="preserve"> (see </w:t>
      </w:r>
      <w:r w:rsidR="009F58AB">
        <w:t>response to Comment 1</w:t>
      </w:r>
      <w:r w:rsidR="007F59E5">
        <w:t>)</w:t>
      </w:r>
      <w:r w:rsidR="009F58AB">
        <w:t>. Although, like CLS, it does not require the LSAT, the 75th/50th/25th percentile UGPA for its most recent ent</w:t>
      </w:r>
      <w:r w:rsidR="007F59E5">
        <w:t>ering class was 3.63/3.42/2.92</w:t>
      </w:r>
      <w:r w:rsidR="005A66F5">
        <w:t>—</w:t>
      </w:r>
      <w:r w:rsidR="009F58AB">
        <w:t>higher than the ABA part-tim</w:t>
      </w:r>
      <w:r w:rsidR="007F59E5">
        <w:t>e program average</w:t>
      </w:r>
      <w:r w:rsidR="009F58AB">
        <w:t xml:space="preserve"> (3.46/3.21/2.89).</w:t>
      </w:r>
      <w:r w:rsidR="007F59E5">
        <w:rPr>
          <w:vertAlign w:val="superscript"/>
        </w:rPr>
        <w:footnoteReference w:id="7"/>
      </w:r>
      <w:r w:rsidR="009F58AB">
        <w:t xml:space="preserve"> </w:t>
      </w:r>
    </w:p>
    <w:p w14:paraId="55977DC5" w14:textId="07E69525" w:rsidR="00476BCF" w:rsidRDefault="009F58AB">
      <w:pPr>
        <w:pStyle w:val="normal0"/>
        <w:spacing w:line="360" w:lineRule="auto"/>
        <w:ind w:firstLine="720"/>
      </w:pPr>
      <w:r>
        <w:t>As for educational standards, St. Francis reports that its JD program requires 135 quarter-credits, and has an average class size of eight students.</w:t>
      </w:r>
      <w:r>
        <w:rPr>
          <w:vertAlign w:val="superscript"/>
        </w:rPr>
        <w:footnoteReference w:id="8"/>
      </w:r>
      <w:r>
        <w:t xml:space="preserve"> </w:t>
      </w:r>
      <w:r w:rsidR="009F0283">
        <w:t>S</w:t>
      </w:r>
      <w:r>
        <w:t>tudents attend live classes twice per week, through face-to-face or voice-to-voice interaction, in a seemingly classic Socratic format. Students are “expected to spend a total of about 18 hours per week attending classes, engaging with other students and [their] instructor on the discussion board, writing assignments, completing projects, and other related activities.”</w:t>
      </w:r>
      <w:r>
        <w:rPr>
          <w:vertAlign w:val="superscript"/>
        </w:rPr>
        <w:footnoteReference w:id="9"/>
      </w:r>
      <w:r>
        <w:t xml:space="preserve"> Students submit writing assignments and take proctored final exams.</w:t>
      </w:r>
    </w:p>
    <w:p w14:paraId="2FC0CD34" w14:textId="77777777" w:rsidR="00476BCF" w:rsidRDefault="009F58AB">
      <w:pPr>
        <w:pStyle w:val="normal0"/>
        <w:spacing w:line="360" w:lineRule="auto"/>
        <w:ind w:firstLine="720"/>
      </w:pPr>
      <w:r>
        <w:t xml:space="preserve">As for bar passage rates, because St. Francis opened its part-time program in 2011, July 2016 is the first and only administration of the California bar exam for which passage data is available. On </w:t>
      </w:r>
      <w:r>
        <w:lastRenderedPageBreak/>
        <w:t>that exam, two of its three takers passed, for a pass rate of 66.6 percent.</w:t>
      </w:r>
      <w:r>
        <w:rPr>
          <w:vertAlign w:val="superscript"/>
        </w:rPr>
        <w:footnoteReference w:id="10"/>
      </w:r>
      <w:r>
        <w:t xml:space="preserve"> While this is obviously a limited data set from which to draw conclusions, nothing about it suggests that allowing St. Francis graduates, any more than CLS graduates, to sit for the Arizona bar exam presents any consumer protection risk or a dilution of attorney qualification standards.</w:t>
      </w:r>
    </w:p>
    <w:p w14:paraId="128D072E" w14:textId="77777777" w:rsidR="00476BCF" w:rsidRDefault="009F58AB">
      <w:pPr>
        <w:pStyle w:val="normal0"/>
        <w:spacing w:line="360" w:lineRule="auto"/>
        <w:ind w:firstLine="720"/>
      </w:pPr>
      <w:r>
        <w:t xml:space="preserve">CLS cannot report on whether allowing St. Francis graduates to sit for the Arizona Bar Exam will “create new opportunities for Arizona citizens and expand access to legal services in underrepresented areas.” CLS does not have access to St. Francis’ student or alumni data, and as just noted, St. Francis apparently has only a handful of graduates who are eligible to sit for a bar exam. </w:t>
      </w:r>
    </w:p>
    <w:p w14:paraId="47592788" w14:textId="0613DD83" w:rsidR="00476BCF" w:rsidRDefault="009F58AB">
      <w:pPr>
        <w:pStyle w:val="normal0"/>
        <w:spacing w:line="360" w:lineRule="auto"/>
        <w:ind w:firstLine="720"/>
      </w:pPr>
      <w:r>
        <w:t>But even if CLS had such data, the request for this information is</w:t>
      </w:r>
      <w:r w:rsidR="00FF7444">
        <w:t>, respectfully,</w:t>
      </w:r>
      <w:r>
        <w:t xml:space="preserve"> somewhat circular. It stands to reason that online law school students (and thus graduates) will be more likely to hail from areas with no law school nearby, which tend to be the same places that are underrepresented by lawyers. CLS can confirm anecdotally that this is the case with its own students (see response to ARC Comment 6 below). But CLS cannot demonstrate empirically that citizens from underrepresented areas of Arizona will choose to attend online law schools if given the opportunity to sit for the Arizona bar exam upon graduation, because that opportunity does not yet exist. </w:t>
      </w:r>
    </w:p>
    <w:p w14:paraId="424E729C" w14:textId="048880F0" w:rsidR="00476BCF" w:rsidRDefault="009F58AB">
      <w:pPr>
        <w:pStyle w:val="normal0"/>
        <w:spacing w:line="360" w:lineRule="auto"/>
        <w:ind w:firstLine="720"/>
        <w:rPr>
          <w:sz w:val="26"/>
          <w:szCs w:val="26"/>
        </w:rPr>
      </w:pPr>
      <w:r>
        <w:t>Because CLS has already shown that its admission standards, and those of St. Francis, are comparable to those of ABA part-time programs, unobtainable data about the intentions of hypothetical future students should not be required to approve the petition. Online law students are not ABA “rejects.” They are bright students enrolled in schools whose method of delivery provides inherent opportunities to address geographical and cost disparities in legal education that fixed-facility schools</w:t>
      </w:r>
      <w:r w:rsidR="005A66F5">
        <w:t>—</w:t>
      </w:r>
      <w:r>
        <w:t>or even hybrid online schools</w:t>
      </w:r>
      <w:r w:rsidR="005A66F5">
        <w:t>—</w:t>
      </w:r>
      <w:r>
        <w:t xml:space="preserve"> not. </w:t>
      </w:r>
    </w:p>
    <w:p w14:paraId="568F9B38" w14:textId="77777777" w:rsidR="00476BCF" w:rsidRDefault="009F58AB">
      <w:pPr>
        <w:pStyle w:val="normal0"/>
        <w:spacing w:before="200" w:after="200"/>
        <w:jc w:val="both"/>
        <w:rPr>
          <w:i/>
        </w:rPr>
      </w:pPr>
      <w:r>
        <w:rPr>
          <w:b/>
          <w:i/>
        </w:rPr>
        <w:t xml:space="preserve">ARC Comment: </w:t>
      </w:r>
      <w:r>
        <w:rPr>
          <w:i/>
        </w:rPr>
        <w:t>“</w:t>
      </w:r>
      <w:r w:rsidRPr="009F0283">
        <w:rPr>
          <w:b/>
          <w:i/>
        </w:rPr>
        <w:t>4</w:t>
      </w:r>
      <w:r>
        <w:rPr>
          <w:i/>
        </w:rPr>
        <w:t xml:space="preserve">. CLS indicates that its applicants are not required to provide a score on the Law School Admission Test when considered for admission to its program. CLS has not provided adequate information as to its use of any comparable testing mechanism to ensure its applicants have a reasonable chance of successfully completing its program if admitted (and to pass the California Bar Examination upon graduation from CLS).” </w:t>
      </w:r>
    </w:p>
    <w:p w14:paraId="5E42974C" w14:textId="77777777" w:rsidR="00476BCF" w:rsidRDefault="009F58AB">
      <w:pPr>
        <w:pStyle w:val="normal0"/>
        <w:spacing w:line="360" w:lineRule="auto"/>
        <w:ind w:firstLine="720"/>
      </w:pPr>
      <w:r>
        <w:rPr>
          <w:b/>
        </w:rPr>
        <w:t xml:space="preserve">Response: </w:t>
      </w:r>
      <w:r>
        <w:t xml:space="preserve">CLS is unsure what additional information regarding its online admissions test would be sufficient for the ARC. The admissions test has two parts totaling 40 mostly multiple-choice questions, and is taken under timed conditions. CLS is reluctant to disclose the contents of the test itself in a publicly filed document, given that the test is proprietary, and that prospective students may thereby gain access to the questions prior to taking it, compromising the results. </w:t>
      </w:r>
    </w:p>
    <w:p w14:paraId="3BB3244A" w14:textId="2F0806CD" w:rsidR="00476BCF" w:rsidRDefault="009F58AB">
      <w:pPr>
        <w:pStyle w:val="normal0"/>
        <w:spacing w:line="360" w:lineRule="auto"/>
        <w:ind w:firstLine="720"/>
      </w:pPr>
      <w:r>
        <w:t xml:space="preserve">However, CLS recently conducted an internal analysis of the factors that correlate to its </w:t>
      </w:r>
      <w:r>
        <w:lastRenderedPageBreak/>
        <w:t>students</w:t>
      </w:r>
      <w:r w:rsidR="00FF7444">
        <w:t>’</w:t>
      </w:r>
      <w:r>
        <w:t xml:space="preserve"> law school grades and success on the bar exam. Among a variety of factors, it was determined that prospective students’ scores on the admissions test </w:t>
      </w:r>
      <w:r w:rsidR="00FF7444">
        <w:t xml:space="preserve">was </w:t>
      </w:r>
      <w:r>
        <w:t>more important than UGPA, and that a metric referred to as “admission points,” which combines UGPA and admissions test scores, was the single best predictor of first year and overall law school grades. This is illustrated by the below chart:</w:t>
      </w:r>
    </w:p>
    <w:p w14:paraId="6283F104" w14:textId="77777777" w:rsidR="00476BCF" w:rsidRDefault="009F58AB">
      <w:pPr>
        <w:pStyle w:val="normal0"/>
        <w:spacing w:line="360" w:lineRule="auto"/>
        <w:rPr>
          <w:sz w:val="26"/>
          <w:szCs w:val="26"/>
        </w:rPr>
      </w:pPr>
      <w:r>
        <w:rPr>
          <w:noProof/>
        </w:rPr>
        <w:drawing>
          <wp:inline distT="114300" distB="114300" distL="114300" distR="114300" wp14:anchorId="07CC90DC" wp14:editId="53AFE20F">
            <wp:extent cx="4635500" cy="2999232"/>
            <wp:effectExtent l="25400" t="25400" r="12700" b="23495"/>
            <wp:docPr id="5" name="Picture 5"/>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rotWithShape="1">
                    <a:blip r:embed="rId14"/>
                    <a:srcRect l="1901" t="2913" r="1887" b="2900"/>
                    <a:stretch/>
                  </pic:blipFill>
                  <pic:spPr bwMode="auto">
                    <a:xfrm>
                      <a:off x="0" y="0"/>
                      <a:ext cx="4635500" cy="2999232"/>
                    </a:xfrm>
                    <a:prstGeom prst="rect">
                      <a:avLst/>
                    </a:prstGeom>
                    <a:ln w="12700" cap="flat" cmpd="sng" algn="ctr">
                      <a:solidFill>
                        <a:srgbClr val="000000"/>
                      </a:solidFill>
                      <a:prstDash val="solid"/>
                      <a:round/>
                      <a:headEnd type="none" w="med" len="med"/>
                      <a:tailEnd type="none" w="med" len="med"/>
                    </a:ln>
                    <a:extLst>
                      <a:ext uri="{53640926-AAD7-44d8-BBD7-CCE9431645EC}">
                        <a14:shadowObscured xmlns:a14="http://schemas.microsoft.com/office/drawing/2010/main"/>
                      </a:ext>
                      <a:ext uri="{FAA26D3D-D897-4be2-8F04-BA451C77F1D7}">
                        <ma14:placeholderFlag xmlns:ma14="http://schemas.microsoft.com/office/mac/drawingml/2011/main"/>
                      </a:ext>
                    </a:extLst>
                  </pic:spPr>
                </pic:pic>
              </a:graphicData>
            </a:graphic>
          </wp:inline>
        </w:drawing>
      </w:r>
    </w:p>
    <w:p w14:paraId="7AC200E3" w14:textId="2AA215EB" w:rsidR="00476BCF" w:rsidRDefault="00453C59">
      <w:pPr>
        <w:pStyle w:val="normal0"/>
        <w:spacing w:line="360" w:lineRule="auto"/>
      </w:pPr>
      <w:r>
        <w:t>1L</w:t>
      </w:r>
      <w:r w:rsidR="009F58AB">
        <w:t xml:space="preserve"> and overall law school GPA were, in turn, the most important factors predicting </w:t>
      </w:r>
      <w:r>
        <w:t xml:space="preserve">bar exam </w:t>
      </w:r>
      <w:r w:rsidR="009F58AB">
        <w:t>success:</w:t>
      </w:r>
    </w:p>
    <w:p w14:paraId="7FA90DE1" w14:textId="77777777" w:rsidR="00476BCF" w:rsidRDefault="009F58AB">
      <w:pPr>
        <w:pStyle w:val="normal0"/>
        <w:spacing w:line="360" w:lineRule="auto"/>
        <w:rPr>
          <w:sz w:val="26"/>
          <w:szCs w:val="26"/>
        </w:rPr>
      </w:pPr>
      <w:r>
        <w:rPr>
          <w:noProof/>
        </w:rPr>
        <w:drawing>
          <wp:inline distT="19050" distB="19050" distL="19050" distR="19050" wp14:anchorId="5921BCCB" wp14:editId="6F48FE01">
            <wp:extent cx="4666098" cy="2776627"/>
            <wp:effectExtent l="25400" t="25400" r="33020" b="1778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rotWithShape="1">
                    <a:blip r:embed="rId15"/>
                    <a:srcRect l="1901" t="3192" r="1893" b="6344"/>
                    <a:stretch/>
                  </pic:blipFill>
                  <pic:spPr>
                    <a:xfrm>
                      <a:off x="0" y="0"/>
                      <a:ext cx="4666406" cy="2776811"/>
                    </a:xfrm>
                    <a:prstGeom prst="rect">
                      <a:avLst/>
                    </a:prstGeom>
                    <a:ln w="12700">
                      <a:solidFill>
                        <a:srgbClr val="000000"/>
                      </a:solidFill>
                      <a:prstDash val="solid"/>
                    </a:ln>
                  </pic:spPr>
                </pic:pic>
              </a:graphicData>
            </a:graphic>
          </wp:inline>
        </w:drawing>
      </w:r>
    </w:p>
    <w:p w14:paraId="1386760A" w14:textId="5138200B" w:rsidR="00476BCF" w:rsidRDefault="009F58AB">
      <w:pPr>
        <w:pStyle w:val="normal0"/>
        <w:spacing w:line="360" w:lineRule="auto"/>
        <w:rPr>
          <w:i/>
          <w:sz w:val="26"/>
          <w:szCs w:val="26"/>
        </w:rPr>
      </w:pPr>
      <w:r>
        <w:t xml:space="preserve">While there is a relatively weak correlation between UGPA or other admissions factors and bar exam passage, this is to be expected. </w:t>
      </w:r>
      <w:r w:rsidR="00453C59">
        <w:t>Studies consistently show that</w:t>
      </w:r>
      <w:r>
        <w:t xml:space="preserve"> law school</w:t>
      </w:r>
      <w:r w:rsidR="00453C59">
        <w:t xml:space="preserve"> performance</w:t>
      </w:r>
      <w:r>
        <w:t xml:space="preserve"> is a far better predictor of bar exam success than the metrics that are available </w:t>
      </w:r>
      <w:r w:rsidR="00453C59">
        <w:t>at admission</w:t>
      </w:r>
      <w:r>
        <w:t xml:space="preserve">. </w:t>
      </w:r>
    </w:p>
    <w:p w14:paraId="286B1681" w14:textId="20C070D6" w:rsidR="00476BCF" w:rsidRDefault="009F58AB">
      <w:pPr>
        <w:pStyle w:val="normal0"/>
        <w:spacing w:before="200" w:after="200"/>
        <w:jc w:val="both"/>
        <w:rPr>
          <w:i/>
        </w:rPr>
      </w:pPr>
      <w:r>
        <w:rPr>
          <w:b/>
          <w:i/>
        </w:rPr>
        <w:lastRenderedPageBreak/>
        <w:t>ARC Comment:</w:t>
      </w:r>
      <w:r w:rsidRPr="009F0283">
        <w:rPr>
          <w:b/>
          <w:i/>
        </w:rPr>
        <w:t xml:space="preserve"> 5</w:t>
      </w:r>
      <w:r>
        <w:rPr>
          <w:i/>
        </w:rPr>
        <w:t xml:space="preserve">. CLS has not provided adequate information as to the first-time taker and overall pass rates of its graduates on the California Bar Examination. CLS should have that information readily available from the date its graduates have first qualified to sit for the California Bar Examination to date. It should provide a comparison of those rates to ABA-accredited law school graduates, the graduates of California’s accredited law schools, and the graduates of California’s other registered, but unaccredited, law schools. CLS has not provided adequate information as to its attrition rates and the success of its students on the California First Year Law Student Examination (and compared to other registered, but unaccredited, law schools in California). </w:t>
      </w:r>
    </w:p>
    <w:p w14:paraId="2F4B2789" w14:textId="3EC99CAD" w:rsidR="00476BCF" w:rsidRDefault="009F58AB">
      <w:pPr>
        <w:pStyle w:val="normal0"/>
        <w:spacing w:line="360" w:lineRule="auto"/>
        <w:ind w:firstLine="720"/>
      </w:pPr>
      <w:r>
        <w:rPr>
          <w:b/>
        </w:rPr>
        <w:t xml:space="preserve">Response: </w:t>
      </w:r>
      <w:r>
        <w:t xml:space="preserve">CLS’ original petition accurately reported its historical </w:t>
      </w:r>
      <w:r w:rsidR="00FF7444">
        <w:t>bar</w:t>
      </w:r>
      <w:r>
        <w:t xml:space="preserve"> </w:t>
      </w:r>
      <w:r w:rsidR="00FF7444">
        <w:t xml:space="preserve">exam and FYLSE </w:t>
      </w:r>
      <w:r>
        <w:t>pass rates. Below</w:t>
      </w:r>
      <w:r w:rsidR="009F0283">
        <w:t xml:space="preserve"> and in the appendices</w:t>
      </w:r>
      <w:r>
        <w:t>, CLS provides the further additional data requested by the ARC.</w:t>
      </w:r>
    </w:p>
    <w:p w14:paraId="1D2CFFC0" w14:textId="63028AC2" w:rsidR="00476BCF" w:rsidRPr="009F0283" w:rsidRDefault="009F58AB" w:rsidP="009F0283">
      <w:pPr>
        <w:pStyle w:val="normal0"/>
        <w:spacing w:line="360" w:lineRule="auto"/>
        <w:ind w:firstLine="720"/>
      </w:pPr>
      <w:r>
        <w:rPr>
          <w:b/>
        </w:rPr>
        <w:t>California Bar Exam</w:t>
      </w:r>
      <w:r>
        <w:t xml:space="preserve">. As shown in the table below, CLS graduates’ first-time pass rate on the California Bar Exam has </w:t>
      </w:r>
      <w:r w:rsidR="0038142C">
        <w:t>averaged</w:t>
      </w:r>
      <w:r>
        <w:t xml:space="preserve"> </w:t>
      </w:r>
      <w:r w:rsidR="0038142C">
        <w:t>about 34</w:t>
      </w:r>
      <w:r>
        <w:t xml:space="preserve"> percent, an</w:t>
      </w:r>
      <w:r w:rsidR="0038142C">
        <w:t>d their ultimate pass rate about 51</w:t>
      </w:r>
      <w:r>
        <w:t xml:space="preserve"> percent. </w:t>
      </w:r>
    </w:p>
    <w:tbl>
      <w:tblPr>
        <w:tblStyle w:val="a0"/>
        <w:tblW w:w="8160" w:type="dxa"/>
        <w:jc w:val="center"/>
        <w:tblBorders>
          <w:top w:val="nil"/>
          <w:left w:val="nil"/>
          <w:bottom w:val="nil"/>
          <w:right w:val="nil"/>
          <w:insideH w:val="nil"/>
          <w:insideV w:val="nil"/>
        </w:tblBorders>
        <w:tblLayout w:type="fixed"/>
        <w:tblLook w:val="0600" w:firstRow="0" w:lastRow="0" w:firstColumn="0" w:lastColumn="0" w:noHBand="1" w:noVBand="1"/>
      </w:tblPr>
      <w:tblGrid>
        <w:gridCol w:w="4035"/>
        <w:gridCol w:w="4125"/>
      </w:tblGrid>
      <w:tr w:rsidR="00476BCF" w14:paraId="6D907F19" w14:textId="77777777" w:rsidTr="00AF4E1F">
        <w:trPr>
          <w:jc w:val="center"/>
        </w:trPr>
        <w:tc>
          <w:tcPr>
            <w:tcW w:w="4035" w:type="dxa"/>
            <w:tcBorders>
              <w:top w:val="single" w:sz="6" w:space="0" w:color="CCCCCC"/>
              <w:left w:val="single" w:sz="6" w:space="0" w:color="CCCCCC"/>
              <w:bottom w:val="single" w:sz="6" w:space="0" w:color="CCCCCC"/>
              <w:right w:val="single" w:sz="6" w:space="0" w:color="CCCCCC"/>
            </w:tcBorders>
            <w:shd w:val="clear" w:color="auto" w:fill="F9F9F9"/>
            <w:tcMar>
              <w:top w:w="43" w:type="dxa"/>
              <w:left w:w="43" w:type="dxa"/>
              <w:bottom w:w="43" w:type="dxa"/>
              <w:right w:w="43" w:type="dxa"/>
            </w:tcMar>
          </w:tcPr>
          <w:p w14:paraId="625C1D20" w14:textId="77777777" w:rsidR="00476BCF" w:rsidRDefault="009F58AB">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Total Takers</w:t>
            </w:r>
          </w:p>
        </w:tc>
        <w:tc>
          <w:tcPr>
            <w:tcW w:w="412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02D62D32" w14:textId="6E3B1CC4" w:rsidR="00476BCF" w:rsidRDefault="0038142C">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1,101</w:t>
            </w:r>
          </w:p>
        </w:tc>
      </w:tr>
      <w:tr w:rsidR="00476BCF" w14:paraId="630929BE" w14:textId="77777777" w:rsidTr="00AF4E1F">
        <w:trPr>
          <w:jc w:val="center"/>
        </w:trPr>
        <w:tc>
          <w:tcPr>
            <w:tcW w:w="403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5B68DB2B" w14:textId="77777777" w:rsidR="00476BCF" w:rsidRDefault="009F58AB">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First-Time Passers</w:t>
            </w:r>
          </w:p>
        </w:tc>
        <w:tc>
          <w:tcPr>
            <w:tcW w:w="412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60ACDF8E" w14:textId="53E4523D" w:rsidR="00476BCF" w:rsidRDefault="009F58AB">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37</w:t>
            </w:r>
            <w:r w:rsidR="0038142C">
              <w:rPr>
                <w:rFonts w:ascii="Calibri" w:eastAsia="Calibri" w:hAnsi="Calibri" w:cs="Calibri"/>
                <w:color w:val="333333"/>
                <w:sz w:val="18"/>
                <w:szCs w:val="18"/>
                <w:highlight w:val="white"/>
              </w:rPr>
              <w:t>7</w:t>
            </w:r>
          </w:p>
        </w:tc>
      </w:tr>
      <w:tr w:rsidR="00476BCF" w14:paraId="75D1581F" w14:textId="77777777" w:rsidTr="00AF4E1F">
        <w:trPr>
          <w:jc w:val="center"/>
        </w:trPr>
        <w:tc>
          <w:tcPr>
            <w:tcW w:w="403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71935216" w14:textId="77777777" w:rsidR="00476BCF" w:rsidRDefault="009F58AB">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First-Time Pass Rate</w:t>
            </w:r>
          </w:p>
        </w:tc>
        <w:tc>
          <w:tcPr>
            <w:tcW w:w="412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3BC0FDB2" w14:textId="47A18B78" w:rsidR="00476BCF" w:rsidRDefault="0038142C">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34.2</w:t>
            </w:r>
            <w:r w:rsidR="009F58AB">
              <w:rPr>
                <w:rFonts w:ascii="Calibri" w:eastAsia="Calibri" w:hAnsi="Calibri" w:cs="Calibri"/>
                <w:color w:val="333333"/>
                <w:sz w:val="18"/>
                <w:szCs w:val="18"/>
                <w:highlight w:val="white"/>
              </w:rPr>
              <w:t>%</w:t>
            </w:r>
          </w:p>
        </w:tc>
      </w:tr>
      <w:tr w:rsidR="00476BCF" w14:paraId="30B831AD" w14:textId="77777777" w:rsidTr="00AF4E1F">
        <w:trPr>
          <w:jc w:val="center"/>
        </w:trPr>
        <w:tc>
          <w:tcPr>
            <w:tcW w:w="403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7B2EA1E2" w14:textId="77777777" w:rsidR="00476BCF" w:rsidRDefault="009F58AB">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Repeat Passers</w:t>
            </w:r>
          </w:p>
        </w:tc>
        <w:tc>
          <w:tcPr>
            <w:tcW w:w="412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4705486C" w14:textId="69CE55FA" w:rsidR="00476BCF" w:rsidRDefault="009F58AB">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w:t>
            </w:r>
            <w:r w:rsidR="0038142C">
              <w:rPr>
                <w:rFonts w:ascii="Calibri" w:eastAsia="Calibri" w:hAnsi="Calibri" w:cs="Calibri"/>
                <w:color w:val="333333"/>
                <w:sz w:val="18"/>
                <w:szCs w:val="18"/>
                <w:highlight w:val="white"/>
              </w:rPr>
              <w:t>90</w:t>
            </w:r>
          </w:p>
        </w:tc>
      </w:tr>
      <w:tr w:rsidR="00476BCF" w14:paraId="21288A98" w14:textId="77777777" w:rsidTr="00AF4E1F">
        <w:trPr>
          <w:jc w:val="center"/>
        </w:trPr>
        <w:tc>
          <w:tcPr>
            <w:tcW w:w="403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2556768B" w14:textId="77777777" w:rsidR="00476BCF" w:rsidRDefault="009F58AB">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Ultimate Pass Rate</w:t>
            </w:r>
          </w:p>
        </w:tc>
        <w:tc>
          <w:tcPr>
            <w:tcW w:w="412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010E6AEC" w14:textId="4252363E" w:rsidR="00476BCF" w:rsidRDefault="0038142C">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51.4</w:t>
            </w:r>
            <w:r w:rsidR="009F58AB">
              <w:rPr>
                <w:rFonts w:ascii="Calibri" w:eastAsia="Calibri" w:hAnsi="Calibri" w:cs="Calibri"/>
                <w:color w:val="333333"/>
                <w:sz w:val="18"/>
                <w:szCs w:val="18"/>
                <w:highlight w:val="white"/>
              </w:rPr>
              <w:t>%</w:t>
            </w:r>
          </w:p>
        </w:tc>
      </w:tr>
    </w:tbl>
    <w:p w14:paraId="2B59BF2A" w14:textId="77777777" w:rsidR="00476BCF" w:rsidRDefault="009F58AB">
      <w:pPr>
        <w:pStyle w:val="normal0"/>
        <w:spacing w:before="200" w:line="360" w:lineRule="auto"/>
      </w:pPr>
      <w:r>
        <w:t xml:space="preserve">Obviously, these are not as high as the averages among most ABA law schools. However, it would not be fair to conclude that this differential reflects inferior quality among either CLS’ graduates or its program of legal education. </w:t>
      </w:r>
    </w:p>
    <w:p w14:paraId="2D077A59" w14:textId="77777777" w:rsidR="00476BCF" w:rsidRDefault="009F58AB">
      <w:pPr>
        <w:pStyle w:val="normal0"/>
        <w:spacing w:line="360" w:lineRule="auto"/>
        <w:ind w:firstLine="720"/>
      </w:pPr>
      <w:r>
        <w:t>CLS students are bright, but phenomenally busy. Not only must they balance their law study with full-time work and personal commitments throughout their four years of law school; they also generally do not have the luxury of taking two-and-a-half months off between graduation and the bar exam itself to study for the exam full-time, as many ABA graduates do. The below compares how many hours per week CLS students and ABA students reported spending on reading and preparing for class, on one hand, and engaging in paid work or caring for dependents, on the other:</w:t>
      </w:r>
    </w:p>
    <w:tbl>
      <w:tblPr>
        <w:tblStyle w:val="a1"/>
        <w:tblW w:w="9675" w:type="dxa"/>
        <w:tblInd w:w="-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95"/>
        <w:gridCol w:w="600"/>
        <w:gridCol w:w="1395"/>
        <w:gridCol w:w="1410"/>
        <w:gridCol w:w="1410"/>
        <w:gridCol w:w="1365"/>
      </w:tblGrid>
      <w:tr w:rsidR="00476BCF" w14:paraId="3C66F691" w14:textId="77777777">
        <w:trPr>
          <w:trHeight w:val="240"/>
        </w:trPr>
        <w:tc>
          <w:tcPr>
            <w:tcW w:w="9675" w:type="dxa"/>
            <w:gridSpan w:val="6"/>
            <w:tcMar>
              <w:top w:w="14" w:type="dxa"/>
              <w:left w:w="14" w:type="dxa"/>
              <w:bottom w:w="14" w:type="dxa"/>
              <w:right w:w="14" w:type="dxa"/>
            </w:tcMar>
            <w:vAlign w:val="bottom"/>
          </w:tcPr>
          <w:p w14:paraId="12ED807D" w14:textId="593377A9" w:rsidR="00476BCF" w:rsidRPr="00FF7444" w:rsidRDefault="009F58AB" w:rsidP="00FF7444">
            <w:pPr>
              <w:pStyle w:val="normal0"/>
              <w:widowControl/>
              <w:contextualSpacing w:val="0"/>
              <w:jc w:val="center"/>
            </w:pPr>
            <w:r>
              <w:rPr>
                <w:b/>
                <w:sz w:val="22"/>
                <w:szCs w:val="22"/>
              </w:rPr>
              <w:t>2015 Law School Survey of Student Engagement</w:t>
            </w:r>
            <w:r w:rsidR="00FF7444">
              <w:rPr>
                <w:sz w:val="22"/>
                <w:szCs w:val="22"/>
              </w:rPr>
              <w:t xml:space="preserve"> (data on file with author)</w:t>
            </w:r>
          </w:p>
        </w:tc>
      </w:tr>
      <w:tr w:rsidR="00476BCF" w14:paraId="5093B119" w14:textId="77777777">
        <w:tc>
          <w:tcPr>
            <w:tcW w:w="3495" w:type="dxa"/>
            <w:tcMar>
              <w:top w:w="14" w:type="dxa"/>
              <w:left w:w="14" w:type="dxa"/>
              <w:bottom w:w="14" w:type="dxa"/>
              <w:right w:w="14" w:type="dxa"/>
            </w:tcMar>
            <w:vAlign w:val="bottom"/>
          </w:tcPr>
          <w:p w14:paraId="550DEEE1" w14:textId="77777777" w:rsidR="00476BCF" w:rsidRDefault="009F58AB">
            <w:pPr>
              <w:pStyle w:val="normal0"/>
              <w:contextualSpacing w:val="0"/>
              <w:jc w:val="center"/>
            </w:pPr>
            <w:r>
              <w:rPr>
                <w:b/>
                <w:sz w:val="22"/>
                <w:szCs w:val="22"/>
              </w:rPr>
              <w:t>Metric</w:t>
            </w:r>
          </w:p>
        </w:tc>
        <w:tc>
          <w:tcPr>
            <w:tcW w:w="600" w:type="dxa"/>
            <w:tcMar>
              <w:top w:w="14" w:type="dxa"/>
              <w:left w:w="14" w:type="dxa"/>
              <w:bottom w:w="14" w:type="dxa"/>
              <w:right w:w="14" w:type="dxa"/>
            </w:tcMar>
          </w:tcPr>
          <w:p w14:paraId="129219F0" w14:textId="77777777" w:rsidR="00476BCF" w:rsidRDefault="00476BCF">
            <w:pPr>
              <w:pStyle w:val="normal0"/>
              <w:contextualSpacing w:val="0"/>
            </w:pPr>
          </w:p>
        </w:tc>
        <w:tc>
          <w:tcPr>
            <w:tcW w:w="1395" w:type="dxa"/>
            <w:shd w:val="clear" w:color="auto" w:fill="EFEFEF"/>
            <w:tcMar>
              <w:top w:w="14" w:type="dxa"/>
              <w:left w:w="14" w:type="dxa"/>
              <w:bottom w:w="14" w:type="dxa"/>
              <w:right w:w="14" w:type="dxa"/>
            </w:tcMar>
            <w:vAlign w:val="bottom"/>
          </w:tcPr>
          <w:p w14:paraId="09F9CAC2" w14:textId="77777777" w:rsidR="00476BCF" w:rsidRDefault="009F58AB">
            <w:pPr>
              <w:pStyle w:val="normal0"/>
              <w:contextualSpacing w:val="0"/>
              <w:jc w:val="center"/>
            </w:pPr>
            <w:r>
              <w:rPr>
                <w:b/>
                <w:sz w:val="22"/>
                <w:szCs w:val="22"/>
              </w:rPr>
              <w:t>CLS</w:t>
            </w:r>
          </w:p>
        </w:tc>
        <w:tc>
          <w:tcPr>
            <w:tcW w:w="1410" w:type="dxa"/>
            <w:tcMar>
              <w:top w:w="14" w:type="dxa"/>
              <w:left w:w="14" w:type="dxa"/>
              <w:bottom w:w="14" w:type="dxa"/>
              <w:right w:w="14" w:type="dxa"/>
            </w:tcMar>
            <w:vAlign w:val="bottom"/>
          </w:tcPr>
          <w:p w14:paraId="4EE41B4A" w14:textId="77777777" w:rsidR="00476BCF" w:rsidRDefault="009F58AB">
            <w:pPr>
              <w:pStyle w:val="normal0"/>
              <w:contextualSpacing w:val="0"/>
              <w:jc w:val="center"/>
            </w:pPr>
            <w:r>
              <w:rPr>
                <w:b/>
                <w:sz w:val="22"/>
                <w:szCs w:val="22"/>
              </w:rPr>
              <w:t xml:space="preserve">“Top Tier” </w:t>
            </w:r>
          </w:p>
        </w:tc>
        <w:tc>
          <w:tcPr>
            <w:tcW w:w="1410" w:type="dxa"/>
            <w:tcMar>
              <w:top w:w="14" w:type="dxa"/>
              <w:left w:w="14" w:type="dxa"/>
              <w:bottom w:w="14" w:type="dxa"/>
              <w:right w:w="14" w:type="dxa"/>
            </w:tcMar>
            <w:vAlign w:val="bottom"/>
          </w:tcPr>
          <w:p w14:paraId="1FF7C32C" w14:textId="77777777" w:rsidR="00476BCF" w:rsidRDefault="009F58AB">
            <w:pPr>
              <w:pStyle w:val="normal0"/>
              <w:contextualSpacing w:val="0"/>
              <w:jc w:val="center"/>
            </w:pPr>
            <w:r>
              <w:rPr>
                <w:b/>
                <w:sz w:val="22"/>
                <w:szCs w:val="22"/>
              </w:rPr>
              <w:t>Peer Schools</w:t>
            </w:r>
          </w:p>
        </w:tc>
        <w:tc>
          <w:tcPr>
            <w:tcW w:w="1365" w:type="dxa"/>
            <w:tcMar>
              <w:top w:w="14" w:type="dxa"/>
              <w:left w:w="14" w:type="dxa"/>
              <w:bottom w:w="14" w:type="dxa"/>
              <w:right w:w="14" w:type="dxa"/>
            </w:tcMar>
            <w:vAlign w:val="bottom"/>
          </w:tcPr>
          <w:p w14:paraId="7F0727ED" w14:textId="77777777" w:rsidR="00476BCF" w:rsidRDefault="009F58AB">
            <w:pPr>
              <w:pStyle w:val="normal0"/>
              <w:contextualSpacing w:val="0"/>
              <w:jc w:val="center"/>
            </w:pPr>
            <w:r>
              <w:rPr>
                <w:b/>
                <w:sz w:val="22"/>
                <w:szCs w:val="22"/>
              </w:rPr>
              <w:t>All Schools</w:t>
            </w:r>
          </w:p>
        </w:tc>
      </w:tr>
      <w:tr w:rsidR="00476BCF" w14:paraId="4FA26C0D" w14:textId="77777777">
        <w:tc>
          <w:tcPr>
            <w:tcW w:w="3495" w:type="dxa"/>
            <w:tcMar>
              <w:top w:w="14" w:type="dxa"/>
              <w:left w:w="14" w:type="dxa"/>
              <w:bottom w:w="14" w:type="dxa"/>
              <w:right w:w="14" w:type="dxa"/>
            </w:tcMar>
          </w:tcPr>
          <w:p w14:paraId="4CFDEB9D" w14:textId="77777777" w:rsidR="00476BCF" w:rsidRDefault="009F58AB">
            <w:pPr>
              <w:pStyle w:val="normal0"/>
              <w:contextualSpacing w:val="0"/>
            </w:pPr>
            <w:r>
              <w:rPr>
                <w:sz w:val="20"/>
                <w:szCs w:val="20"/>
              </w:rPr>
              <w:t>Hours per week spent reading and preparing for class</w:t>
            </w:r>
          </w:p>
        </w:tc>
        <w:tc>
          <w:tcPr>
            <w:tcW w:w="600" w:type="dxa"/>
            <w:tcMar>
              <w:top w:w="14" w:type="dxa"/>
              <w:left w:w="14" w:type="dxa"/>
              <w:bottom w:w="14" w:type="dxa"/>
              <w:right w:w="14" w:type="dxa"/>
            </w:tcMar>
          </w:tcPr>
          <w:p w14:paraId="4444D694" w14:textId="77777777" w:rsidR="00476BCF" w:rsidRDefault="009F58AB">
            <w:pPr>
              <w:pStyle w:val="normal0"/>
              <w:contextualSpacing w:val="0"/>
            </w:pPr>
            <w:r>
              <w:rPr>
                <w:sz w:val="20"/>
                <w:szCs w:val="20"/>
              </w:rPr>
              <w:t>1L</w:t>
            </w:r>
          </w:p>
          <w:p w14:paraId="1FE8BEDD" w14:textId="77777777" w:rsidR="00476BCF" w:rsidRDefault="009F58AB">
            <w:pPr>
              <w:pStyle w:val="normal0"/>
              <w:contextualSpacing w:val="0"/>
            </w:pPr>
            <w:r>
              <w:rPr>
                <w:sz w:val="20"/>
                <w:szCs w:val="20"/>
              </w:rPr>
              <w:t>2L</w:t>
            </w:r>
          </w:p>
          <w:p w14:paraId="3EEEE89F" w14:textId="77777777" w:rsidR="00476BCF" w:rsidRDefault="009F58AB">
            <w:pPr>
              <w:pStyle w:val="normal0"/>
              <w:contextualSpacing w:val="0"/>
            </w:pPr>
            <w:r>
              <w:rPr>
                <w:sz w:val="20"/>
                <w:szCs w:val="20"/>
              </w:rPr>
              <w:t>3L</w:t>
            </w:r>
          </w:p>
          <w:p w14:paraId="6E5EE869" w14:textId="77777777" w:rsidR="00476BCF" w:rsidRDefault="009F58AB">
            <w:pPr>
              <w:pStyle w:val="normal0"/>
              <w:contextualSpacing w:val="0"/>
            </w:pPr>
            <w:r>
              <w:rPr>
                <w:sz w:val="20"/>
                <w:szCs w:val="20"/>
              </w:rPr>
              <w:t>4L</w:t>
            </w:r>
          </w:p>
        </w:tc>
        <w:tc>
          <w:tcPr>
            <w:tcW w:w="1395" w:type="dxa"/>
            <w:shd w:val="clear" w:color="auto" w:fill="EFEFEF"/>
            <w:tcMar>
              <w:top w:w="14" w:type="dxa"/>
              <w:left w:w="14" w:type="dxa"/>
              <w:bottom w:w="14" w:type="dxa"/>
              <w:right w:w="14" w:type="dxa"/>
            </w:tcMar>
          </w:tcPr>
          <w:p w14:paraId="4A06FD61" w14:textId="77777777" w:rsidR="00476BCF" w:rsidRDefault="009F58AB">
            <w:pPr>
              <w:pStyle w:val="normal0"/>
              <w:contextualSpacing w:val="0"/>
              <w:jc w:val="center"/>
            </w:pPr>
            <w:r>
              <w:rPr>
                <w:sz w:val="20"/>
                <w:szCs w:val="20"/>
              </w:rPr>
              <w:t>36.18</w:t>
            </w:r>
          </w:p>
          <w:p w14:paraId="0933482F" w14:textId="77777777" w:rsidR="00476BCF" w:rsidRDefault="009F58AB">
            <w:pPr>
              <w:pStyle w:val="normal0"/>
              <w:contextualSpacing w:val="0"/>
              <w:jc w:val="center"/>
            </w:pPr>
            <w:r>
              <w:rPr>
                <w:sz w:val="20"/>
                <w:szCs w:val="20"/>
              </w:rPr>
              <w:t>35.90</w:t>
            </w:r>
          </w:p>
          <w:p w14:paraId="0F64F3AA" w14:textId="77777777" w:rsidR="00476BCF" w:rsidRDefault="009F58AB">
            <w:pPr>
              <w:pStyle w:val="normal0"/>
              <w:contextualSpacing w:val="0"/>
              <w:jc w:val="center"/>
            </w:pPr>
            <w:r>
              <w:rPr>
                <w:sz w:val="20"/>
                <w:szCs w:val="20"/>
              </w:rPr>
              <w:t>32.11</w:t>
            </w:r>
          </w:p>
          <w:p w14:paraId="2EE48A44" w14:textId="77777777" w:rsidR="00476BCF" w:rsidRDefault="009F58AB">
            <w:pPr>
              <w:pStyle w:val="normal0"/>
              <w:contextualSpacing w:val="0"/>
              <w:jc w:val="center"/>
            </w:pPr>
            <w:r>
              <w:rPr>
                <w:sz w:val="20"/>
                <w:szCs w:val="20"/>
              </w:rPr>
              <w:t>29.44</w:t>
            </w:r>
          </w:p>
        </w:tc>
        <w:tc>
          <w:tcPr>
            <w:tcW w:w="1410" w:type="dxa"/>
            <w:tcMar>
              <w:top w:w="14" w:type="dxa"/>
              <w:left w:w="14" w:type="dxa"/>
              <w:bottom w:w="14" w:type="dxa"/>
              <w:right w:w="14" w:type="dxa"/>
            </w:tcMar>
          </w:tcPr>
          <w:p w14:paraId="10990D73" w14:textId="77777777" w:rsidR="00476BCF" w:rsidRDefault="009F58AB">
            <w:pPr>
              <w:pStyle w:val="normal0"/>
              <w:contextualSpacing w:val="0"/>
              <w:jc w:val="center"/>
            </w:pPr>
            <w:r>
              <w:rPr>
                <w:sz w:val="20"/>
                <w:szCs w:val="20"/>
              </w:rPr>
              <w:t>28.91</w:t>
            </w:r>
          </w:p>
          <w:p w14:paraId="5AA5B7D6" w14:textId="77777777" w:rsidR="00476BCF" w:rsidRDefault="009F58AB">
            <w:pPr>
              <w:pStyle w:val="normal0"/>
              <w:contextualSpacing w:val="0"/>
              <w:jc w:val="center"/>
            </w:pPr>
            <w:r>
              <w:rPr>
                <w:sz w:val="20"/>
                <w:szCs w:val="20"/>
              </w:rPr>
              <w:t>25.43</w:t>
            </w:r>
          </w:p>
          <w:p w14:paraId="228A7C63" w14:textId="77777777" w:rsidR="00476BCF" w:rsidRDefault="009F58AB">
            <w:pPr>
              <w:pStyle w:val="normal0"/>
              <w:contextualSpacing w:val="0"/>
              <w:jc w:val="center"/>
            </w:pPr>
            <w:r>
              <w:rPr>
                <w:sz w:val="20"/>
                <w:szCs w:val="20"/>
              </w:rPr>
              <w:t>20.60</w:t>
            </w:r>
          </w:p>
        </w:tc>
        <w:tc>
          <w:tcPr>
            <w:tcW w:w="1410" w:type="dxa"/>
            <w:tcMar>
              <w:top w:w="14" w:type="dxa"/>
              <w:left w:w="14" w:type="dxa"/>
              <w:bottom w:w="14" w:type="dxa"/>
              <w:right w:w="14" w:type="dxa"/>
            </w:tcMar>
          </w:tcPr>
          <w:p w14:paraId="35D2AE2B" w14:textId="77777777" w:rsidR="00476BCF" w:rsidRDefault="009F58AB">
            <w:pPr>
              <w:pStyle w:val="normal0"/>
              <w:contextualSpacing w:val="0"/>
              <w:jc w:val="center"/>
            </w:pPr>
            <w:r>
              <w:rPr>
                <w:sz w:val="20"/>
                <w:szCs w:val="20"/>
              </w:rPr>
              <w:t>30.21</w:t>
            </w:r>
          </w:p>
          <w:p w14:paraId="6E70770B" w14:textId="77777777" w:rsidR="00476BCF" w:rsidRDefault="009F58AB">
            <w:pPr>
              <w:pStyle w:val="normal0"/>
              <w:contextualSpacing w:val="0"/>
              <w:jc w:val="center"/>
            </w:pPr>
            <w:r>
              <w:rPr>
                <w:sz w:val="20"/>
                <w:szCs w:val="20"/>
              </w:rPr>
              <w:t>25.49</w:t>
            </w:r>
          </w:p>
          <w:p w14:paraId="6B93CF83" w14:textId="77777777" w:rsidR="00476BCF" w:rsidRDefault="009F58AB">
            <w:pPr>
              <w:pStyle w:val="normal0"/>
              <w:contextualSpacing w:val="0"/>
              <w:jc w:val="center"/>
            </w:pPr>
            <w:r>
              <w:rPr>
                <w:sz w:val="20"/>
                <w:szCs w:val="20"/>
              </w:rPr>
              <w:t>21.06</w:t>
            </w:r>
          </w:p>
          <w:p w14:paraId="208CD1CC" w14:textId="77777777" w:rsidR="00476BCF" w:rsidRDefault="009F58AB">
            <w:pPr>
              <w:pStyle w:val="normal0"/>
              <w:contextualSpacing w:val="0"/>
              <w:jc w:val="center"/>
            </w:pPr>
            <w:r>
              <w:rPr>
                <w:sz w:val="20"/>
                <w:szCs w:val="20"/>
              </w:rPr>
              <w:t>18.90</w:t>
            </w:r>
          </w:p>
        </w:tc>
        <w:tc>
          <w:tcPr>
            <w:tcW w:w="1365" w:type="dxa"/>
            <w:tcMar>
              <w:top w:w="14" w:type="dxa"/>
              <w:left w:w="14" w:type="dxa"/>
              <w:bottom w:w="14" w:type="dxa"/>
              <w:right w:w="14" w:type="dxa"/>
            </w:tcMar>
          </w:tcPr>
          <w:p w14:paraId="555946AA" w14:textId="77777777" w:rsidR="00476BCF" w:rsidRDefault="009F58AB">
            <w:pPr>
              <w:pStyle w:val="normal0"/>
              <w:contextualSpacing w:val="0"/>
              <w:jc w:val="center"/>
            </w:pPr>
            <w:r>
              <w:rPr>
                <w:sz w:val="20"/>
                <w:szCs w:val="20"/>
              </w:rPr>
              <w:t>30.66</w:t>
            </w:r>
          </w:p>
          <w:p w14:paraId="5CF8D381" w14:textId="77777777" w:rsidR="00476BCF" w:rsidRDefault="009F58AB">
            <w:pPr>
              <w:pStyle w:val="normal0"/>
              <w:contextualSpacing w:val="0"/>
              <w:jc w:val="center"/>
            </w:pPr>
            <w:r>
              <w:rPr>
                <w:sz w:val="20"/>
                <w:szCs w:val="20"/>
              </w:rPr>
              <w:t>25.94</w:t>
            </w:r>
          </w:p>
          <w:p w14:paraId="50D6DD58" w14:textId="77777777" w:rsidR="00476BCF" w:rsidRDefault="009F58AB">
            <w:pPr>
              <w:pStyle w:val="normal0"/>
              <w:contextualSpacing w:val="0"/>
              <w:jc w:val="center"/>
            </w:pPr>
            <w:r>
              <w:rPr>
                <w:sz w:val="20"/>
                <w:szCs w:val="20"/>
              </w:rPr>
              <w:t>22.21</w:t>
            </w:r>
          </w:p>
          <w:p w14:paraId="5DF65EDF" w14:textId="77777777" w:rsidR="00476BCF" w:rsidRDefault="009F58AB">
            <w:pPr>
              <w:pStyle w:val="normal0"/>
              <w:contextualSpacing w:val="0"/>
              <w:jc w:val="center"/>
            </w:pPr>
            <w:r>
              <w:rPr>
                <w:sz w:val="20"/>
                <w:szCs w:val="20"/>
              </w:rPr>
              <w:t>18.52</w:t>
            </w:r>
          </w:p>
        </w:tc>
      </w:tr>
      <w:tr w:rsidR="00476BCF" w14:paraId="1C5A5F2B" w14:textId="77777777">
        <w:tc>
          <w:tcPr>
            <w:tcW w:w="3495" w:type="dxa"/>
            <w:tcMar>
              <w:top w:w="14" w:type="dxa"/>
              <w:left w:w="14" w:type="dxa"/>
              <w:bottom w:w="14" w:type="dxa"/>
              <w:right w:w="14" w:type="dxa"/>
            </w:tcMar>
          </w:tcPr>
          <w:p w14:paraId="2517FCCD" w14:textId="77777777" w:rsidR="00476BCF" w:rsidRDefault="009F58AB">
            <w:pPr>
              <w:pStyle w:val="normal0"/>
              <w:contextualSpacing w:val="0"/>
            </w:pPr>
            <w:r>
              <w:rPr>
                <w:sz w:val="20"/>
                <w:szCs w:val="20"/>
              </w:rPr>
              <w:t>Working for pay or providing care for dependents living with you (parents, children, spouse, etc.)</w:t>
            </w:r>
          </w:p>
        </w:tc>
        <w:tc>
          <w:tcPr>
            <w:tcW w:w="600" w:type="dxa"/>
            <w:tcMar>
              <w:top w:w="14" w:type="dxa"/>
              <w:left w:w="14" w:type="dxa"/>
              <w:bottom w:w="14" w:type="dxa"/>
              <w:right w:w="14" w:type="dxa"/>
            </w:tcMar>
          </w:tcPr>
          <w:p w14:paraId="244A024A" w14:textId="77777777" w:rsidR="00476BCF" w:rsidRDefault="009F58AB">
            <w:pPr>
              <w:pStyle w:val="normal0"/>
              <w:contextualSpacing w:val="0"/>
            </w:pPr>
            <w:r>
              <w:rPr>
                <w:sz w:val="20"/>
                <w:szCs w:val="20"/>
              </w:rPr>
              <w:t>1L</w:t>
            </w:r>
          </w:p>
          <w:p w14:paraId="4646A51A" w14:textId="77777777" w:rsidR="00476BCF" w:rsidRDefault="009F58AB">
            <w:pPr>
              <w:pStyle w:val="normal0"/>
              <w:contextualSpacing w:val="0"/>
            </w:pPr>
            <w:r>
              <w:rPr>
                <w:sz w:val="20"/>
                <w:szCs w:val="20"/>
              </w:rPr>
              <w:t>2L</w:t>
            </w:r>
          </w:p>
          <w:p w14:paraId="1F38B695" w14:textId="77777777" w:rsidR="00476BCF" w:rsidRDefault="009F58AB">
            <w:pPr>
              <w:pStyle w:val="normal0"/>
              <w:contextualSpacing w:val="0"/>
            </w:pPr>
            <w:r>
              <w:rPr>
                <w:sz w:val="20"/>
                <w:szCs w:val="20"/>
              </w:rPr>
              <w:t>3L</w:t>
            </w:r>
          </w:p>
          <w:p w14:paraId="5DC12754" w14:textId="77777777" w:rsidR="00476BCF" w:rsidRDefault="009F58AB">
            <w:pPr>
              <w:pStyle w:val="normal0"/>
              <w:contextualSpacing w:val="0"/>
            </w:pPr>
            <w:r>
              <w:rPr>
                <w:sz w:val="20"/>
                <w:szCs w:val="20"/>
              </w:rPr>
              <w:t>4L</w:t>
            </w:r>
          </w:p>
        </w:tc>
        <w:tc>
          <w:tcPr>
            <w:tcW w:w="1395" w:type="dxa"/>
            <w:shd w:val="clear" w:color="auto" w:fill="EFEFEF"/>
            <w:tcMar>
              <w:top w:w="14" w:type="dxa"/>
              <w:left w:w="14" w:type="dxa"/>
              <w:bottom w:w="14" w:type="dxa"/>
              <w:right w:w="14" w:type="dxa"/>
            </w:tcMar>
          </w:tcPr>
          <w:p w14:paraId="560E9A01" w14:textId="77777777" w:rsidR="00476BCF" w:rsidRDefault="009F58AB">
            <w:pPr>
              <w:pStyle w:val="normal0"/>
              <w:contextualSpacing w:val="0"/>
              <w:jc w:val="center"/>
            </w:pPr>
            <w:r>
              <w:rPr>
                <w:sz w:val="20"/>
                <w:szCs w:val="20"/>
              </w:rPr>
              <w:t>45.56</w:t>
            </w:r>
          </w:p>
          <w:p w14:paraId="09370610" w14:textId="77777777" w:rsidR="00476BCF" w:rsidRDefault="009F58AB">
            <w:pPr>
              <w:pStyle w:val="normal0"/>
              <w:contextualSpacing w:val="0"/>
              <w:jc w:val="center"/>
            </w:pPr>
            <w:r>
              <w:rPr>
                <w:sz w:val="20"/>
                <w:szCs w:val="20"/>
              </w:rPr>
              <w:t>40.36</w:t>
            </w:r>
          </w:p>
          <w:p w14:paraId="1EF0444B" w14:textId="77777777" w:rsidR="00476BCF" w:rsidRDefault="009F58AB">
            <w:pPr>
              <w:pStyle w:val="normal0"/>
              <w:contextualSpacing w:val="0"/>
              <w:jc w:val="center"/>
            </w:pPr>
            <w:r>
              <w:rPr>
                <w:sz w:val="20"/>
                <w:szCs w:val="20"/>
              </w:rPr>
              <w:t>46.81</w:t>
            </w:r>
          </w:p>
          <w:p w14:paraId="0278B8BB" w14:textId="77777777" w:rsidR="00476BCF" w:rsidRDefault="009F58AB">
            <w:pPr>
              <w:pStyle w:val="normal0"/>
              <w:contextualSpacing w:val="0"/>
              <w:jc w:val="center"/>
            </w:pPr>
            <w:r>
              <w:rPr>
                <w:sz w:val="20"/>
                <w:szCs w:val="20"/>
              </w:rPr>
              <w:t>48.29</w:t>
            </w:r>
          </w:p>
        </w:tc>
        <w:tc>
          <w:tcPr>
            <w:tcW w:w="1410" w:type="dxa"/>
            <w:tcMar>
              <w:top w:w="14" w:type="dxa"/>
              <w:left w:w="14" w:type="dxa"/>
              <w:bottom w:w="14" w:type="dxa"/>
              <w:right w:w="14" w:type="dxa"/>
            </w:tcMar>
          </w:tcPr>
          <w:p w14:paraId="6C539C59" w14:textId="77777777" w:rsidR="00476BCF" w:rsidRDefault="009F58AB">
            <w:pPr>
              <w:pStyle w:val="normal0"/>
              <w:contextualSpacing w:val="0"/>
              <w:jc w:val="center"/>
            </w:pPr>
            <w:r>
              <w:rPr>
                <w:sz w:val="20"/>
                <w:szCs w:val="20"/>
              </w:rPr>
              <w:t>5.87</w:t>
            </w:r>
          </w:p>
          <w:p w14:paraId="5EA1E7F0" w14:textId="77777777" w:rsidR="00476BCF" w:rsidRDefault="009F58AB">
            <w:pPr>
              <w:pStyle w:val="normal0"/>
              <w:contextualSpacing w:val="0"/>
              <w:jc w:val="center"/>
            </w:pPr>
            <w:r>
              <w:rPr>
                <w:sz w:val="20"/>
                <w:szCs w:val="20"/>
              </w:rPr>
              <w:t>9.66</w:t>
            </w:r>
          </w:p>
          <w:p w14:paraId="044BB86F" w14:textId="77777777" w:rsidR="00476BCF" w:rsidRDefault="009F58AB">
            <w:pPr>
              <w:pStyle w:val="normal0"/>
              <w:contextualSpacing w:val="0"/>
              <w:jc w:val="center"/>
            </w:pPr>
            <w:r>
              <w:rPr>
                <w:sz w:val="20"/>
                <w:szCs w:val="20"/>
              </w:rPr>
              <w:t>10.60</w:t>
            </w:r>
          </w:p>
        </w:tc>
        <w:tc>
          <w:tcPr>
            <w:tcW w:w="1410" w:type="dxa"/>
            <w:tcMar>
              <w:top w:w="14" w:type="dxa"/>
              <w:left w:w="14" w:type="dxa"/>
              <w:bottom w:w="14" w:type="dxa"/>
              <w:right w:w="14" w:type="dxa"/>
            </w:tcMar>
          </w:tcPr>
          <w:p w14:paraId="67EF306C" w14:textId="77777777" w:rsidR="00476BCF" w:rsidRDefault="009F58AB">
            <w:pPr>
              <w:pStyle w:val="normal0"/>
              <w:contextualSpacing w:val="0"/>
              <w:jc w:val="center"/>
            </w:pPr>
            <w:r>
              <w:rPr>
                <w:sz w:val="20"/>
                <w:szCs w:val="20"/>
              </w:rPr>
              <w:t>8.20</w:t>
            </w:r>
          </w:p>
          <w:p w14:paraId="5E217E9E" w14:textId="77777777" w:rsidR="00476BCF" w:rsidRDefault="009F58AB">
            <w:pPr>
              <w:pStyle w:val="normal0"/>
              <w:contextualSpacing w:val="0"/>
              <w:jc w:val="center"/>
            </w:pPr>
            <w:r>
              <w:rPr>
                <w:sz w:val="20"/>
                <w:szCs w:val="20"/>
              </w:rPr>
              <w:t>10.68</w:t>
            </w:r>
          </w:p>
          <w:p w14:paraId="46035601" w14:textId="77777777" w:rsidR="00476BCF" w:rsidRDefault="009F58AB">
            <w:pPr>
              <w:pStyle w:val="normal0"/>
              <w:contextualSpacing w:val="0"/>
              <w:jc w:val="center"/>
            </w:pPr>
            <w:r>
              <w:rPr>
                <w:sz w:val="20"/>
                <w:szCs w:val="20"/>
              </w:rPr>
              <w:t>12.65</w:t>
            </w:r>
          </w:p>
          <w:p w14:paraId="09073FB4" w14:textId="77777777" w:rsidR="00476BCF" w:rsidRDefault="009F58AB">
            <w:pPr>
              <w:pStyle w:val="normal0"/>
              <w:contextualSpacing w:val="0"/>
              <w:jc w:val="center"/>
            </w:pPr>
            <w:r>
              <w:rPr>
                <w:sz w:val="20"/>
                <w:szCs w:val="20"/>
              </w:rPr>
              <w:t>29.43</w:t>
            </w:r>
          </w:p>
        </w:tc>
        <w:tc>
          <w:tcPr>
            <w:tcW w:w="1365" w:type="dxa"/>
            <w:tcMar>
              <w:top w:w="14" w:type="dxa"/>
              <w:left w:w="14" w:type="dxa"/>
              <w:bottom w:w="14" w:type="dxa"/>
              <w:right w:w="14" w:type="dxa"/>
            </w:tcMar>
          </w:tcPr>
          <w:p w14:paraId="76239FF9" w14:textId="77777777" w:rsidR="00476BCF" w:rsidRDefault="009F58AB">
            <w:pPr>
              <w:pStyle w:val="normal0"/>
              <w:contextualSpacing w:val="0"/>
              <w:jc w:val="center"/>
            </w:pPr>
            <w:r>
              <w:rPr>
                <w:sz w:val="20"/>
                <w:szCs w:val="20"/>
              </w:rPr>
              <w:t>9.00</w:t>
            </w:r>
          </w:p>
          <w:p w14:paraId="4FBD0D84" w14:textId="77777777" w:rsidR="00476BCF" w:rsidRDefault="009F58AB">
            <w:pPr>
              <w:pStyle w:val="normal0"/>
              <w:contextualSpacing w:val="0"/>
              <w:jc w:val="center"/>
            </w:pPr>
            <w:r>
              <w:rPr>
                <w:sz w:val="20"/>
                <w:szCs w:val="20"/>
              </w:rPr>
              <w:t>12.22</w:t>
            </w:r>
          </w:p>
          <w:p w14:paraId="22BC56C0" w14:textId="77777777" w:rsidR="00476BCF" w:rsidRDefault="009F58AB">
            <w:pPr>
              <w:pStyle w:val="normal0"/>
              <w:contextualSpacing w:val="0"/>
              <w:jc w:val="center"/>
            </w:pPr>
            <w:r>
              <w:rPr>
                <w:sz w:val="20"/>
                <w:szCs w:val="20"/>
              </w:rPr>
              <w:t>13.65</w:t>
            </w:r>
          </w:p>
          <w:p w14:paraId="2E58B667" w14:textId="77777777" w:rsidR="00476BCF" w:rsidRDefault="009F58AB">
            <w:pPr>
              <w:pStyle w:val="normal0"/>
              <w:contextualSpacing w:val="0"/>
              <w:jc w:val="center"/>
            </w:pPr>
            <w:r>
              <w:rPr>
                <w:sz w:val="20"/>
                <w:szCs w:val="20"/>
              </w:rPr>
              <w:t>34.12</w:t>
            </w:r>
          </w:p>
        </w:tc>
      </w:tr>
    </w:tbl>
    <w:p w14:paraId="5201AE9D" w14:textId="77777777" w:rsidR="00476BCF" w:rsidRDefault="009F58AB">
      <w:pPr>
        <w:pStyle w:val="normal0"/>
        <w:widowControl/>
        <w:spacing w:before="60" w:line="360" w:lineRule="auto"/>
      </w:pPr>
      <w:r>
        <w:t xml:space="preserve">CLS students who have managed to balance these 70 to 80 hour per week commitments for four years have already demonstrated incredible work ethic and strength of character—important qualities for legal professionals. Those students who have made it through CLS are arguably precisely the </w:t>
      </w:r>
      <w:r>
        <w:lastRenderedPageBreak/>
        <w:t>candidates a state should want to allow to sit for its attorney licensing exam, and those that can pass that exam are precisely those the state should want serving its residents.</w:t>
      </w:r>
    </w:p>
    <w:p w14:paraId="2594AD81" w14:textId="77777777" w:rsidR="00476BCF" w:rsidRDefault="009F58AB">
      <w:pPr>
        <w:pStyle w:val="normal0"/>
        <w:widowControl/>
        <w:spacing w:before="60" w:line="360" w:lineRule="auto"/>
      </w:pPr>
      <w:r>
        <w:tab/>
        <w:t>Notwithstanding these obstacles, CLS takes it obligations to prepare each of its students for the bar exam seriously, and has recently undertaken concrete additional steps in that regard. First, CLS has reached an agreement with Kaplan Bar Review, a sister company, to provide steeply discounted bar prep program to CLS’ graduating students. Second, CLS has expanded its bar-oriented Capstone course from a twelve-week program to a year-long course that spans the entire 4L year. Third, CLS is revising its entire required curriculum, and is integrating both practice-oriented material and bar exam skills practice even more thoroughly in each course.</w:t>
      </w:r>
    </w:p>
    <w:p w14:paraId="430210EE" w14:textId="4665D8E2" w:rsidR="00BA3476" w:rsidRDefault="009F58AB" w:rsidP="00BA3476">
      <w:pPr>
        <w:pStyle w:val="normal0"/>
        <w:widowControl/>
        <w:spacing w:before="60" w:line="360" w:lineRule="auto"/>
      </w:pPr>
      <w:r>
        <w:tab/>
        <w:t>CLS can provide data regarding its performance relative to California accredited and un</w:t>
      </w:r>
      <w:r w:rsidR="009F0283">
        <w:t xml:space="preserve">accredited schools. </w:t>
      </w:r>
      <w:r>
        <w:t xml:space="preserve">CLS first time pass rates have been higher than </w:t>
      </w:r>
      <w:r w:rsidR="009F0283">
        <w:t>those</w:t>
      </w:r>
      <w:r>
        <w:t xml:space="preserve"> for all unaccredited schools for 14 out of 20 exam administrations for which comparative data is available, and higher than </w:t>
      </w:r>
      <w:r w:rsidR="009F0283">
        <w:t xml:space="preserve">those </w:t>
      </w:r>
      <w:r>
        <w:t xml:space="preserve">for all California-accredited schools for 11 out of 21 such examinations. CLS’ overall pass rate has been higher than that for all unaccredited schools for 19 out of 20 examinations, and higher than or equal to all California-accredited schools for 14 out of 20 examinations.) </w:t>
      </w:r>
    </w:p>
    <w:p w14:paraId="0F5EE8EB" w14:textId="77777777" w:rsidR="00BA3476" w:rsidRDefault="009F58AB" w:rsidP="00BA3476">
      <w:pPr>
        <w:pStyle w:val="normal0"/>
        <w:widowControl/>
        <w:spacing w:before="60" w:line="360" w:lineRule="auto"/>
        <w:ind w:firstLine="720"/>
      </w:pPr>
      <w:r>
        <w:t>Because ARC sought detailed comparative bar pass data on a per-administration basis, that is provided in Appendix</w:t>
      </w:r>
      <w:r w:rsidR="00F56AC9">
        <w:t xml:space="preserve"> B</w:t>
      </w:r>
      <w:r>
        <w:t>, broken out by first-time and overall pass rates, as requested.</w:t>
      </w:r>
    </w:p>
    <w:p w14:paraId="0C4B661A" w14:textId="5215527F" w:rsidR="00BA3476" w:rsidRDefault="009F58AB" w:rsidP="00BA3476">
      <w:pPr>
        <w:pStyle w:val="normal0"/>
        <w:widowControl/>
        <w:spacing w:before="60" w:line="360" w:lineRule="auto"/>
        <w:ind w:firstLine="720"/>
      </w:pPr>
      <w:r>
        <w:rPr>
          <w:b/>
        </w:rPr>
        <w:t xml:space="preserve">FYLSE. </w:t>
      </w:r>
      <w:r>
        <w:t xml:space="preserve">Since CLS students started sitting for the </w:t>
      </w:r>
      <w:r w:rsidR="009F0283">
        <w:t>FYLSE</w:t>
      </w:r>
      <w:r>
        <w:t xml:space="preserve"> in October 1999, 3,402 students have taken the exam. Concord student </w:t>
      </w:r>
      <w:r w:rsidR="009F0283">
        <w:t xml:space="preserve">have a first time pass rate of </w:t>
      </w:r>
      <w:r>
        <w:t>31.8% and an ultimate pass rate of 48.8% (1,083 first-time and 577 repeat-taker passers, for a total of 1,660 students passing).</w:t>
      </w:r>
      <w:r>
        <w:rPr>
          <w:color w:val="7A7E84"/>
          <w:highlight w:val="white"/>
        </w:rPr>
        <w:t xml:space="preserve"> </w:t>
      </w:r>
    </w:p>
    <w:p w14:paraId="09D39715" w14:textId="4398A98B" w:rsidR="00476BCF" w:rsidRPr="00BA3476" w:rsidRDefault="009F58AB" w:rsidP="00BA3476">
      <w:pPr>
        <w:pStyle w:val="normal0"/>
        <w:widowControl/>
        <w:spacing w:before="60" w:line="360" w:lineRule="auto"/>
        <w:ind w:firstLine="720"/>
      </w:pPr>
      <w:r>
        <w:rPr>
          <w:highlight w:val="white"/>
        </w:rPr>
        <w:t xml:space="preserve">The CLS first-time pass rate has been higher than the first time pass rate of all takers for 24 out of 35 administrations, and higher than that of all unaccredited schools for 9 out of 20 administrations for which data is available. (Other cohorts were too small to warrant comparison.) CLS’ overall pass rate has been higher than the first time pass rate of all takers as well as all unaccredited schools for 13 out of 20 administrations for which data is available. Detailed information as requested is provided in Appendix </w:t>
      </w:r>
      <w:r w:rsidR="00F56AC9">
        <w:rPr>
          <w:highlight w:val="white"/>
        </w:rPr>
        <w:t>C</w:t>
      </w:r>
      <w:r>
        <w:rPr>
          <w:highlight w:val="white"/>
        </w:rPr>
        <w:t>.</w:t>
      </w:r>
    </w:p>
    <w:p w14:paraId="0534BD88" w14:textId="7DEC58C0" w:rsidR="00476BCF" w:rsidRDefault="00BA3476">
      <w:pPr>
        <w:pStyle w:val="normal0"/>
        <w:spacing w:line="360" w:lineRule="auto"/>
        <w:ind w:firstLine="720"/>
      </w:pPr>
      <w:r>
        <w:rPr>
          <w:b/>
        </w:rPr>
        <w:t xml:space="preserve">Attrition. </w:t>
      </w:r>
      <w:r>
        <w:t>Attrition</w:t>
      </w:r>
      <w:r w:rsidR="009F58AB">
        <w:t xml:space="preserve"> rates are admitted highly in the first year, but this is to be expected. First, many if not most CLS students are juggling their 25-plus hours per week of law study with a regular job and/or childcare responsibilities, and some find they simply cannot manage the load. Second, because students are typically older, they are more likely to experience major life events, such as divorce, health problems, or the need to care for an ailing parent, which can interfere with their studies. Third, unlike ABA students, CLS's online students must take and pass the FYLSE after their </w:t>
      </w:r>
      <w:r w:rsidR="009F58AB">
        <w:lastRenderedPageBreak/>
        <w:t xml:space="preserve">first year, which by design “weeds out” a substantial number of students. If one looks at CLS JD students who passed the FYLSE, the historical average is that </w:t>
      </w:r>
      <w:r w:rsidR="008276C4">
        <w:t>about 83</w:t>
      </w:r>
      <w:r w:rsidR="007F59E5">
        <w:t xml:space="preserve"> percent</w:t>
      </w:r>
      <w:r w:rsidR="009F58AB">
        <w:t xml:space="preserve"> go on to graduate.</w:t>
      </w:r>
    </w:p>
    <w:p w14:paraId="5357C659" w14:textId="7652D809" w:rsidR="00476BCF" w:rsidRDefault="009F58AB">
      <w:pPr>
        <w:pStyle w:val="normal0"/>
        <w:spacing w:line="360" w:lineRule="auto"/>
        <w:ind w:firstLine="720"/>
      </w:pPr>
      <w:r>
        <w:t>The following tab</w:t>
      </w:r>
      <w:r w:rsidR="007F59E5">
        <w:t>le is published on CLS’ website</w:t>
      </w:r>
      <w:r>
        <w:t xml:space="preserve"> as part of </w:t>
      </w:r>
      <w:r w:rsidR="007F59E5">
        <w:t>its</w:t>
      </w:r>
      <w:r>
        <w:t xml:space="preserve"> </w:t>
      </w:r>
      <w:r w:rsidR="007F59E5">
        <w:t xml:space="preserve">statutory </w:t>
      </w:r>
      <w:r>
        <w:t>mandatory disclosures.</w:t>
      </w:r>
      <w:r>
        <w:rPr>
          <w:vertAlign w:val="superscript"/>
        </w:rPr>
        <w:footnoteReference w:id="11"/>
      </w:r>
      <w:r>
        <w:t xml:space="preserve"> It does not track attrition over time per se, as it provides snapshots at a given point in time, but it does show that through a combination of voluntary withdrawal and the FYLSE, among other factors, there are substantially more </w:t>
      </w:r>
      <w:r w:rsidR="007F59E5">
        <w:t>1L</w:t>
      </w:r>
      <w:r>
        <w:t xml:space="preserve"> students in a given term than upper division students:</w:t>
      </w:r>
    </w:p>
    <w:p w14:paraId="69612A28" w14:textId="77777777" w:rsidR="00476BCF" w:rsidRDefault="009F58AB">
      <w:pPr>
        <w:pStyle w:val="normal0"/>
        <w:spacing w:line="360" w:lineRule="auto"/>
        <w:rPr>
          <w:i/>
          <w:sz w:val="26"/>
          <w:szCs w:val="26"/>
        </w:rPr>
      </w:pPr>
      <w:r>
        <w:rPr>
          <w:noProof/>
        </w:rPr>
        <w:drawing>
          <wp:inline distT="114300" distB="114300" distL="114300" distR="114300" wp14:anchorId="0ECC28DF" wp14:editId="1E4A38A4">
            <wp:extent cx="5346198" cy="1512481"/>
            <wp:effectExtent l="25400" t="25400" r="13335" b="37465"/>
            <wp:docPr id="4" name="Picture 4"/>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rotWithShape="1">
                    <a:blip r:embed="rId16"/>
                    <a:srcRect l="1548" t="5110" r="2941" b="5037"/>
                    <a:stretch/>
                  </pic:blipFill>
                  <pic:spPr bwMode="auto">
                    <a:xfrm>
                      <a:off x="0" y="0"/>
                      <a:ext cx="5346198" cy="1512481"/>
                    </a:xfrm>
                    <a:prstGeom prst="rect">
                      <a:avLst/>
                    </a:prstGeom>
                    <a:ln w="12700" cap="flat" cmpd="sng" algn="ctr">
                      <a:solidFill>
                        <a:srgbClr val="000000"/>
                      </a:solidFill>
                      <a:prstDash val="solid"/>
                      <a:round/>
                      <a:headEnd type="none" w="med" len="med"/>
                      <a:tailEnd type="none" w="med" len="med"/>
                    </a:ln>
                    <a:extLst>
                      <a:ext uri="{53640926-AAD7-44d8-BBD7-CCE9431645EC}">
                        <a14:shadowObscured xmlns:a14="http://schemas.microsoft.com/office/drawing/2010/main"/>
                      </a:ext>
                      <a:ext uri="{FAA26D3D-D897-4be2-8F04-BA451C77F1D7}">
                        <ma14:placeholderFlag xmlns:ma14="http://schemas.microsoft.com/office/mac/drawingml/2011/main"/>
                      </a:ext>
                    </a:extLst>
                  </pic:spPr>
                </pic:pic>
              </a:graphicData>
            </a:graphic>
          </wp:inline>
        </w:drawing>
      </w:r>
    </w:p>
    <w:p w14:paraId="4F9B3AF7" w14:textId="77777777" w:rsidR="00476BCF" w:rsidRDefault="009F58AB">
      <w:pPr>
        <w:pStyle w:val="normal0"/>
        <w:spacing w:before="200" w:after="200"/>
        <w:jc w:val="both"/>
        <w:rPr>
          <w:i/>
        </w:rPr>
      </w:pPr>
      <w:r>
        <w:rPr>
          <w:b/>
          <w:i/>
        </w:rPr>
        <w:t>ARC Comment:</w:t>
      </w:r>
      <w:r>
        <w:rPr>
          <w:i/>
        </w:rPr>
        <w:t xml:space="preserve"> “</w:t>
      </w:r>
      <w:r w:rsidRPr="009F0283">
        <w:rPr>
          <w:b/>
          <w:i/>
        </w:rPr>
        <w:t>6.</w:t>
      </w:r>
      <w:r>
        <w:rPr>
          <w:i/>
        </w:rPr>
        <w:t xml:space="preserve"> CLS has not provided adequate information as to the extent to which allowing its graduates to sit for Arizona Bar Examination will create new opportunities for Arizona citizens and expand access </w:t>
      </w:r>
      <w:r w:rsidRPr="008276C4">
        <w:rPr>
          <w:i/>
        </w:rPr>
        <w:t>to</w:t>
      </w:r>
      <w:r>
        <w:rPr>
          <w:i/>
        </w:rPr>
        <w:t xml:space="preserve"> legal services in underrepresented areas. CLS has provided no information as to how many Arizonans have graduated from its program, how many are currently enrolled, and how many of its graduates have expressed a concrete interest in practicing law in underrepresented areas in Arizona.”</w:t>
      </w:r>
    </w:p>
    <w:p w14:paraId="1131E7EE" w14:textId="77777777" w:rsidR="00476BCF" w:rsidRDefault="009F58AB">
      <w:pPr>
        <w:pStyle w:val="normal0"/>
        <w:spacing w:line="360" w:lineRule="auto"/>
        <w:ind w:firstLine="720"/>
      </w:pPr>
      <w:r>
        <w:rPr>
          <w:b/>
        </w:rPr>
        <w:t>Response:</w:t>
      </w:r>
      <w:r>
        <w:t xml:space="preserve"> Similar to Comment 3 above, the request for information about how many CLS graduates “have expressed a concrete interest in practicing law in underrepresented areas in Arizona” is somewhat unfair. Current and prior CLS students have not had the opportunity to sit for the Arizona bar exam upon graduation, and so it stands to reason that people with an interest in practicing law in underrepresented areas in Arizona will not have enrolled in CLS in significant numbers. The question is how many people in underrepresented areas in Arizona </w:t>
      </w:r>
      <w:r>
        <w:rPr>
          <w:i/>
        </w:rPr>
        <w:t>would</w:t>
      </w:r>
      <w:r>
        <w:t xml:space="preserve"> enroll in an online law school like CLS, if they could use their degree to sit for the Arizona bar exam and practice law in Arizona upon graduation. Because that opportunity does not yet exist (and will not unless the petition is granted), CLS could only speculate as to how many people would do so. If CLS must demonstrate with certainty how many people would pursue this path in the future in order for its petition to be approved, then approval is impossible based on an unattainable standard.</w:t>
      </w:r>
    </w:p>
    <w:p w14:paraId="429B52E7" w14:textId="31F3D67E" w:rsidR="00476BCF" w:rsidRDefault="009F58AB">
      <w:pPr>
        <w:pStyle w:val="normal0"/>
        <w:spacing w:line="360" w:lineRule="auto"/>
        <w:ind w:firstLine="720"/>
        <w:rPr>
          <w:sz w:val="26"/>
          <w:szCs w:val="26"/>
        </w:rPr>
      </w:pPr>
      <w:r>
        <w:t xml:space="preserve">Based on its internal records, CLS can provide the following concrete information regarding current and former students in Arizona. Among approximately </w:t>
      </w:r>
      <w:r w:rsidR="008276C4">
        <w:t>55</w:t>
      </w:r>
      <w:r>
        <w:t xml:space="preserve">0 current CLS students, eight students in the Juris Doctor (JD) program, and four students in the non-licensure EJD program, are </w:t>
      </w:r>
      <w:r>
        <w:lastRenderedPageBreak/>
        <w:t>located in Arizona. Of these, four JD students (50 percent) and one EJD student (25 percent) reside more than 20 miles outside the major metropolitan hubs of Phoenix or Tucson. Among its approximately 1300 JD graduates, 44 were from Arizona, and among its approximately 800 EJD graduates, 28 were from Arizona. Of these, 19 of the 44 JD alumni (41 percent), and 10 of the 28 EJD alumni (35 percent), lived outside the Phoenix or Tucson areas. However, CLS must again caution that few meaningful conclusions can be drawn from this data, since enrollment trends would likely shift depending on the opportunities available. Even if only a small number of additional lawyers served underrepresented areas, that alone could be worth approving the petition.</w:t>
      </w:r>
    </w:p>
    <w:p w14:paraId="5BC83FA8" w14:textId="77777777" w:rsidR="00476BCF" w:rsidRDefault="009F58AB">
      <w:pPr>
        <w:pStyle w:val="normal0"/>
        <w:spacing w:before="200" w:after="200"/>
        <w:jc w:val="both"/>
        <w:rPr>
          <w:i/>
        </w:rPr>
      </w:pPr>
      <w:r>
        <w:rPr>
          <w:b/>
        </w:rPr>
        <w:t xml:space="preserve">ARC Comment: </w:t>
      </w:r>
      <w:r w:rsidRPr="009F0283">
        <w:rPr>
          <w:b/>
          <w:i/>
        </w:rPr>
        <w:t>“7.</w:t>
      </w:r>
      <w:r>
        <w:rPr>
          <w:i/>
        </w:rPr>
        <w:t xml:space="preserve"> CLS has not provided adequate information to compare its program of study to the standards required of ABA-accredited law schools, separate and apart from the current ABA limitation of no more than 15 units of study allowed to be earned via distance learning.”</w:t>
      </w:r>
    </w:p>
    <w:p w14:paraId="532599D4" w14:textId="0A1AA769" w:rsidR="00476BCF" w:rsidRDefault="009F58AB" w:rsidP="006726AA">
      <w:pPr>
        <w:pStyle w:val="normal0"/>
        <w:spacing w:line="360" w:lineRule="auto"/>
        <w:ind w:firstLine="720"/>
        <w:rPr>
          <w:sz w:val="26"/>
          <w:szCs w:val="26"/>
        </w:rPr>
      </w:pPr>
      <w:r>
        <w:rPr>
          <w:b/>
        </w:rPr>
        <w:t>Response:</w:t>
      </w:r>
      <w:r>
        <w:t xml:space="preserve"> CLS provided a fairly detailed description of its program of study in its original petition. Nevertheless, in an effort to provide additional information, </w:t>
      </w:r>
      <w:r w:rsidR="006726AA">
        <w:t>submitted herewith as Appendix D is</w:t>
      </w:r>
      <w:r>
        <w:t xml:space="preserve"> table showing the extent to which CLS complies with the standards in Chapter 3 (“Program of Legal Education”) of the ABA Standards for Approval of Law Schools. </w:t>
      </w:r>
    </w:p>
    <w:p w14:paraId="4AEF6EA1" w14:textId="217311AE" w:rsidR="00476BCF" w:rsidRDefault="009F58AB" w:rsidP="009F0283">
      <w:pPr>
        <w:pStyle w:val="normal0"/>
        <w:spacing w:line="360" w:lineRule="auto"/>
        <w:ind w:firstLine="720"/>
      </w:pPr>
      <w:r>
        <w:t xml:space="preserve">In sum, aside from the limit on distance learning, CLS complies with each of these Standards except for the one regarding bar passage rates. However, as noted above in the response to Comment 5, CLS students and the typical ABA student are not similarly situated in terms of their outside commitments and ability to study full-time prior to the bar exam, or so these differentials are not entirely surprising. </w:t>
      </w:r>
    </w:p>
    <w:p w14:paraId="5E73E28A" w14:textId="77777777" w:rsidR="00476BCF" w:rsidRDefault="009F58AB">
      <w:pPr>
        <w:pStyle w:val="normal0"/>
        <w:spacing w:line="360" w:lineRule="auto"/>
      </w:pPr>
      <w:r>
        <w:rPr>
          <w:b/>
        </w:rPr>
        <w:t>Professor Bennett’s Comments</w:t>
      </w:r>
    </w:p>
    <w:p w14:paraId="1EC6AFFC" w14:textId="2A41EBF9" w:rsidR="00476BCF" w:rsidRDefault="009F58AB">
      <w:pPr>
        <w:pStyle w:val="normal0"/>
        <w:spacing w:line="360" w:lineRule="auto"/>
      </w:pPr>
      <w:r>
        <w:tab/>
        <w:t xml:space="preserve">Paul Bennett, a clinic professor at the University of Arizona, submitted the only other comment opposing the petition. Professor Bennett’s only argument </w:t>
      </w:r>
      <w:r w:rsidR="00C94C91">
        <w:t>not addressed above in the responses to the ARC comments was,</w:t>
      </w:r>
      <w:r>
        <w:t xml:space="preserve"> effectively, that online learning simply cannot be as “good” as on-ground learning, particularly for things like skills or ethical practice. </w:t>
      </w:r>
    </w:p>
    <w:p w14:paraId="475A26F2" w14:textId="4EBEE492" w:rsidR="00476BCF" w:rsidRDefault="009F58AB">
      <w:pPr>
        <w:pStyle w:val="normal0"/>
        <w:spacing w:line="360" w:lineRule="auto"/>
        <w:ind w:firstLine="720"/>
      </w:pPr>
      <w:r>
        <w:t xml:space="preserve">Respectfully, CLS would submit that this is </w:t>
      </w:r>
      <w:r w:rsidR="008276C4">
        <w:t xml:space="preserve">not an argument based on evidence, it is </w:t>
      </w:r>
      <w:r>
        <w:t xml:space="preserve">an (outdated) assumption. CLS’ live courses involve Socratic dialogue. Its student have reported </w:t>
      </w:r>
      <w:r w:rsidR="008276C4">
        <w:t xml:space="preserve">in survey data </w:t>
      </w:r>
      <w:r>
        <w:t xml:space="preserve">that their education better prepared them for ethical practice than ABA school students did, and the evidence shows that its graduates have gone on to face state bar discipline at no greater rates (and if anything less frequently). Its students draft practice-based documents, engage in mock negotiations, and do many of the other things that students do in brick-and-mortar law schools. Indeed, CLS students have gone head-to-head in moot court competitions against schools like UCLA and </w:t>
      </w:r>
      <w:r w:rsidR="008276C4">
        <w:t xml:space="preserve">UC </w:t>
      </w:r>
      <w:r>
        <w:t xml:space="preserve">Berkeley, and have repeatedly won awards for both their advocacy and written work. </w:t>
      </w:r>
    </w:p>
    <w:p w14:paraId="33928362" w14:textId="52AD18E1" w:rsidR="00476BCF" w:rsidRDefault="009F58AB" w:rsidP="00BA3476">
      <w:pPr>
        <w:pStyle w:val="normal0"/>
        <w:spacing w:line="360" w:lineRule="auto"/>
        <w:ind w:firstLine="720"/>
      </w:pPr>
      <w:r>
        <w:lastRenderedPageBreak/>
        <w:t xml:space="preserve">Professor Bennett’s argument also ignores that by operating entirely online, CLS is able to dramatically reduce cost and expand geographic access to qualified students who otherwise would be unable to attend law school, and who can graduate without crushing debt. Even if one were to conclude that there are </w:t>
      </w:r>
      <w:r>
        <w:rPr>
          <w:i/>
        </w:rPr>
        <w:t>some</w:t>
      </w:r>
      <w:r>
        <w:t xml:space="preserve"> advantages of a traditional law school education, shouldn’t Arizona residents have the opportunity to choose a more economical and flexible option for themselves, and still be given the opportunity to </w:t>
      </w:r>
      <w:r>
        <w:rPr>
          <w:i/>
        </w:rPr>
        <w:t>sit</w:t>
      </w:r>
      <w:r>
        <w:t xml:space="preserve"> for the same licensing exam to become an attorney? </w:t>
      </w:r>
    </w:p>
    <w:p w14:paraId="69CD71B3" w14:textId="77777777" w:rsidR="009F0283" w:rsidRDefault="009F58AB" w:rsidP="009F0283">
      <w:pPr>
        <w:pStyle w:val="normal0"/>
        <w:spacing w:line="360" w:lineRule="auto"/>
      </w:pPr>
      <w:r>
        <w:rPr>
          <w:b/>
        </w:rPr>
        <w:t>Conclusion</w:t>
      </w:r>
    </w:p>
    <w:p w14:paraId="6D23A407" w14:textId="098FCF60" w:rsidR="00476BCF" w:rsidRDefault="009F58AB" w:rsidP="009F0283">
      <w:pPr>
        <w:pStyle w:val="normal0"/>
        <w:spacing w:after="80" w:line="360" w:lineRule="auto"/>
        <w:ind w:firstLine="720"/>
      </w:pPr>
      <w:r>
        <w:t>CLS is proud of the rigorous program of legal education it offers, and is equally proud of its graduates, who are able to complete its program at the same time that they are managing significant professional and personal commitments. CLS hopes that this reply has provided sufficient additional data for the Court to make an informed decision regarding the merits of its petition. However, should still further information be desired, CLS will be happy to pro</w:t>
      </w:r>
      <w:bookmarkStart w:id="0" w:name="_GoBack"/>
      <w:bookmarkEnd w:id="0"/>
      <w:r>
        <w:t>vide it.</w:t>
      </w:r>
    </w:p>
    <w:p w14:paraId="0B588673" w14:textId="77777777" w:rsidR="00476BCF" w:rsidRDefault="00476BCF">
      <w:pPr>
        <w:pStyle w:val="normal0"/>
        <w:spacing w:line="360" w:lineRule="auto"/>
        <w:rPr>
          <w:sz w:val="20"/>
          <w:szCs w:val="20"/>
        </w:rPr>
      </w:pPr>
    </w:p>
    <w:p w14:paraId="5E2A9E73" w14:textId="5A8BEC3A" w:rsidR="00476BCF" w:rsidRDefault="009F58AB">
      <w:pPr>
        <w:pStyle w:val="normal0"/>
        <w:spacing w:line="360" w:lineRule="auto"/>
      </w:pPr>
      <w:r>
        <w:t>Re</w:t>
      </w:r>
      <w:r w:rsidR="00C27035">
        <w:t>spectfully submitted,</w:t>
      </w:r>
      <w:r w:rsidR="00C27035">
        <w:tab/>
      </w:r>
      <w:r w:rsidR="00C27035">
        <w:tab/>
      </w:r>
      <w:r w:rsidR="00C27035">
        <w:tab/>
      </w:r>
      <w:r w:rsidR="00C27035">
        <w:tab/>
        <w:t>June 28</w:t>
      </w:r>
      <w:r>
        <w:t>, 2017</w:t>
      </w:r>
    </w:p>
    <w:p w14:paraId="240D9638" w14:textId="77777777" w:rsidR="00476BCF" w:rsidRDefault="009F58AB">
      <w:pPr>
        <w:pStyle w:val="normal0"/>
        <w:spacing w:line="360" w:lineRule="auto"/>
      </w:pPr>
      <w:r>
        <w:t>/s/ Martin Pritikin</w:t>
      </w:r>
    </w:p>
    <w:p w14:paraId="3848A029" w14:textId="77777777" w:rsidR="00476BCF" w:rsidRDefault="009F58AB">
      <w:pPr>
        <w:pStyle w:val="normal0"/>
      </w:pPr>
      <w:r>
        <w:t>Martin Pritikin</w:t>
      </w:r>
    </w:p>
    <w:p w14:paraId="5535191D" w14:textId="77777777" w:rsidR="00476BCF" w:rsidRDefault="009F58AB">
      <w:pPr>
        <w:pStyle w:val="normal0"/>
      </w:pPr>
      <w:r>
        <w:t>Dean and Vice President</w:t>
      </w:r>
    </w:p>
    <w:p w14:paraId="71114DAA" w14:textId="77777777" w:rsidR="00476BCF" w:rsidRDefault="009F58AB">
      <w:pPr>
        <w:pStyle w:val="normal0"/>
        <w:sectPr w:rsidR="00476BCF" w:rsidSect="00C94C91">
          <w:type w:val="continuous"/>
          <w:pgSz w:w="12240" w:h="15840"/>
          <w:pgMar w:top="1080" w:right="1224" w:bottom="1080" w:left="1224" w:header="0" w:footer="720" w:gutter="0"/>
          <w:pgNumType w:start="0"/>
          <w:cols w:space="720"/>
        </w:sectPr>
      </w:pPr>
      <w:r>
        <w:t>Concord Law School at Kaplan University</w:t>
      </w:r>
    </w:p>
    <w:p w14:paraId="3FDD74AF" w14:textId="77777777" w:rsidR="00D50C9A" w:rsidRDefault="00D50C9A">
      <w:pPr>
        <w:rPr>
          <w:sz w:val="26"/>
          <w:szCs w:val="26"/>
        </w:rPr>
        <w:sectPr w:rsidR="00D50C9A">
          <w:type w:val="continuous"/>
          <w:pgSz w:w="12240" w:h="15840"/>
          <w:pgMar w:top="720" w:right="1282" w:bottom="720" w:left="1282" w:header="0" w:footer="720" w:gutter="0"/>
          <w:cols w:space="720"/>
        </w:sectPr>
      </w:pPr>
    </w:p>
    <w:p w14:paraId="2DD23637" w14:textId="77777777" w:rsidR="00D50C9A" w:rsidRDefault="00D50C9A">
      <w:pPr>
        <w:rPr>
          <w:sz w:val="26"/>
          <w:szCs w:val="26"/>
        </w:rPr>
      </w:pPr>
      <w:r>
        <w:rPr>
          <w:sz w:val="26"/>
          <w:szCs w:val="26"/>
        </w:rPr>
        <w:lastRenderedPageBreak/>
        <w:br w:type="page"/>
      </w:r>
    </w:p>
    <w:p w14:paraId="7476B13F" w14:textId="77777777" w:rsidR="00D50C9A" w:rsidRDefault="00D510E4" w:rsidP="00D510E4">
      <w:pPr>
        <w:jc w:val="center"/>
        <w:rPr>
          <w:sz w:val="26"/>
          <w:szCs w:val="26"/>
        </w:rPr>
      </w:pPr>
      <w:r w:rsidRPr="00D510E4">
        <w:rPr>
          <w:b/>
        </w:rPr>
        <w:lastRenderedPageBreak/>
        <w:t>Appendix A - ABA Part-Time Program 2016 Selectivity Data</w:t>
      </w:r>
      <w:r>
        <w:rPr>
          <w:sz w:val="26"/>
          <w:szCs w:val="26"/>
        </w:rPr>
        <w:t xml:space="preserve"> </w:t>
      </w:r>
      <w:r w:rsidRPr="00D510E4">
        <w:rPr>
          <w:sz w:val="20"/>
          <w:szCs w:val="20"/>
        </w:rPr>
        <w:t>(from www.abarequireddisclosures.org)</w:t>
      </w:r>
    </w:p>
    <w:tbl>
      <w:tblPr>
        <w:tblW w:w="10800" w:type="dxa"/>
        <w:tblLayout w:type="fixed"/>
        <w:tblCellMar>
          <w:left w:w="29" w:type="dxa"/>
          <w:right w:w="29" w:type="dxa"/>
        </w:tblCellMar>
        <w:tblLook w:val="04A0" w:firstRow="1" w:lastRow="0" w:firstColumn="1" w:lastColumn="0" w:noHBand="0" w:noVBand="1"/>
      </w:tblPr>
      <w:tblGrid>
        <w:gridCol w:w="2490"/>
        <w:gridCol w:w="655"/>
        <w:gridCol w:w="681"/>
        <w:gridCol w:w="970"/>
        <w:gridCol w:w="970"/>
        <w:gridCol w:w="839"/>
        <w:gridCol w:w="839"/>
        <w:gridCol w:w="839"/>
        <w:gridCol w:w="839"/>
        <w:gridCol w:w="839"/>
        <w:gridCol w:w="839"/>
      </w:tblGrid>
      <w:tr w:rsidR="00F0790D" w:rsidRPr="00D50C9A" w14:paraId="401D154B" w14:textId="77777777" w:rsidTr="006726AA">
        <w:trPr>
          <w:trHeight w:hRule="exact" w:val="151"/>
        </w:trPr>
        <w:tc>
          <w:tcPr>
            <w:tcW w:w="1368" w:type="dxa"/>
            <w:tcBorders>
              <w:top w:val="single" w:sz="4" w:space="0" w:color="auto"/>
              <w:left w:val="single" w:sz="4" w:space="0" w:color="auto"/>
              <w:bottom w:val="single" w:sz="6" w:space="0" w:color="auto"/>
              <w:right w:val="single" w:sz="6" w:space="0" w:color="auto"/>
            </w:tcBorders>
            <w:shd w:val="clear" w:color="auto" w:fill="E0E0E0"/>
            <w:noWrap/>
            <w:tcMar>
              <w:left w:w="14" w:type="dxa"/>
              <w:right w:w="14" w:type="dxa"/>
            </w:tcMar>
            <w:hideMark/>
          </w:tcPr>
          <w:p w14:paraId="087AB2DA" w14:textId="77777777" w:rsidR="00D50C9A" w:rsidRPr="006726AA" w:rsidRDefault="00D50C9A" w:rsidP="00F0790D">
            <w:pPr>
              <w:widowControl/>
              <w:spacing w:line="160" w:lineRule="exact"/>
              <w:rPr>
                <w:rFonts w:asciiTheme="majorHAnsi" w:hAnsiTheme="majorHAnsi"/>
                <w:b/>
                <w:bCs/>
                <w:color w:val="auto"/>
                <w:sz w:val="16"/>
                <w:szCs w:val="16"/>
              </w:rPr>
            </w:pPr>
            <w:r w:rsidRPr="006726AA">
              <w:rPr>
                <w:rFonts w:asciiTheme="majorHAnsi" w:hAnsiTheme="majorHAnsi"/>
                <w:b/>
                <w:bCs/>
                <w:color w:val="auto"/>
                <w:sz w:val="16"/>
                <w:szCs w:val="16"/>
              </w:rPr>
              <w:t>SCHOOL</w:t>
            </w:r>
          </w:p>
        </w:tc>
        <w:tc>
          <w:tcPr>
            <w:tcW w:w="360" w:type="dxa"/>
            <w:tcBorders>
              <w:top w:val="single" w:sz="4" w:space="0" w:color="auto"/>
              <w:left w:val="single" w:sz="6" w:space="0" w:color="auto"/>
              <w:bottom w:val="single" w:sz="6" w:space="0" w:color="auto"/>
              <w:right w:val="single" w:sz="6" w:space="0" w:color="auto"/>
            </w:tcBorders>
            <w:shd w:val="clear" w:color="auto" w:fill="E0E0E0"/>
            <w:tcMar>
              <w:left w:w="14" w:type="dxa"/>
              <w:right w:w="14" w:type="dxa"/>
            </w:tcMar>
            <w:hideMark/>
          </w:tcPr>
          <w:p w14:paraId="662C1D80" w14:textId="77777777" w:rsidR="00D50C9A" w:rsidRPr="006726AA" w:rsidRDefault="00F0790D" w:rsidP="00F0790D">
            <w:pPr>
              <w:widowControl/>
              <w:spacing w:line="160" w:lineRule="exact"/>
              <w:rPr>
                <w:rFonts w:asciiTheme="majorHAnsi" w:hAnsiTheme="majorHAnsi"/>
                <w:b/>
                <w:bCs/>
                <w:color w:val="auto"/>
                <w:sz w:val="16"/>
                <w:szCs w:val="16"/>
              </w:rPr>
            </w:pPr>
            <w:r w:rsidRPr="006726AA">
              <w:rPr>
                <w:rFonts w:asciiTheme="majorHAnsi" w:hAnsiTheme="majorHAnsi"/>
                <w:b/>
                <w:bCs/>
                <w:color w:val="auto"/>
                <w:sz w:val="16"/>
                <w:szCs w:val="16"/>
              </w:rPr>
              <w:t xml:space="preserve"># </w:t>
            </w:r>
            <w:r w:rsidR="00D50C9A" w:rsidRPr="006726AA">
              <w:rPr>
                <w:rFonts w:asciiTheme="majorHAnsi" w:hAnsiTheme="majorHAnsi"/>
                <w:b/>
                <w:bCs/>
                <w:color w:val="auto"/>
                <w:sz w:val="16"/>
                <w:szCs w:val="16"/>
              </w:rPr>
              <w:t xml:space="preserve">Apps </w:t>
            </w:r>
          </w:p>
        </w:tc>
        <w:tc>
          <w:tcPr>
            <w:tcW w:w="374" w:type="dxa"/>
            <w:tcBorders>
              <w:top w:val="single" w:sz="4" w:space="0" w:color="auto"/>
              <w:left w:val="single" w:sz="6" w:space="0" w:color="auto"/>
              <w:bottom w:val="single" w:sz="6" w:space="0" w:color="auto"/>
              <w:right w:val="single" w:sz="6" w:space="0" w:color="auto"/>
            </w:tcBorders>
            <w:shd w:val="clear" w:color="auto" w:fill="E0E0E0"/>
            <w:tcMar>
              <w:left w:w="14" w:type="dxa"/>
              <w:right w:w="14" w:type="dxa"/>
            </w:tcMar>
            <w:hideMark/>
          </w:tcPr>
          <w:p w14:paraId="45749C34" w14:textId="77777777" w:rsidR="00D50C9A" w:rsidRPr="006726AA" w:rsidRDefault="00F0790D" w:rsidP="00F0790D">
            <w:pPr>
              <w:widowControl/>
              <w:spacing w:line="160" w:lineRule="exact"/>
              <w:rPr>
                <w:rFonts w:asciiTheme="majorHAnsi" w:hAnsiTheme="majorHAnsi"/>
                <w:b/>
                <w:bCs/>
                <w:color w:val="auto"/>
                <w:sz w:val="16"/>
                <w:szCs w:val="16"/>
              </w:rPr>
            </w:pPr>
            <w:r w:rsidRPr="006726AA">
              <w:rPr>
                <w:rFonts w:asciiTheme="majorHAnsi" w:hAnsiTheme="majorHAnsi"/>
                <w:b/>
                <w:bCs/>
                <w:color w:val="auto"/>
                <w:sz w:val="16"/>
                <w:szCs w:val="16"/>
              </w:rPr>
              <w:t xml:space="preserve"># </w:t>
            </w:r>
            <w:r w:rsidR="00D50C9A" w:rsidRPr="006726AA">
              <w:rPr>
                <w:rFonts w:asciiTheme="majorHAnsi" w:hAnsiTheme="majorHAnsi"/>
                <w:b/>
                <w:bCs/>
                <w:color w:val="auto"/>
                <w:sz w:val="16"/>
                <w:szCs w:val="16"/>
              </w:rPr>
              <w:t xml:space="preserve">Offers </w:t>
            </w:r>
          </w:p>
        </w:tc>
        <w:tc>
          <w:tcPr>
            <w:tcW w:w="533" w:type="dxa"/>
            <w:tcBorders>
              <w:top w:val="single" w:sz="4" w:space="0" w:color="auto"/>
              <w:left w:val="single" w:sz="6" w:space="0" w:color="auto"/>
              <w:bottom w:val="single" w:sz="6" w:space="0" w:color="auto"/>
              <w:right w:val="single" w:sz="6" w:space="0" w:color="auto"/>
            </w:tcBorders>
            <w:shd w:val="clear" w:color="auto" w:fill="E0E0E0"/>
            <w:tcMar>
              <w:left w:w="14" w:type="dxa"/>
              <w:right w:w="14" w:type="dxa"/>
            </w:tcMar>
            <w:hideMark/>
          </w:tcPr>
          <w:p w14:paraId="25995587" w14:textId="77777777" w:rsidR="00D50C9A" w:rsidRPr="006726AA" w:rsidRDefault="00D50C9A" w:rsidP="00D510E4">
            <w:pPr>
              <w:widowControl/>
              <w:spacing w:line="160" w:lineRule="exact"/>
              <w:rPr>
                <w:rFonts w:asciiTheme="majorHAnsi" w:hAnsiTheme="majorHAnsi"/>
                <w:b/>
                <w:bCs/>
                <w:color w:val="auto"/>
                <w:sz w:val="16"/>
                <w:szCs w:val="16"/>
              </w:rPr>
            </w:pPr>
            <w:r w:rsidRPr="006726AA">
              <w:rPr>
                <w:rFonts w:asciiTheme="majorHAnsi" w:hAnsiTheme="majorHAnsi"/>
                <w:b/>
                <w:bCs/>
                <w:color w:val="auto"/>
                <w:sz w:val="16"/>
                <w:szCs w:val="16"/>
              </w:rPr>
              <w:t>Accept</w:t>
            </w:r>
            <w:r w:rsidR="00D510E4" w:rsidRPr="006726AA">
              <w:rPr>
                <w:rFonts w:asciiTheme="majorHAnsi" w:hAnsiTheme="majorHAnsi"/>
                <w:b/>
                <w:bCs/>
                <w:color w:val="auto"/>
                <w:sz w:val="16"/>
                <w:szCs w:val="16"/>
              </w:rPr>
              <w:t>.</w:t>
            </w:r>
            <w:r w:rsidRPr="006726AA">
              <w:rPr>
                <w:rFonts w:asciiTheme="majorHAnsi" w:hAnsiTheme="majorHAnsi"/>
                <w:b/>
                <w:bCs/>
                <w:color w:val="auto"/>
                <w:sz w:val="16"/>
                <w:szCs w:val="16"/>
              </w:rPr>
              <w:t xml:space="preserve"> Rate</w:t>
            </w:r>
          </w:p>
        </w:tc>
        <w:tc>
          <w:tcPr>
            <w:tcW w:w="533" w:type="dxa"/>
            <w:tcBorders>
              <w:top w:val="single" w:sz="4" w:space="0" w:color="auto"/>
              <w:left w:val="single" w:sz="6" w:space="0" w:color="auto"/>
              <w:bottom w:val="single" w:sz="6" w:space="0" w:color="auto"/>
              <w:right w:val="single" w:sz="6" w:space="0" w:color="auto"/>
            </w:tcBorders>
            <w:shd w:val="clear" w:color="auto" w:fill="E0E0E0"/>
            <w:tcMar>
              <w:left w:w="14" w:type="dxa"/>
              <w:right w:w="14" w:type="dxa"/>
            </w:tcMar>
            <w:hideMark/>
          </w:tcPr>
          <w:p w14:paraId="0672DF55" w14:textId="77777777" w:rsidR="00D50C9A" w:rsidRPr="006726AA" w:rsidRDefault="00D50C9A" w:rsidP="00F0790D">
            <w:pPr>
              <w:widowControl/>
              <w:spacing w:line="160" w:lineRule="exact"/>
              <w:rPr>
                <w:rFonts w:asciiTheme="majorHAnsi" w:hAnsiTheme="majorHAnsi"/>
                <w:b/>
                <w:bCs/>
                <w:color w:val="auto"/>
                <w:sz w:val="16"/>
                <w:szCs w:val="16"/>
              </w:rPr>
            </w:pPr>
            <w:r w:rsidRPr="006726AA">
              <w:rPr>
                <w:rFonts w:asciiTheme="majorHAnsi" w:hAnsiTheme="majorHAnsi"/>
                <w:b/>
                <w:bCs/>
                <w:color w:val="auto"/>
                <w:sz w:val="16"/>
                <w:szCs w:val="16"/>
              </w:rPr>
              <w:t xml:space="preserve">Matriculants </w:t>
            </w:r>
          </w:p>
        </w:tc>
        <w:tc>
          <w:tcPr>
            <w:tcW w:w="461" w:type="dxa"/>
            <w:tcBorders>
              <w:top w:val="single" w:sz="4" w:space="0" w:color="auto"/>
              <w:left w:val="single" w:sz="6" w:space="0" w:color="auto"/>
              <w:bottom w:val="single" w:sz="6" w:space="0" w:color="auto"/>
              <w:right w:val="single" w:sz="6" w:space="0" w:color="auto"/>
            </w:tcBorders>
            <w:shd w:val="clear" w:color="auto" w:fill="E0E0E0"/>
            <w:tcMar>
              <w:left w:w="14" w:type="dxa"/>
              <w:right w:w="14" w:type="dxa"/>
            </w:tcMar>
            <w:hideMark/>
          </w:tcPr>
          <w:p w14:paraId="7FEE77B2" w14:textId="77777777" w:rsidR="00D50C9A" w:rsidRPr="006726AA" w:rsidRDefault="00D50C9A" w:rsidP="00D510E4">
            <w:pPr>
              <w:widowControl/>
              <w:spacing w:line="160" w:lineRule="exact"/>
              <w:rPr>
                <w:rFonts w:asciiTheme="majorHAnsi" w:hAnsiTheme="majorHAnsi"/>
                <w:b/>
                <w:bCs/>
                <w:color w:val="auto"/>
                <w:sz w:val="16"/>
                <w:szCs w:val="16"/>
              </w:rPr>
            </w:pPr>
            <w:r w:rsidRPr="006726AA">
              <w:rPr>
                <w:rFonts w:asciiTheme="majorHAnsi" w:hAnsiTheme="majorHAnsi"/>
                <w:b/>
                <w:bCs/>
                <w:color w:val="auto"/>
                <w:sz w:val="16"/>
                <w:szCs w:val="16"/>
              </w:rPr>
              <w:t xml:space="preserve">75th GPA </w:t>
            </w:r>
          </w:p>
        </w:tc>
        <w:tc>
          <w:tcPr>
            <w:tcW w:w="461" w:type="dxa"/>
            <w:tcBorders>
              <w:top w:val="single" w:sz="4" w:space="0" w:color="auto"/>
              <w:left w:val="single" w:sz="6" w:space="0" w:color="auto"/>
              <w:bottom w:val="single" w:sz="6" w:space="0" w:color="auto"/>
              <w:right w:val="single" w:sz="6" w:space="0" w:color="auto"/>
            </w:tcBorders>
            <w:shd w:val="clear" w:color="auto" w:fill="E0E0E0"/>
            <w:tcMar>
              <w:left w:w="14" w:type="dxa"/>
              <w:right w:w="14" w:type="dxa"/>
            </w:tcMar>
            <w:hideMark/>
          </w:tcPr>
          <w:p w14:paraId="7A72F43A" w14:textId="77777777" w:rsidR="00D50C9A" w:rsidRPr="006726AA" w:rsidRDefault="00D50C9A" w:rsidP="00D510E4">
            <w:pPr>
              <w:widowControl/>
              <w:spacing w:line="160" w:lineRule="exact"/>
              <w:rPr>
                <w:rFonts w:asciiTheme="majorHAnsi" w:hAnsiTheme="majorHAnsi"/>
                <w:b/>
                <w:bCs/>
                <w:color w:val="auto"/>
                <w:sz w:val="16"/>
                <w:szCs w:val="16"/>
              </w:rPr>
            </w:pPr>
            <w:r w:rsidRPr="006726AA">
              <w:rPr>
                <w:rFonts w:asciiTheme="majorHAnsi" w:hAnsiTheme="majorHAnsi"/>
                <w:b/>
                <w:bCs/>
                <w:color w:val="auto"/>
                <w:sz w:val="16"/>
                <w:szCs w:val="16"/>
              </w:rPr>
              <w:t xml:space="preserve">50th GPA </w:t>
            </w:r>
          </w:p>
        </w:tc>
        <w:tc>
          <w:tcPr>
            <w:tcW w:w="461" w:type="dxa"/>
            <w:tcBorders>
              <w:top w:val="single" w:sz="4" w:space="0" w:color="auto"/>
              <w:left w:val="single" w:sz="6" w:space="0" w:color="auto"/>
              <w:bottom w:val="single" w:sz="6" w:space="0" w:color="auto"/>
              <w:right w:val="single" w:sz="6" w:space="0" w:color="auto"/>
            </w:tcBorders>
            <w:shd w:val="clear" w:color="auto" w:fill="E0E0E0"/>
            <w:tcMar>
              <w:left w:w="14" w:type="dxa"/>
              <w:right w:w="14" w:type="dxa"/>
            </w:tcMar>
            <w:hideMark/>
          </w:tcPr>
          <w:p w14:paraId="27104BFC" w14:textId="77777777" w:rsidR="00D50C9A" w:rsidRPr="006726AA" w:rsidRDefault="00D50C9A" w:rsidP="00D510E4">
            <w:pPr>
              <w:widowControl/>
              <w:spacing w:line="160" w:lineRule="exact"/>
              <w:rPr>
                <w:rFonts w:asciiTheme="majorHAnsi" w:hAnsiTheme="majorHAnsi"/>
                <w:b/>
                <w:bCs/>
                <w:color w:val="auto"/>
                <w:sz w:val="16"/>
                <w:szCs w:val="16"/>
              </w:rPr>
            </w:pPr>
            <w:r w:rsidRPr="006726AA">
              <w:rPr>
                <w:rFonts w:asciiTheme="majorHAnsi" w:hAnsiTheme="majorHAnsi"/>
                <w:b/>
                <w:bCs/>
                <w:color w:val="auto"/>
                <w:sz w:val="16"/>
                <w:szCs w:val="16"/>
              </w:rPr>
              <w:t xml:space="preserve">25th GPA </w:t>
            </w:r>
          </w:p>
        </w:tc>
        <w:tc>
          <w:tcPr>
            <w:tcW w:w="461" w:type="dxa"/>
            <w:tcBorders>
              <w:top w:val="single" w:sz="4" w:space="0" w:color="auto"/>
              <w:left w:val="single" w:sz="6" w:space="0" w:color="auto"/>
              <w:bottom w:val="single" w:sz="6" w:space="0" w:color="auto"/>
              <w:right w:val="single" w:sz="6" w:space="0" w:color="auto"/>
            </w:tcBorders>
            <w:shd w:val="clear" w:color="auto" w:fill="E0E0E0"/>
            <w:tcMar>
              <w:left w:w="14" w:type="dxa"/>
              <w:right w:w="14" w:type="dxa"/>
            </w:tcMar>
            <w:hideMark/>
          </w:tcPr>
          <w:p w14:paraId="373FC037" w14:textId="77777777" w:rsidR="00D50C9A" w:rsidRPr="006726AA" w:rsidRDefault="00D50C9A" w:rsidP="00D510E4">
            <w:pPr>
              <w:widowControl/>
              <w:spacing w:line="160" w:lineRule="exact"/>
              <w:rPr>
                <w:rFonts w:asciiTheme="majorHAnsi" w:hAnsiTheme="majorHAnsi"/>
                <w:b/>
                <w:bCs/>
                <w:color w:val="auto"/>
                <w:sz w:val="16"/>
                <w:szCs w:val="16"/>
              </w:rPr>
            </w:pPr>
            <w:r w:rsidRPr="006726AA">
              <w:rPr>
                <w:rFonts w:asciiTheme="majorHAnsi" w:hAnsiTheme="majorHAnsi"/>
                <w:b/>
                <w:bCs/>
                <w:color w:val="auto"/>
                <w:sz w:val="16"/>
                <w:szCs w:val="16"/>
              </w:rPr>
              <w:t xml:space="preserve">75th LSAT </w:t>
            </w:r>
          </w:p>
        </w:tc>
        <w:tc>
          <w:tcPr>
            <w:tcW w:w="461" w:type="dxa"/>
            <w:tcBorders>
              <w:top w:val="single" w:sz="4" w:space="0" w:color="auto"/>
              <w:left w:val="single" w:sz="6" w:space="0" w:color="auto"/>
              <w:bottom w:val="single" w:sz="6" w:space="0" w:color="auto"/>
              <w:right w:val="single" w:sz="4" w:space="0" w:color="auto"/>
            </w:tcBorders>
            <w:shd w:val="clear" w:color="auto" w:fill="E0E0E0"/>
            <w:tcMar>
              <w:left w:w="14" w:type="dxa"/>
              <w:right w:w="14" w:type="dxa"/>
            </w:tcMar>
            <w:hideMark/>
          </w:tcPr>
          <w:p w14:paraId="23BDC444" w14:textId="77777777" w:rsidR="00D50C9A" w:rsidRPr="006726AA" w:rsidRDefault="00D50C9A" w:rsidP="00D510E4">
            <w:pPr>
              <w:widowControl/>
              <w:spacing w:line="160" w:lineRule="exact"/>
              <w:rPr>
                <w:rFonts w:asciiTheme="majorHAnsi" w:hAnsiTheme="majorHAnsi"/>
                <w:b/>
                <w:bCs/>
                <w:color w:val="auto"/>
                <w:sz w:val="16"/>
                <w:szCs w:val="16"/>
              </w:rPr>
            </w:pPr>
            <w:r w:rsidRPr="006726AA">
              <w:rPr>
                <w:rFonts w:asciiTheme="majorHAnsi" w:hAnsiTheme="majorHAnsi"/>
                <w:b/>
                <w:bCs/>
                <w:color w:val="auto"/>
                <w:sz w:val="16"/>
                <w:szCs w:val="16"/>
              </w:rPr>
              <w:t xml:space="preserve">50th LSAT </w:t>
            </w:r>
          </w:p>
        </w:tc>
        <w:tc>
          <w:tcPr>
            <w:tcW w:w="461" w:type="dxa"/>
            <w:tcBorders>
              <w:top w:val="single" w:sz="4" w:space="0" w:color="auto"/>
              <w:left w:val="single" w:sz="4" w:space="0" w:color="auto"/>
              <w:bottom w:val="single" w:sz="6" w:space="0" w:color="auto"/>
              <w:right w:val="single" w:sz="4" w:space="0" w:color="auto"/>
            </w:tcBorders>
            <w:shd w:val="clear" w:color="auto" w:fill="E0E0E0"/>
            <w:tcMar>
              <w:left w:w="14" w:type="dxa"/>
              <w:right w:w="14" w:type="dxa"/>
            </w:tcMar>
            <w:hideMark/>
          </w:tcPr>
          <w:p w14:paraId="421F26B7" w14:textId="77777777" w:rsidR="00D50C9A" w:rsidRPr="006726AA" w:rsidRDefault="00D50C9A" w:rsidP="00D510E4">
            <w:pPr>
              <w:widowControl/>
              <w:spacing w:line="160" w:lineRule="exact"/>
              <w:rPr>
                <w:rFonts w:asciiTheme="majorHAnsi" w:hAnsiTheme="majorHAnsi"/>
                <w:b/>
                <w:bCs/>
                <w:color w:val="auto"/>
                <w:sz w:val="16"/>
                <w:szCs w:val="16"/>
              </w:rPr>
            </w:pPr>
            <w:r w:rsidRPr="006726AA">
              <w:rPr>
                <w:rFonts w:asciiTheme="majorHAnsi" w:hAnsiTheme="majorHAnsi"/>
                <w:b/>
                <w:bCs/>
                <w:color w:val="auto"/>
                <w:sz w:val="16"/>
                <w:szCs w:val="16"/>
              </w:rPr>
              <w:t xml:space="preserve">25th LSAT </w:t>
            </w:r>
          </w:p>
        </w:tc>
      </w:tr>
      <w:tr w:rsidR="00F0790D" w:rsidRPr="00D50C9A" w14:paraId="0125CE50"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36C6BDC8"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AKRON, U. OF</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16B6BD7"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456</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114C3D7"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188</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4A9D370"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41.2%</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2216E3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35</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78DA27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3.47</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F9DDC49"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3.21</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618B36F"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2.95</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CA89E2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154</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5BC78572"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151</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1057535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149</w:t>
            </w:r>
          </w:p>
        </w:tc>
      </w:tr>
      <w:tr w:rsidR="00F0790D" w:rsidRPr="00D50C9A" w14:paraId="13D800FC"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22687708"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AMERICAN U.</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CAB289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479</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D407D5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226</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E160E78"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47.2%</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F360450"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83</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6502810"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3.41</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C1DADB9"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3.2</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99E9016"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2.93</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30A7BD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158</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243D33B5"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155</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5AF5695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151</w:t>
            </w:r>
          </w:p>
        </w:tc>
      </w:tr>
      <w:tr w:rsidR="00F0790D" w:rsidRPr="00D50C9A" w14:paraId="4DC71C2C"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60AA821C"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ARIZONA SUMMIT LAW SCHOOL</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84E5FB7"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136</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1BAA667"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80</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08E9CBA"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58.8%</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A1F6735"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32</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1C73BB6"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3.28</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34A9EB0"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3.02</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0B6C385"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2.57</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E778947"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152</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0ADA38F8"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144</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70C8433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140</w:t>
            </w:r>
          </w:p>
        </w:tc>
      </w:tr>
      <w:tr w:rsidR="00F0790D" w:rsidRPr="00D50C9A" w14:paraId="2F711A49"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6A90AE9B"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ARKANSAS, LITTLE ROCK, U. OF</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B875C5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240</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2EEE60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54</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1FC562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22.5%</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8817F9E"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34</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B09906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3.49</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8F50472"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3.28</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AB88B91"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2.84</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4CF00B5"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156</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045B0117"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151</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324580F6"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145</w:t>
            </w:r>
          </w:p>
        </w:tc>
      </w:tr>
      <w:tr w:rsidR="00F0790D" w:rsidRPr="00D50C9A" w14:paraId="7018D4A9"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210A2FD9"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 xml:space="preserve">ATLANTA'S JOHN MARSHALL </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EDA5CB2"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244</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A22C95E"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118</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393F788"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48.4%</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E8C1B2F"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71</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FFBC0CE"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3.3</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8205370"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3.08</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B2DB6CC"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2.76</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3CA720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149</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58860A3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147</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2942508C"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144</w:t>
            </w:r>
          </w:p>
        </w:tc>
      </w:tr>
      <w:tr w:rsidR="00F0790D" w:rsidRPr="00D50C9A" w14:paraId="38942F1A"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03A35461"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BALTIMORE, U. OF</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BE8BFD1"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226</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B137FB5"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104</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61700DE"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46.0%</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B8934BE"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48</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9B92CAC"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3.39</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FF39F8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3.08</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03C884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2.83</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D445A6A"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154</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724D79CF"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150</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2146EA38"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147</w:t>
            </w:r>
          </w:p>
        </w:tc>
      </w:tr>
      <w:tr w:rsidR="00F0790D" w:rsidRPr="00D50C9A" w14:paraId="768FF2DE"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27DFBA3C"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BARRY U.</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CF855B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124</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DFCC649"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51</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54FCDF1"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41.1%</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19C4DE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25</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466397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3.1</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0B859AF"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2.91</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B557047"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2.68</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7C14E9A"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153</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5DF138B2"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148</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0A18DAD6"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145</w:t>
            </w:r>
          </w:p>
        </w:tc>
      </w:tr>
      <w:tr w:rsidR="00F0790D" w:rsidRPr="00D50C9A" w14:paraId="0FE440A9"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0B653885"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BROOKLYN LAW SCHOOL</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536022F"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387</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3FEA3EF"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102</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AE3E00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26.4%</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315CB47"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34</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62423C1"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3.54</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37C8F76"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3.31</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C986E5F"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3.1</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ECEF771"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159</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14F7AE7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156</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7CEC4A1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153</w:t>
            </w:r>
          </w:p>
        </w:tc>
      </w:tr>
      <w:tr w:rsidR="00F0790D" w:rsidRPr="00D50C9A" w14:paraId="5528907C"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42914C44"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 xml:space="preserve">CALIFORNIA WESTERN </w:t>
            </w:r>
            <w:r w:rsidR="00D510E4" w:rsidRPr="006726AA">
              <w:rPr>
                <w:rFonts w:asciiTheme="majorHAnsi" w:hAnsiTheme="majorHAnsi"/>
                <w:color w:val="auto"/>
                <w:sz w:val="16"/>
                <w:szCs w:val="16"/>
              </w:rPr>
              <w:t>SOL</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B27A15F"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111</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A669D18"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65</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DA5648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58.6%</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D0F7652"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31</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53B26C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3.3</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94C0F17"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2.93</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5EBBAEC"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2.66</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F6EDA35"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152</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6AB6015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150</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635F2C0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145</w:t>
            </w:r>
          </w:p>
        </w:tc>
      </w:tr>
      <w:tr w:rsidR="00F0790D" w:rsidRPr="00D50C9A" w14:paraId="37557257"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103BC8A1"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CAMPBELL U.</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08C8B5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46</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AC9C9E5"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20</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A53086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43.5%</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E75D8F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10</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A125B11"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3.21</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D3C905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3.01</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77B1CE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2.78</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9115B1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152</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39E0FED7"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151</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079D446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150</w:t>
            </w:r>
          </w:p>
        </w:tc>
      </w:tr>
      <w:tr w:rsidR="00F0790D" w:rsidRPr="00D50C9A" w14:paraId="2342BBF4"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64104E6B"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CAPITAL U.</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09D3E67"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81</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B6FE5F7"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56</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ED5E176"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69.1%</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E375691"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40</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C00C55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3.41</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49EFA6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3.05</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1F87DC2"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2.71</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4FD547F"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151</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559F3785"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146</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5821C9AC"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144</w:t>
            </w:r>
          </w:p>
        </w:tc>
      </w:tr>
      <w:tr w:rsidR="00F0790D" w:rsidRPr="00D50C9A" w14:paraId="590E00CE"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52314BC4"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CARDOZO SCHOOL OF LAW</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8348D06"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342</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312EB75"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179</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7DFBDE6"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52.3%</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D84E497"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80</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E424BFE"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3.57</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06A58FE"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3.33</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AE4DCB8"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3.13</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8F44D8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157</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2F4EB68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154</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79BCBF90"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151</w:t>
            </w:r>
          </w:p>
        </w:tc>
      </w:tr>
      <w:tr w:rsidR="00F0790D" w:rsidRPr="00D50C9A" w14:paraId="7BE95E1D"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0941C4AB"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CATHOLIC U. OF AMERICA</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B2281D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259</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5DB7437"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121</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F061F6C"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46.7%</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8F049F9"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35</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552CA31"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3.44</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423B9D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3.22</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99DCA4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2.89</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56680E1"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157</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186B0538"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154</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5CB3E1C6"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151</w:t>
            </w:r>
          </w:p>
        </w:tc>
      </w:tr>
      <w:tr w:rsidR="00F0790D" w:rsidRPr="00D50C9A" w14:paraId="4577E694"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42CC8209"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CHARLESTON SCHOOL OF LAW</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AA564B8"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131</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615AB5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34</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85A901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26.0%</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557268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17</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B6D4D19"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3.12</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B33AC4C"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2.98</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865AEF5"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2.73</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FF5D48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152</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44E826A0"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144</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191E9647"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141</w:t>
            </w:r>
          </w:p>
        </w:tc>
      </w:tr>
      <w:tr w:rsidR="00F0790D" w:rsidRPr="00D50C9A" w14:paraId="53F518FD"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23D58BDE"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CHARLOTTE SCHOOL OF LAW</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2637DC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208</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DDDACC9"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94</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C3A854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45.2%</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C177145"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40</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A614FAA"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3.22</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23A004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2.75</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62A781E"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2.55</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64EF157"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148</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6D8D534C"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144</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61C1696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141</w:t>
            </w:r>
          </w:p>
        </w:tc>
      </w:tr>
      <w:tr w:rsidR="00F0790D" w:rsidRPr="00D50C9A" w14:paraId="7D5408A8"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7CCC7ED1"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CHICAGO-KENT COLLEGE OF LAW-IIT</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C2A211E"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188</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7456C38"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96</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D555E8A"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51.1%</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F187E78"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38</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9B88D20"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3.49</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80ABBB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3.17</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ECF88E9"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2.97</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AC4260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158</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71F42DD7"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152</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3F8F73A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150</w:t>
            </w:r>
          </w:p>
        </w:tc>
      </w:tr>
      <w:tr w:rsidR="00F0790D" w:rsidRPr="00D50C9A" w14:paraId="0AD7B6C4"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1BDD0A12"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CITY U. OF NEW YORK</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9D823E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311</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3E5A30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100</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BABAB57"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32.2%</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3D90F1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53</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9256B3C"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3.53</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B8F89E7"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3.2</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CAA4A18"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2.96</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BE95922"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153</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120D1BBC"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150</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1BEDBF7C"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148</w:t>
            </w:r>
          </w:p>
        </w:tc>
      </w:tr>
      <w:tr w:rsidR="00F0790D" w:rsidRPr="00D50C9A" w14:paraId="6D6B8BE8"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108B31F5"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CLEVELAND STATE U.</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70832AF"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88</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08D43A2"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39</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6687272"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44.3%</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FFB5C06"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24</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9063F7F"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3.59</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FBEEBDC"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3.21</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A6B5985"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2.96</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356343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153</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7D1EB15E"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152</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1D875F9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151</w:t>
            </w:r>
          </w:p>
        </w:tc>
      </w:tr>
      <w:tr w:rsidR="00F0790D" w:rsidRPr="00D50C9A" w14:paraId="65A22701"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51E331E0"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CONNECTICUT, U. OF</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3FD3C1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133</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4F7E0E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44</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47CCD5F"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33.1%</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2DF974C"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27</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6BBF3A8"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3.46</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37F64F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3.24</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9508DE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3.05</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2619A28"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158</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0563E14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155</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63C7089C"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152</w:t>
            </w:r>
          </w:p>
        </w:tc>
      </w:tr>
      <w:tr w:rsidR="00F0790D" w:rsidRPr="00D50C9A" w14:paraId="6690033A"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18BF4581"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DENVER, U. OF</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CDA2E2A"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121</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92A0C5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64</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D27AACA"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52.9%</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5CFCAA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35</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F9EE04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3.57</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D0FF68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3.31</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871DCAE"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2.95</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32BE32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158</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45B6A7EF"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154</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0B55685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152</w:t>
            </w:r>
          </w:p>
        </w:tc>
      </w:tr>
      <w:tr w:rsidR="00F0790D" w:rsidRPr="00D50C9A" w14:paraId="588FBA1A"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3DD8C86C"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DEPAUL U.</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08DB6D8"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183</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7AC4D9E"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93</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82A755F"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50.8%</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FE5A896"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36</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8814B9F"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3.31</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33EF76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3.19</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1A58EFF"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2.88</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76B940C"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153</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451B47CE"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152</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429E938F"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149</w:t>
            </w:r>
          </w:p>
        </w:tc>
      </w:tr>
      <w:tr w:rsidR="00F0790D" w:rsidRPr="00D50C9A" w14:paraId="50765022"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1CE35987"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DETROIT MERCY, U. OF</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8EE60F7"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92</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C0AC42A"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47</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414505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51.1%</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A5A94E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32</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00E914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3.42</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9E8D95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3.18</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4E7AD02"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2.94</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6E5190A"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149</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4DFE837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145</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3805C57E"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143</w:t>
            </w:r>
          </w:p>
        </w:tc>
      </w:tr>
      <w:tr w:rsidR="00F0790D" w:rsidRPr="00D50C9A" w14:paraId="5AB33BA6"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65ED0EA0"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DISTRICT OF COLUMBIA</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2570E01"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202</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0C11C32"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65</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B639038"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32.2%</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5A0771A"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45</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8061A95"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3.17</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D367C9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2.9</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E56FBCE"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2.54</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A07023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151</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29EC3BD1"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148</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66BF79DF"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146</w:t>
            </w:r>
          </w:p>
        </w:tc>
      </w:tr>
      <w:tr w:rsidR="00F0790D" w:rsidRPr="00D50C9A" w14:paraId="4678AFA0"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29042EC4"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DUQUESNE U.</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082D86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92</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6B531B9"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38</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0417089"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41.3%</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986E19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24</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688D23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3.65</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9F676D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3.45</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F3988D7"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3.13</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D439A9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157</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058F5247"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153</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66542E1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151</w:t>
            </w:r>
          </w:p>
        </w:tc>
      </w:tr>
      <w:tr w:rsidR="00F0790D" w:rsidRPr="00D50C9A" w14:paraId="481F6C3C"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1EF6585B"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FLORIDA A&amp;M U.</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BA85C9E"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169</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4F61721"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70</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FE21F08"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41.4%</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0CD722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43</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4A088B2"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3.26</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DA908A7"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2.92</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8BDDAD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2.73</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6823538"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149</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4C404C28"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146</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59B677D1"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144</w:t>
            </w:r>
          </w:p>
        </w:tc>
      </w:tr>
      <w:tr w:rsidR="00F0790D" w:rsidRPr="00D50C9A" w14:paraId="1FD4A2D9"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7888156E"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FLORIDA COASTAL SCHOOL OF LAW</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7AB22C9"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141</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B623C62"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58</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2B33A65"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41.1%</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0D3F069"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19</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DBABD11"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3.38</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FF4159C"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2.78</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1EDD2D2"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2.6</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BBD914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147</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127AA26A"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144</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05B585A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142</w:t>
            </w:r>
          </w:p>
        </w:tc>
      </w:tr>
      <w:tr w:rsidR="00F0790D" w:rsidRPr="00D50C9A" w14:paraId="2FE0EF92"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3B781023"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FLORIDA INTERNATIONAL U.</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80FD620"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121</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2964112"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27</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94B394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22.3%</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5E0A47F"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16</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61357DA"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3.76</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F1E3D7C"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3.59</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629781F"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3.35</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FF1E7F8"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156</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0E5D0377"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153</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215AB510"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148</w:t>
            </w:r>
          </w:p>
        </w:tc>
      </w:tr>
      <w:tr w:rsidR="00F0790D" w:rsidRPr="00D50C9A" w14:paraId="018A2532"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635375D3"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FORDHAM U.</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3DC0BE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386</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BC248A1"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109</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76937E8"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28.2%</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A929D0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44</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59E8535"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3.62</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D692B87"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3.47</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6B7BBD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3.3</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1AD6910"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164</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24A47BB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158</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552B8495"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156</w:t>
            </w:r>
          </w:p>
        </w:tc>
      </w:tr>
      <w:tr w:rsidR="00F0790D" w:rsidRPr="00D50C9A" w14:paraId="72C70D38"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2BC19335"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GEORGE MASON U.</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C3919E5"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508</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5A329A9"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73</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F823B39"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14.4%</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226B2E1"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43</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1A92BEA"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3.69</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206A978"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3.58</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4A02501"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3.28</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EB86AF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163</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23ED2B4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159</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5CA2F61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157</w:t>
            </w:r>
          </w:p>
        </w:tc>
      </w:tr>
      <w:tr w:rsidR="00F0790D" w:rsidRPr="00D50C9A" w14:paraId="13546BF7"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595300C6"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GEORGE WASHINGTON U.</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051874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505</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2BF25A7"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117</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A144B5C"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23.2%</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79C0481"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35</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7659AE9"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3.87</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FF4B282"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3.75</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9712B92"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3.39</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5A1741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163</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0DEFF126"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156</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4903014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152</w:t>
            </w:r>
          </w:p>
        </w:tc>
      </w:tr>
      <w:tr w:rsidR="00F0790D" w:rsidRPr="00D50C9A" w14:paraId="44EF9BDE"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28BEA98A"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GEORGETOWN U.</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57ADF90"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1,381</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5DF5547"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80</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3D766F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5.8%</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995502C"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50</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0315DF0"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3.85</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0ED6B45"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3.69</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F3920EA"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3.39</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DB08B99"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168</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48E83736"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164</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0F9AE92A"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157</w:t>
            </w:r>
          </w:p>
        </w:tc>
      </w:tr>
      <w:tr w:rsidR="00F0790D" w:rsidRPr="00D50C9A" w14:paraId="0D4B3D2C"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373B628C"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GEORGIA STATE U.</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C4078F6"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252</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06D68F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53</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061498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21.0%</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F4E08BE"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34</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FB25F46"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3.46</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8FE032E"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3.36</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3CCD43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3.1</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3F59639"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158</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0F90DF8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155</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43DCEBB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152</w:t>
            </w:r>
          </w:p>
        </w:tc>
      </w:tr>
      <w:tr w:rsidR="00F0790D" w:rsidRPr="00D50C9A" w14:paraId="27E52938"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1A76803A"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GOLDEN GATE U.</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F21F03C"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153</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40A0C5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90</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088E1B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58.8%</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E48F1F7"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34</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F77768E"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3.35</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50C2006"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3.02</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D35320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2.77</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CCC80E5"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151</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0C79A8F0"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148</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3252A73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144</w:t>
            </w:r>
          </w:p>
        </w:tc>
      </w:tr>
      <w:tr w:rsidR="00F0790D" w:rsidRPr="00D50C9A" w14:paraId="0FE4B1E0"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1D6B0D15"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HAWAII, U. OF</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EE199E6"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57</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FD9DA08"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23</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38E37B5"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40.4%</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1FBC338"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18</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27CF21E"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3.45</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E613A45"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2.9</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30563F2"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2.69</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0D836EC"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155</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71BFC6E2"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152</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653DD36C"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151</w:t>
            </w:r>
          </w:p>
        </w:tc>
      </w:tr>
      <w:tr w:rsidR="00F0790D" w:rsidRPr="00D50C9A" w14:paraId="266DE887"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53889778"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HOFSTRA U.</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A27C02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149</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20408D7"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38</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FD3E412"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25.5%</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EE13059"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11</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008ADCF"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3.53</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800B21E"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3.28</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DBE1386"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3.15</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FFFC15C"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156</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41A9E3C7"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151</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2D941ECA"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146</w:t>
            </w:r>
          </w:p>
        </w:tc>
      </w:tr>
      <w:tr w:rsidR="00F0790D" w:rsidRPr="00D50C9A" w14:paraId="5C40DA2B"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617E3EE9"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HOUSTON, U. OF</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3404F81"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359</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536E00F"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54</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53E4AE8"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15.0%</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1CC8D9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27</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F615FB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3.65</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5A25C7A"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3.4</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0C2A278"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2.98</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5DF898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159</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4BAB886F"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158</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0E9DF15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152</w:t>
            </w:r>
          </w:p>
        </w:tc>
      </w:tr>
      <w:tr w:rsidR="00F0790D" w:rsidRPr="00D50C9A" w14:paraId="39D2E02C"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3EFE809C"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INDIANA U. - INDIANAPOLIS</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498A41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136</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EDC8BEE"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98</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DF1076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72.1%</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2B68B89"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69</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013BD52"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3.57</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052AF4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3.24</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F1A57D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w:t>
            </w:r>
            <w:r w:rsidR="003615FD" w:rsidRPr="006726AA">
              <w:rPr>
                <w:rFonts w:asciiTheme="majorHAnsi" w:hAnsiTheme="majorHAnsi"/>
                <w:color w:val="auto"/>
                <w:sz w:val="16"/>
                <w:szCs w:val="16"/>
              </w:rPr>
              <w:t>.00</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0A96772"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156</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6DF23E1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150</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014471EA"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147</w:t>
            </w:r>
          </w:p>
        </w:tc>
      </w:tr>
      <w:tr w:rsidR="00F0790D" w:rsidRPr="00D50C9A" w14:paraId="0FB3929C"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69EEBA5F"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INTER AMERICAN U. OF PUERTO RICO</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670B145"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181</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C4D66F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105</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0746687"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58.0%</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C8E1D7C"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79</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30E1315"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3.56</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DFF0256"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3.25</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B09AB3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2.91</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CFAD85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140</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3E4B512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136</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6A746E2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134</w:t>
            </w:r>
          </w:p>
        </w:tc>
      </w:tr>
      <w:tr w:rsidR="00F0790D" w:rsidRPr="00D50C9A" w14:paraId="0A4E14B4"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770C317A"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JOHN MARSHALL LAW SCHOOL</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9D3081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262</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FEAFE81"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149</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53256A9"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56.9%</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73342EC"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49</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49B340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3.33</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12881CF"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3.03</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A08A6AF"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2.81</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8EF622A"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151</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0295AFE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147</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43896E02"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145</w:t>
            </w:r>
          </w:p>
        </w:tc>
      </w:tr>
      <w:tr w:rsidR="00F0790D" w:rsidRPr="00D50C9A" w14:paraId="31EC6DFE"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707CFCED"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LEWIS AND CLARK COLLEGE</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6001181"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81</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BAC29A6"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44</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6C6B07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54.3%</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F6C223E"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22</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26A5EA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3.51</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5BE9E2A"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3.34</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CC67525"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3.02</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488D5A6"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160</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1079068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155</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0DFCAFAE"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149</w:t>
            </w:r>
          </w:p>
        </w:tc>
      </w:tr>
      <w:tr w:rsidR="00F0790D" w:rsidRPr="00D50C9A" w14:paraId="2A468573"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56448390" w14:textId="77777777" w:rsidR="00D50C9A" w:rsidRPr="006726AA" w:rsidRDefault="00D50C9A" w:rsidP="003615FD">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LOYOLA MARYMOUNT U.-L</w:t>
            </w:r>
            <w:r w:rsidR="003615FD" w:rsidRPr="006726AA">
              <w:rPr>
                <w:rFonts w:asciiTheme="majorHAnsi" w:hAnsiTheme="majorHAnsi"/>
                <w:color w:val="auto"/>
                <w:sz w:val="16"/>
                <w:szCs w:val="16"/>
              </w:rPr>
              <w:t>.A.</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D78006F"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939</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FB562F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247</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CA3546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26.3%</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0E91096"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39</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82E344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3.62</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F98E701"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3.51</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7E2EF5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3.04</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804147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160</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3F915CB0"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157</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469DAEC5"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155</w:t>
            </w:r>
          </w:p>
        </w:tc>
      </w:tr>
      <w:tr w:rsidR="00F0790D" w:rsidRPr="00D50C9A" w14:paraId="5AD03E0A"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6E7A43FF"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LOYOLA U.-CHICAGO</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38F88D1"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200</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480AB72"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80</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73DEF0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40.0%</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E06FB38"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43</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CE03E81"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3.49</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1CAA652"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3.22</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65B47E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2.81</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6E1E73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160</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236F5331"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156</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00D7331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151</w:t>
            </w:r>
          </w:p>
        </w:tc>
      </w:tr>
      <w:tr w:rsidR="00F0790D" w:rsidRPr="00D50C9A" w14:paraId="0F71A09E"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01E8FE6C"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LOYOLA U.-NEW ORLEANS</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2752CAE"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71</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43FF8F0"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48</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53DE4FA"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67.6%</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2864A3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36</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4D95846"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3.28</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11C55C9"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3.11</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713F07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2.72</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2FDB789"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150</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0A76F198"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146</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101EFA36"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142</w:t>
            </w:r>
          </w:p>
        </w:tc>
      </w:tr>
      <w:tr w:rsidR="00F0790D" w:rsidRPr="00D50C9A" w14:paraId="12F9B849"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152B8D51"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MARYLAND, U. OF</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2D90D9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190</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BEAC69A"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63</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8D1C1A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33.2%</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1FE4CD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33</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3D626D9"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3.52</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99D37C2"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3.36</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F71010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3.05</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D40D3BE"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161</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2B07D90C"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158</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671E5D9A"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154</w:t>
            </w:r>
          </w:p>
        </w:tc>
      </w:tr>
      <w:tr w:rsidR="00F0790D" w:rsidRPr="00D50C9A" w14:paraId="2AAB26D0"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111F8C1C"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MCGEORGE SCHOOL OF LAW</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24EBB82"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84</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17C1995"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51</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0EE3B2E"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60.7%</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E611A38"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33</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E37AD4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3.33</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8FEB1C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3.08</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DF7730A"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2.68</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9052C9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155</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468D3EAE"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153</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33AA632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147</w:t>
            </w:r>
          </w:p>
        </w:tc>
      </w:tr>
      <w:tr w:rsidR="00F0790D" w:rsidRPr="00D50C9A" w14:paraId="189A9644"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02FCCA44"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MICHIGAN STATE U.</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6E837DE"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88</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5B41D17"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48</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9CCB2E0"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54.5%</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CF72C11"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23</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1626935"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3.68</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76AF8CA"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3.43</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DD70B6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2.86</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DDCC309"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153</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593303AA"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147</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152070F8"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144</w:t>
            </w:r>
          </w:p>
        </w:tc>
      </w:tr>
      <w:tr w:rsidR="00F0790D" w:rsidRPr="00D50C9A" w14:paraId="6E4DAA0E"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7D835CB5"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MITCHELL|HAMLINE</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38879D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510</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5B6670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308</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19C1792"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60.4%</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C40F835"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164</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37EDD9F"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3.45</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5090AD5"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3.12</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6F160B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2.77</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5178C4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154</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236CF35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150</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25C0BE3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145</w:t>
            </w:r>
          </w:p>
        </w:tc>
      </w:tr>
      <w:tr w:rsidR="00F0790D" w:rsidRPr="00D50C9A" w14:paraId="1EE851CB"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3481BAC5"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NEW ENGLAND LAW | BOSTON</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FE6EFC1"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253</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988B74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135</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CECC5EF"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53.4%</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2724E2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52</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62DBA7C"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3.41</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3581258"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3.12</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4C4AF1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2.77</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87D8ECC"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154</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43DBFDC1"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150</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69A2A030"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146</w:t>
            </w:r>
          </w:p>
        </w:tc>
      </w:tr>
      <w:tr w:rsidR="00F0790D" w:rsidRPr="00D50C9A" w14:paraId="71BC5330"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519691FE"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NEW YORK LAW SCHOOL</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86B8E6C"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407</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1439435"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165</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899A05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40.5%</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8A87FB8"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61</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338A172"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3.53</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E963F99"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3.32</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512985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3.04</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56C191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152</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5F0AE051"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150</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3F4C6B47"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148</w:t>
            </w:r>
          </w:p>
        </w:tc>
      </w:tr>
      <w:tr w:rsidR="00F0790D" w:rsidRPr="00D50C9A" w14:paraId="378CB626"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60D054D1"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NORTH CAROLINA CENTRAL U.</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352C3D9"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374</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9302138"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87</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6771C77"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23.3%</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28BC0C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19</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66F209A"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3.61</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042A876"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3.3</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8457BBA"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2.98</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CA865A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156</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434FFA9A"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146</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6E4DBE5C"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144</w:t>
            </w:r>
          </w:p>
        </w:tc>
      </w:tr>
      <w:tr w:rsidR="00F0790D" w:rsidRPr="00D50C9A" w14:paraId="1A0721F2"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2C34AAD8"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NORTHERN KENTUCKY U.</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B8AEE8A"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78</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BEE2EAE"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55</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B817725"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70.5%</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0C4872E"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32</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E82C728"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3.39</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A1EFC09"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3.14</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1B7A915"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2.98</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DDE4CD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154</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0437AA02"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149</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6681BB9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145</w:t>
            </w:r>
          </w:p>
        </w:tc>
      </w:tr>
      <w:tr w:rsidR="00F0790D" w:rsidRPr="00D50C9A" w14:paraId="565ECCB8"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1EAE0553"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NOVA SOUTHEASTERN U.</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50F14C6"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184</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E9CBEA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69</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E4BEF61"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37.5%</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22B31E2"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34</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E25762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3.43</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E339CB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3.19</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D0F5EB7"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w:t>
            </w:r>
            <w:r w:rsidR="003615FD" w:rsidRPr="006726AA">
              <w:rPr>
                <w:rFonts w:asciiTheme="majorHAnsi" w:hAnsiTheme="majorHAnsi"/>
                <w:color w:val="auto"/>
                <w:sz w:val="16"/>
                <w:szCs w:val="16"/>
              </w:rPr>
              <w:t>.00</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1B1443C"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150</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28937CA7"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148</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3D21D7C1"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144</w:t>
            </w:r>
          </w:p>
        </w:tc>
      </w:tr>
      <w:tr w:rsidR="00F0790D" w:rsidRPr="00D50C9A" w14:paraId="1517F61A"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0DE0A53C"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OKLAHOMA CITY U.</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E2FA1F8"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45</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465A99F"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29</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B28FC6C"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64.4%</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E6895E5"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D4B6A28"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3.52</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1342CA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3.26</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9A24F12"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2.88</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2C0532A"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147</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77431BC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145</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648D202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143</w:t>
            </w:r>
          </w:p>
        </w:tc>
      </w:tr>
      <w:tr w:rsidR="00F0790D" w:rsidRPr="00D50C9A" w14:paraId="5910DEB0"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53490D2D"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PACE U.</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48B46FF"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165</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E2F81B2"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49</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F8F7A6E"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29.7%</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E58B5F7"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11</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C497CB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3.43</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A41D32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3.05</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A4EE0EE"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2.66</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F17C8CE"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152</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1E7F3F1C"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149</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12A4D876"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147</w:t>
            </w:r>
          </w:p>
        </w:tc>
      </w:tr>
      <w:tr w:rsidR="00F0790D" w:rsidRPr="00D50C9A" w14:paraId="4FC9F5F0"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773BEC23"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PONTIFICAL CATHOLIC U. OF P.R.</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0DEF1A0"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103</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3E86B28"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44</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663A3D0"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42.7%</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7904AF0"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35</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597B401"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3.39</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7E14389"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3.16</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7E8A8F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2.59</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3A64560"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138</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1CC03836"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134</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15393C46"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131</w:t>
            </w:r>
          </w:p>
        </w:tc>
      </w:tr>
      <w:tr w:rsidR="00F0790D" w:rsidRPr="00D50C9A" w14:paraId="14615C63"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11ECCDFC"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PUERTO RICO, U. OF</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4A6EF3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86</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3334946"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57</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18EE2C9"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66.3%</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19F297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54</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2076C9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3.68</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1DE9276"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3.45</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2A58106"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3.19</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25399F2"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148</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1C45BFC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143</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3ADB9148"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139</w:t>
            </w:r>
          </w:p>
        </w:tc>
      </w:tr>
      <w:tr w:rsidR="00F0790D" w:rsidRPr="00D50C9A" w14:paraId="6E63A790"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762204A6"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QUINNIPIAC U.</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2194779"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83</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ED7A779"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38</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240C7D6"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45.8%</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A3F58BF"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24</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B3C88D5"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3.58</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C5A0700"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3.28</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4CB90F9"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2.74</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085719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153</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0A641649"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150</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3CB7B33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148</w:t>
            </w:r>
          </w:p>
        </w:tc>
      </w:tr>
      <w:tr w:rsidR="00F0790D" w:rsidRPr="00D50C9A" w14:paraId="098D891E"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002023F2"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RUTGERS U.</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C0FAC4A"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362</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05187A0"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120</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2CCC6D6"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33.1%</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4F4E50C"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66</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203C705"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3.59</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5F6AD22"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3.31</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35CD289"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2.93</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B05B2C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157</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04A944EF"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154</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6CC62BDC"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150</w:t>
            </w:r>
          </w:p>
        </w:tc>
      </w:tr>
      <w:tr w:rsidR="00F0790D" w:rsidRPr="00D50C9A" w14:paraId="6A7B04DC"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15D1F07C"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SAINT LOUIS U.</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2037B72"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141</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AA3994F"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57</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13D3DD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40.4%</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5797E21"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22</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0E86D7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3.57</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FBD2DEA"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3.35</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7972F8C"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2.98</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E07B08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154</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180CEEE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153</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43352FE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150</w:t>
            </w:r>
          </w:p>
        </w:tc>
      </w:tr>
      <w:tr w:rsidR="00F0790D" w:rsidRPr="00D50C9A" w14:paraId="302AAC81"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0C764D42"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SAN DIEGO, U. OF</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17E8E95"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157</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F30A70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52</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88544AF"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33.1%</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BA8D8CC"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22</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791E12C"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3.6</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27857BC"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3.41</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DCA9FC9"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2.97</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160CFB6"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160</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2A0D765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155</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618115B5"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152</w:t>
            </w:r>
          </w:p>
        </w:tc>
      </w:tr>
      <w:tr w:rsidR="00F0790D" w:rsidRPr="00D50C9A" w14:paraId="53C996BE"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70288BFB"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SAN FRANCISCO, U. OF</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E8F0216"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125</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F4FE108"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68</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678BDFC"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54.4%</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11D2A5E"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29</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6EF0601"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3.29</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AC63480"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3.08</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0D8D32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2.91</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929C2B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155</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02205CEC"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152</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2E998D2C"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148</w:t>
            </w:r>
          </w:p>
        </w:tc>
      </w:tr>
      <w:tr w:rsidR="00F0790D" w:rsidRPr="00D50C9A" w14:paraId="6DB6CEA5"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77A8EBFC"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SANTA CLARA U.</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6721125"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139</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1086FD1"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62</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BB66152"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44.6%</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EC049B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23</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1D8453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3.46</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0E381F5"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3.33</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2FD51F9"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2.84</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B3E793F"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164</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56BE642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157</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61149577"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152</w:t>
            </w:r>
          </w:p>
        </w:tc>
      </w:tr>
      <w:tr w:rsidR="00F0790D" w:rsidRPr="00D50C9A" w14:paraId="51D550C7"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192276AC"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SEATTLE U.</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A2F5928"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121</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57C47F8"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64</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BE1D945"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52.9%</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25926A6"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35</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12C8E70"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3.75</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5613A3F"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3.41</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E0481B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3.08</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DF21D5A"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159</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7C5D02E6"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154</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17451F7A"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150</w:t>
            </w:r>
          </w:p>
        </w:tc>
      </w:tr>
      <w:tr w:rsidR="00F0790D" w:rsidRPr="00D50C9A" w14:paraId="421648AC"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7F88CABD"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SETON HALL U.</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DD6BCCE"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222</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2160652"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99</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1FD6FAC"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44.6%</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2B20B4E"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37</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3685F72"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3.46</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6223D0E"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3.13</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A8D2C19"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2.95</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4E1ACD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155</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30AFEA4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150</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67BC6908"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147</w:t>
            </w:r>
          </w:p>
        </w:tc>
      </w:tr>
      <w:tr w:rsidR="00F0790D" w:rsidRPr="00D50C9A" w14:paraId="4C214998"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6BEED67C" w14:textId="77777777" w:rsidR="00D50C9A" w:rsidRPr="006726AA" w:rsidRDefault="00D50C9A" w:rsidP="003615FD">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S</w:t>
            </w:r>
            <w:r w:rsidR="003615FD" w:rsidRPr="006726AA">
              <w:rPr>
                <w:rFonts w:asciiTheme="majorHAnsi" w:hAnsiTheme="majorHAnsi"/>
                <w:color w:val="auto"/>
                <w:sz w:val="16"/>
                <w:szCs w:val="16"/>
              </w:rPr>
              <w:t>.</w:t>
            </w:r>
            <w:r w:rsidRPr="006726AA">
              <w:rPr>
                <w:rFonts w:asciiTheme="majorHAnsi" w:hAnsiTheme="majorHAnsi"/>
                <w:color w:val="auto"/>
                <w:sz w:val="16"/>
                <w:szCs w:val="16"/>
              </w:rPr>
              <w:t xml:space="preserve"> TEXAS COLLEGE OF LAW HOUSTON</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4A73162"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215</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D1E4A7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86</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E1B136A"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40.0%</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FC4AA18"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62</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6BE1370"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3.37</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4FC9CC8"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3.16</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A17907A"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2.79</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50E80C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152</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486EE77F"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150</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61B3DC8F"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148</w:t>
            </w:r>
          </w:p>
        </w:tc>
      </w:tr>
      <w:tr w:rsidR="00F0790D" w:rsidRPr="00D50C9A" w14:paraId="1F64F0EF"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3411186C"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SOUTHERN U.</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EE2B6A9"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164</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A86398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102</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A5AACF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62.2%</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3AB4CCA"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64</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DADA3FE"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2.98</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9793378"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2.6</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9B86785"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2.3</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2684CD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144</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56594AD8"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142</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3A991FC7"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140</w:t>
            </w:r>
          </w:p>
        </w:tc>
      </w:tr>
      <w:tr w:rsidR="00F0790D" w:rsidRPr="00D50C9A" w14:paraId="7F8B5173"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7E7BB9EB"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SOUTHWESTERN LAW SCHOOL</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B9855F1"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265</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E25FC3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104</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2494842"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39.2%</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065DEFF"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50</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F28C05F"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3.5</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968A6FF"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3.17</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EDB5E1A"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3.01</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0B5E0A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154</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4C77BB36"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151</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2855D2F9"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149</w:t>
            </w:r>
          </w:p>
        </w:tc>
      </w:tr>
      <w:tr w:rsidR="00F0790D" w:rsidRPr="00D50C9A" w14:paraId="12B3C44E"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1EC0B56C"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ST. JOHN'S U.</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1FCA176"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270</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3CB12A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88</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0980C0E"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32.6%</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413381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34</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05AF336"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3.56</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C31554E"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3.29</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BA2606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3.05</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F5881A5"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157</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51725BF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151</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2B3E5E48"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148</w:t>
            </w:r>
          </w:p>
        </w:tc>
      </w:tr>
      <w:tr w:rsidR="00F0790D" w:rsidRPr="00D50C9A" w14:paraId="3AD9E912"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157E9724"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ST. MARY'S U.</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478F966"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145</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004962C"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75</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B01E0D6"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51.7%</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21B5D31"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42</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ED2E68F"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3.42</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BE3D9E8"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2.95</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F2B90F2"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2.48</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5644A89"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151</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538C5391"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148</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496ECDCC"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145</w:t>
            </w:r>
          </w:p>
        </w:tc>
      </w:tr>
      <w:tr w:rsidR="00F0790D" w:rsidRPr="00D50C9A" w14:paraId="59B58AC6"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54CF28D6"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STETSON U.</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A5E76A8"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144</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4FAC781"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57</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3C44362"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39.6%</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B59BDD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35</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CD41C78"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3.59</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055191C"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3.39</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BB12835"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w:t>
            </w:r>
            <w:r w:rsidR="003615FD" w:rsidRPr="006726AA">
              <w:rPr>
                <w:rFonts w:asciiTheme="majorHAnsi" w:hAnsiTheme="majorHAnsi"/>
                <w:color w:val="auto"/>
                <w:sz w:val="16"/>
                <w:szCs w:val="16"/>
              </w:rPr>
              <w:t>.0</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660356C"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157</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53EE449A"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152</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76CAB60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150</w:t>
            </w:r>
          </w:p>
        </w:tc>
      </w:tr>
      <w:tr w:rsidR="00F0790D" w:rsidRPr="00D50C9A" w14:paraId="623916E0"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2499A72C"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SUFFOLK U.</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5AF0346"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293</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61D686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167</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13BE8D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57.0%</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25FCE9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91</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084DB22"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3.62</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3D784C9"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3.37</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E0E004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3.05</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A2D0419"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155</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0C03134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151</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6D07E069"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147</w:t>
            </w:r>
          </w:p>
        </w:tc>
      </w:tr>
      <w:tr w:rsidR="00F0790D" w:rsidRPr="00D50C9A" w14:paraId="6F301A08"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432F7D98"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TEMPLE U.</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FF2117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215</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4954651"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75</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DB778D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34.9%</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2A329F9"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37</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88DD78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3.67</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4930882"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3.37</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7BA03E6"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3.11</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6344986"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161</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2EF571A6"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158</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1915AA39"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155</w:t>
            </w:r>
          </w:p>
        </w:tc>
      </w:tr>
      <w:tr w:rsidR="00F0790D" w:rsidRPr="00D50C9A" w14:paraId="3BF3EF17"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23639021" w14:textId="77777777" w:rsidR="00D50C9A" w:rsidRPr="006726AA" w:rsidRDefault="00D510E4"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THOMAS JEFFERSON SOL</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D9D1921"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127</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ED9EA58"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100</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900064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78.7%</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0FD1F71"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39</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9AC097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3.16</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7F4FFA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2.87</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CFFFA89"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2.39</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33B504F"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147</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0584A7F7"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144</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4D2C6A39"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141</w:t>
            </w:r>
          </w:p>
        </w:tc>
      </w:tr>
      <w:tr w:rsidR="00F0790D" w:rsidRPr="00D50C9A" w14:paraId="66A5294F"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18280BCA"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THOMAS M. COOLEY LAW SCHOOL</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3591455"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455</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B6DD37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429</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F55C30F"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94.3%</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828FFF2"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366</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7EFDD86"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3.2</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8124C3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2.9</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102174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2.6</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8447F20"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146</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66CDB129"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141</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7C12571F"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138</w:t>
            </w:r>
          </w:p>
        </w:tc>
      </w:tr>
      <w:tr w:rsidR="00F0790D" w:rsidRPr="00D50C9A" w14:paraId="22953463"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692EAF03"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TOLEDO, U. OF</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EFCF4D6"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51</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9497B0E"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21</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3027C3C"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41.2%</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164F3D1"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8EA99F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3.97</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B20F76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3.63</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ABF7152"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2.87</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D6B4768"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157</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279F3AD9"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153</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22A1570C"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149</w:t>
            </w:r>
          </w:p>
        </w:tc>
      </w:tr>
      <w:tr w:rsidR="00F0790D" w:rsidRPr="00D50C9A" w14:paraId="5C5F21B5"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51078950"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TOURO COLLEGE</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92BA99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203</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B16C6E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66</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3DA323E"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32.5%</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4C61437"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30</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E027BD1"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3.4</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054C1B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3.07</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E994E12"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2.65</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A54DD48"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150</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34B9FDB5"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148</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5E46C778"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146</w:t>
            </w:r>
          </w:p>
        </w:tc>
      </w:tr>
      <w:tr w:rsidR="00F0790D" w:rsidRPr="00D50C9A" w14:paraId="2BB059E9"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489CF1CC"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U. OF LA VERNE</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7F4FF2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166</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CEDE938"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70</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E18BF97"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42.2%</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67AF12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26</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58325C8"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3.2</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34D731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2.88</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D447ED7"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2.62</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7C2B6E7"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150</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23EF899F"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148</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377F5A1A"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146</w:t>
            </w:r>
          </w:p>
        </w:tc>
      </w:tr>
      <w:tr w:rsidR="00F0790D" w:rsidRPr="00D50C9A" w14:paraId="61FED18C"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2775F78B" w14:textId="326DFF00" w:rsidR="00D50C9A" w:rsidRPr="006726AA" w:rsidRDefault="003615FD"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U.</w:t>
            </w:r>
            <w:r w:rsidR="00F04CA5">
              <w:rPr>
                <w:rFonts w:asciiTheme="majorHAnsi" w:hAnsiTheme="majorHAnsi"/>
                <w:color w:val="auto"/>
                <w:sz w:val="16"/>
                <w:szCs w:val="16"/>
              </w:rPr>
              <w:t xml:space="preserve"> </w:t>
            </w:r>
            <w:r w:rsidR="00D50C9A" w:rsidRPr="006726AA">
              <w:rPr>
                <w:rFonts w:asciiTheme="majorHAnsi" w:hAnsiTheme="majorHAnsi"/>
                <w:color w:val="auto"/>
                <w:sz w:val="16"/>
                <w:szCs w:val="16"/>
              </w:rPr>
              <w:t>MASS</w:t>
            </w:r>
            <w:r w:rsidR="00D510E4" w:rsidRPr="006726AA">
              <w:rPr>
                <w:rFonts w:asciiTheme="majorHAnsi" w:hAnsiTheme="majorHAnsi"/>
                <w:color w:val="auto"/>
                <w:sz w:val="16"/>
                <w:szCs w:val="16"/>
              </w:rPr>
              <w:t xml:space="preserve">. </w:t>
            </w:r>
            <w:r w:rsidR="00D50C9A" w:rsidRPr="006726AA">
              <w:rPr>
                <w:rFonts w:asciiTheme="majorHAnsi" w:hAnsiTheme="majorHAnsi"/>
                <w:color w:val="auto"/>
                <w:sz w:val="16"/>
                <w:szCs w:val="16"/>
              </w:rPr>
              <w:t>DARTMOUTH</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3A6564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98</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F49BAC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50</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A8EAF2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51.0%</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EE2E6C7"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18</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1BC382F"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3.4</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CC43F6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3.16</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FC08A69"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3.09</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88AC8FE"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152</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6F4D92DC"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148</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0E07F2E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147</w:t>
            </w:r>
          </w:p>
        </w:tc>
      </w:tr>
      <w:tr w:rsidR="00F0790D" w:rsidRPr="00D50C9A" w14:paraId="4BAF4CA9"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07B9E033"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U. OF NEVADA - LAS VEGAS</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0DAAD11"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90</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02E22EA"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25</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4FE5E9F"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27.8%</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D80E97C"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23</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589E6D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3.73</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66A2AD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3.5</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1FB28D1"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3.19</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B59AD2C"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157</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7A554341"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154</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3401FF6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152</w:t>
            </w:r>
          </w:p>
        </w:tc>
      </w:tr>
      <w:tr w:rsidR="00F0790D" w:rsidRPr="00D50C9A" w14:paraId="351D6493"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1F1CC51D"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WAYNE STATE U.</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DC2BB95"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64</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2A31900"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26</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602CE9E"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40.6%</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4BD776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16</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399F1B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3.67</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3DA269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3.45</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3080C8E"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3.05</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6D69447"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161</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310348D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157</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660DA91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153</w:t>
            </w:r>
          </w:p>
        </w:tc>
      </w:tr>
      <w:tr w:rsidR="00F0790D" w:rsidRPr="00D50C9A" w14:paraId="22AD1922"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43A8273B"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WESTERN NEW ENGLAND U.</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4F5D562"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111</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607C701"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58</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36A1FE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52.3%</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9566650"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24</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29FE7E7"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3.46</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B903E6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3.24</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7B75CE0"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2.62</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072B43A"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151</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6B78C70C"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148</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1378F71F"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146</w:t>
            </w:r>
          </w:p>
        </w:tc>
      </w:tr>
      <w:tr w:rsidR="00F0790D" w:rsidRPr="00D50C9A" w14:paraId="23A6C5DA"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65AA0205"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WESTERN STATE COLLEGE OF LAW</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61C5D65"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124</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937D4E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60</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DEF0990"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48.4%</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64ED83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40</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9CA90FA"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3.25</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B28811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3.09</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BEE1B8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2.71</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8A25299"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151</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46478189"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148</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4041495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145</w:t>
            </w:r>
          </w:p>
        </w:tc>
      </w:tr>
      <w:tr w:rsidR="00F0790D" w:rsidRPr="00D50C9A" w14:paraId="3F1960CB"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500107B9"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WHITTIER LAW SCHOOL</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29221A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127</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B217DD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64</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EE4DB0C"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50.4%</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CB43B92"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20</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95E0C3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3.19</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80721A0"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3.01</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4A1BEF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2.63</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C288471"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146</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796DB40C"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144</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00A117C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143</w:t>
            </w:r>
          </w:p>
        </w:tc>
      </w:tr>
      <w:tr w:rsidR="00F0790D" w:rsidRPr="00D50C9A" w14:paraId="0A47F36D"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4BA31421"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WIDENER U.-DELAWARE</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A4806C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192</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8383956"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104</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FFC718F"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54.2%</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29D4236"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60</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601BB20"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3.23</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6B74AC97"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3.09</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60E1842"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2.77</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15C5A27A"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150</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59F6D798"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148</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6DB9C1AD"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145</w:t>
            </w:r>
          </w:p>
        </w:tc>
      </w:tr>
      <w:tr w:rsidR="00F0790D" w:rsidRPr="00D50C9A" w14:paraId="2BB1F2B7" w14:textId="77777777" w:rsidTr="006726AA">
        <w:trPr>
          <w:trHeight w:hRule="exact" w:val="151"/>
        </w:trPr>
        <w:tc>
          <w:tcPr>
            <w:tcW w:w="1368" w:type="dxa"/>
            <w:tcBorders>
              <w:top w:val="single" w:sz="6" w:space="0" w:color="auto"/>
              <w:left w:val="single" w:sz="4" w:space="0" w:color="auto"/>
              <w:bottom w:val="single" w:sz="6" w:space="0" w:color="auto"/>
              <w:right w:val="single" w:sz="6" w:space="0" w:color="auto"/>
            </w:tcBorders>
            <w:shd w:val="clear" w:color="auto" w:fill="auto"/>
            <w:noWrap/>
            <w:tcMar>
              <w:left w:w="14" w:type="dxa"/>
              <w:right w:w="14" w:type="dxa"/>
            </w:tcMar>
            <w:vAlign w:val="center"/>
            <w:hideMark/>
          </w:tcPr>
          <w:p w14:paraId="05524D88" w14:textId="77777777" w:rsidR="00D50C9A" w:rsidRPr="006726AA" w:rsidRDefault="00D50C9A" w:rsidP="00D510E4">
            <w:pPr>
              <w:widowControl/>
              <w:spacing w:line="160" w:lineRule="exact"/>
              <w:rPr>
                <w:rFonts w:asciiTheme="majorHAnsi" w:hAnsiTheme="majorHAnsi"/>
                <w:color w:val="auto"/>
                <w:sz w:val="16"/>
                <w:szCs w:val="16"/>
              </w:rPr>
            </w:pPr>
            <w:r w:rsidRPr="006726AA">
              <w:rPr>
                <w:rFonts w:asciiTheme="majorHAnsi" w:hAnsiTheme="majorHAnsi"/>
                <w:color w:val="auto"/>
                <w:sz w:val="16"/>
                <w:szCs w:val="16"/>
              </w:rPr>
              <w:t>WIDENER-COMMONWEALTH</w:t>
            </w:r>
          </w:p>
        </w:tc>
        <w:tc>
          <w:tcPr>
            <w:tcW w:w="360"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174FEF9"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82</w:t>
            </w:r>
          </w:p>
        </w:tc>
        <w:tc>
          <w:tcPr>
            <w:tcW w:w="374"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0666282"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52</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32DDFD1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63.4%</w:t>
            </w:r>
          </w:p>
        </w:tc>
        <w:tc>
          <w:tcPr>
            <w:tcW w:w="533"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0942B8AB"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27</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5FB327C6"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3.52</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7709C4D9"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3.32</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4CD1A494"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2.91</w:t>
            </w:r>
          </w:p>
        </w:tc>
        <w:tc>
          <w:tcPr>
            <w:tcW w:w="461" w:type="dxa"/>
            <w:tcBorders>
              <w:top w:val="single" w:sz="6" w:space="0" w:color="auto"/>
              <w:left w:val="single" w:sz="6" w:space="0" w:color="auto"/>
              <w:bottom w:val="single" w:sz="6" w:space="0" w:color="auto"/>
              <w:right w:val="single" w:sz="6" w:space="0" w:color="auto"/>
            </w:tcBorders>
            <w:shd w:val="clear" w:color="auto" w:fill="auto"/>
            <w:noWrap/>
            <w:tcMar>
              <w:left w:w="14" w:type="dxa"/>
              <w:right w:w="14" w:type="dxa"/>
            </w:tcMar>
            <w:vAlign w:val="center"/>
            <w:hideMark/>
          </w:tcPr>
          <w:p w14:paraId="21A3A366"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154</w:t>
            </w:r>
          </w:p>
        </w:tc>
        <w:tc>
          <w:tcPr>
            <w:tcW w:w="461" w:type="dxa"/>
            <w:tcBorders>
              <w:top w:val="single" w:sz="6" w:space="0" w:color="auto"/>
              <w:left w:val="single" w:sz="6" w:space="0" w:color="auto"/>
              <w:bottom w:val="single" w:sz="6" w:space="0" w:color="auto"/>
              <w:right w:val="single" w:sz="4" w:space="0" w:color="auto"/>
            </w:tcBorders>
            <w:shd w:val="clear" w:color="auto" w:fill="auto"/>
            <w:noWrap/>
            <w:tcMar>
              <w:left w:w="14" w:type="dxa"/>
              <w:right w:w="14" w:type="dxa"/>
            </w:tcMar>
            <w:vAlign w:val="center"/>
            <w:hideMark/>
          </w:tcPr>
          <w:p w14:paraId="1DC04D88"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149</w:t>
            </w:r>
          </w:p>
        </w:tc>
        <w:tc>
          <w:tcPr>
            <w:tcW w:w="461" w:type="dxa"/>
            <w:tcBorders>
              <w:top w:val="single" w:sz="6" w:space="0" w:color="auto"/>
              <w:left w:val="single" w:sz="4" w:space="0" w:color="auto"/>
              <w:bottom w:val="single" w:sz="6" w:space="0" w:color="auto"/>
              <w:right w:val="single" w:sz="4" w:space="0" w:color="auto"/>
            </w:tcBorders>
            <w:shd w:val="clear" w:color="auto" w:fill="auto"/>
            <w:noWrap/>
            <w:tcMar>
              <w:left w:w="14" w:type="dxa"/>
              <w:right w:w="14" w:type="dxa"/>
            </w:tcMar>
            <w:vAlign w:val="center"/>
            <w:hideMark/>
          </w:tcPr>
          <w:p w14:paraId="756B2D33" w14:textId="77777777" w:rsidR="00D50C9A" w:rsidRPr="006726AA" w:rsidRDefault="00D50C9A" w:rsidP="00D510E4">
            <w:pPr>
              <w:widowControl/>
              <w:spacing w:line="160" w:lineRule="exact"/>
              <w:jc w:val="center"/>
              <w:rPr>
                <w:rFonts w:asciiTheme="majorHAnsi" w:hAnsiTheme="majorHAnsi"/>
                <w:color w:val="auto"/>
                <w:sz w:val="16"/>
                <w:szCs w:val="16"/>
              </w:rPr>
            </w:pPr>
            <w:r w:rsidRPr="006726AA">
              <w:rPr>
                <w:rFonts w:asciiTheme="majorHAnsi" w:hAnsiTheme="majorHAnsi"/>
                <w:color w:val="auto"/>
                <w:sz w:val="16"/>
                <w:szCs w:val="16"/>
              </w:rPr>
              <w:t>145</w:t>
            </w:r>
          </w:p>
        </w:tc>
      </w:tr>
      <w:tr w:rsidR="00F0790D" w:rsidRPr="00D50C9A" w14:paraId="633208EC" w14:textId="77777777" w:rsidTr="006726AA">
        <w:trPr>
          <w:trHeight w:hRule="exact" w:val="151"/>
        </w:trPr>
        <w:tc>
          <w:tcPr>
            <w:tcW w:w="1368" w:type="dxa"/>
            <w:tcBorders>
              <w:top w:val="single" w:sz="6" w:space="0" w:color="auto"/>
              <w:left w:val="single" w:sz="4" w:space="0" w:color="auto"/>
              <w:bottom w:val="single" w:sz="4" w:space="0" w:color="auto"/>
              <w:right w:val="single" w:sz="6" w:space="0" w:color="auto"/>
            </w:tcBorders>
            <w:shd w:val="clear" w:color="auto" w:fill="auto"/>
            <w:noWrap/>
            <w:tcMar>
              <w:left w:w="14" w:type="dxa"/>
              <w:right w:w="14" w:type="dxa"/>
            </w:tcMar>
            <w:hideMark/>
          </w:tcPr>
          <w:p w14:paraId="64B9339D" w14:textId="77777777" w:rsidR="00D50C9A" w:rsidRPr="006726AA" w:rsidRDefault="00D50C9A" w:rsidP="00F0790D">
            <w:pPr>
              <w:widowControl/>
              <w:spacing w:line="160" w:lineRule="exact"/>
              <w:jc w:val="right"/>
              <w:rPr>
                <w:rFonts w:asciiTheme="majorHAnsi" w:hAnsiTheme="majorHAnsi"/>
                <w:b/>
                <w:bCs/>
                <w:color w:val="auto"/>
                <w:sz w:val="16"/>
                <w:szCs w:val="16"/>
              </w:rPr>
            </w:pPr>
            <w:r w:rsidRPr="006726AA">
              <w:rPr>
                <w:rFonts w:asciiTheme="majorHAnsi" w:hAnsiTheme="majorHAnsi"/>
                <w:b/>
                <w:bCs/>
                <w:color w:val="auto"/>
                <w:sz w:val="16"/>
                <w:szCs w:val="16"/>
              </w:rPr>
              <w:t>AVERAGE</w:t>
            </w:r>
          </w:p>
        </w:tc>
        <w:tc>
          <w:tcPr>
            <w:tcW w:w="360" w:type="dxa"/>
            <w:tcBorders>
              <w:top w:val="single" w:sz="6" w:space="0" w:color="auto"/>
              <w:left w:val="single" w:sz="6" w:space="0" w:color="auto"/>
              <w:bottom w:val="single" w:sz="4" w:space="0" w:color="auto"/>
              <w:right w:val="single" w:sz="6" w:space="0" w:color="auto"/>
            </w:tcBorders>
            <w:shd w:val="clear" w:color="auto" w:fill="auto"/>
            <w:noWrap/>
            <w:tcMar>
              <w:left w:w="14" w:type="dxa"/>
              <w:right w:w="14" w:type="dxa"/>
            </w:tcMar>
            <w:vAlign w:val="center"/>
            <w:hideMark/>
          </w:tcPr>
          <w:p w14:paraId="2FFE05C6" w14:textId="77777777" w:rsidR="00D50C9A" w:rsidRPr="006726AA" w:rsidRDefault="00D50C9A" w:rsidP="00D510E4">
            <w:pPr>
              <w:widowControl/>
              <w:spacing w:line="160" w:lineRule="exact"/>
              <w:jc w:val="center"/>
              <w:rPr>
                <w:rFonts w:asciiTheme="majorHAnsi" w:hAnsiTheme="majorHAnsi"/>
                <w:b/>
                <w:bCs/>
                <w:color w:val="auto"/>
                <w:sz w:val="16"/>
                <w:szCs w:val="16"/>
              </w:rPr>
            </w:pPr>
            <w:r w:rsidRPr="006726AA">
              <w:rPr>
                <w:rFonts w:asciiTheme="majorHAnsi" w:hAnsiTheme="majorHAnsi"/>
                <w:b/>
                <w:bCs/>
                <w:color w:val="auto"/>
                <w:sz w:val="16"/>
                <w:szCs w:val="16"/>
              </w:rPr>
              <w:t>217.0</w:t>
            </w:r>
          </w:p>
        </w:tc>
        <w:tc>
          <w:tcPr>
            <w:tcW w:w="374" w:type="dxa"/>
            <w:tcBorders>
              <w:top w:val="single" w:sz="6" w:space="0" w:color="auto"/>
              <w:left w:val="single" w:sz="6" w:space="0" w:color="auto"/>
              <w:bottom w:val="single" w:sz="4" w:space="0" w:color="auto"/>
              <w:right w:val="single" w:sz="6" w:space="0" w:color="auto"/>
            </w:tcBorders>
            <w:shd w:val="clear" w:color="auto" w:fill="auto"/>
            <w:noWrap/>
            <w:tcMar>
              <w:left w:w="14" w:type="dxa"/>
              <w:right w:w="14" w:type="dxa"/>
            </w:tcMar>
            <w:vAlign w:val="center"/>
            <w:hideMark/>
          </w:tcPr>
          <w:p w14:paraId="3F303A72" w14:textId="77777777" w:rsidR="00D50C9A" w:rsidRPr="006726AA" w:rsidRDefault="00D50C9A" w:rsidP="00D510E4">
            <w:pPr>
              <w:widowControl/>
              <w:spacing w:line="160" w:lineRule="exact"/>
              <w:jc w:val="center"/>
              <w:rPr>
                <w:rFonts w:asciiTheme="majorHAnsi" w:hAnsiTheme="majorHAnsi"/>
                <w:b/>
                <w:bCs/>
                <w:color w:val="auto"/>
                <w:sz w:val="16"/>
                <w:szCs w:val="16"/>
              </w:rPr>
            </w:pPr>
            <w:r w:rsidRPr="006726AA">
              <w:rPr>
                <w:rFonts w:asciiTheme="majorHAnsi" w:hAnsiTheme="majorHAnsi"/>
                <w:b/>
                <w:bCs/>
                <w:color w:val="auto"/>
                <w:sz w:val="16"/>
                <w:szCs w:val="16"/>
              </w:rPr>
              <w:t>85.2</w:t>
            </w:r>
          </w:p>
        </w:tc>
        <w:tc>
          <w:tcPr>
            <w:tcW w:w="533" w:type="dxa"/>
            <w:tcBorders>
              <w:top w:val="single" w:sz="6" w:space="0" w:color="auto"/>
              <w:left w:val="single" w:sz="6" w:space="0" w:color="auto"/>
              <w:bottom w:val="single" w:sz="4" w:space="0" w:color="auto"/>
              <w:right w:val="single" w:sz="6" w:space="0" w:color="auto"/>
            </w:tcBorders>
            <w:shd w:val="clear" w:color="auto" w:fill="auto"/>
            <w:noWrap/>
            <w:tcMar>
              <w:left w:w="14" w:type="dxa"/>
              <w:right w:w="14" w:type="dxa"/>
            </w:tcMar>
            <w:vAlign w:val="center"/>
            <w:hideMark/>
          </w:tcPr>
          <w:p w14:paraId="383F0620" w14:textId="77777777" w:rsidR="00D50C9A" w:rsidRPr="006726AA" w:rsidRDefault="00D50C9A" w:rsidP="00D510E4">
            <w:pPr>
              <w:widowControl/>
              <w:spacing w:line="160" w:lineRule="exact"/>
              <w:jc w:val="center"/>
              <w:rPr>
                <w:rFonts w:asciiTheme="majorHAnsi" w:hAnsiTheme="majorHAnsi"/>
                <w:b/>
                <w:bCs/>
                <w:color w:val="auto"/>
                <w:sz w:val="16"/>
                <w:szCs w:val="16"/>
              </w:rPr>
            </w:pPr>
            <w:r w:rsidRPr="006726AA">
              <w:rPr>
                <w:rFonts w:asciiTheme="majorHAnsi" w:hAnsiTheme="majorHAnsi"/>
                <w:b/>
                <w:bCs/>
                <w:color w:val="auto"/>
                <w:sz w:val="16"/>
                <w:szCs w:val="16"/>
              </w:rPr>
              <w:t>44.6%</w:t>
            </w:r>
          </w:p>
        </w:tc>
        <w:tc>
          <w:tcPr>
            <w:tcW w:w="533" w:type="dxa"/>
            <w:tcBorders>
              <w:top w:val="single" w:sz="6" w:space="0" w:color="auto"/>
              <w:left w:val="single" w:sz="6" w:space="0" w:color="auto"/>
              <w:bottom w:val="single" w:sz="4" w:space="0" w:color="auto"/>
              <w:right w:val="single" w:sz="6" w:space="0" w:color="auto"/>
            </w:tcBorders>
            <w:shd w:val="clear" w:color="auto" w:fill="auto"/>
            <w:noWrap/>
            <w:tcMar>
              <w:left w:w="14" w:type="dxa"/>
              <w:right w:w="14" w:type="dxa"/>
            </w:tcMar>
            <w:vAlign w:val="center"/>
            <w:hideMark/>
          </w:tcPr>
          <w:p w14:paraId="64DAC3E1" w14:textId="77777777" w:rsidR="00D50C9A" w:rsidRPr="006726AA" w:rsidRDefault="00D50C9A" w:rsidP="00D510E4">
            <w:pPr>
              <w:widowControl/>
              <w:spacing w:line="160" w:lineRule="exact"/>
              <w:jc w:val="center"/>
              <w:rPr>
                <w:rFonts w:asciiTheme="majorHAnsi" w:hAnsiTheme="majorHAnsi"/>
                <w:b/>
                <w:bCs/>
                <w:color w:val="auto"/>
                <w:sz w:val="16"/>
                <w:szCs w:val="16"/>
              </w:rPr>
            </w:pPr>
          </w:p>
        </w:tc>
        <w:tc>
          <w:tcPr>
            <w:tcW w:w="461" w:type="dxa"/>
            <w:tcBorders>
              <w:top w:val="single" w:sz="6" w:space="0" w:color="auto"/>
              <w:left w:val="single" w:sz="6" w:space="0" w:color="auto"/>
              <w:bottom w:val="single" w:sz="4" w:space="0" w:color="auto"/>
              <w:right w:val="single" w:sz="6" w:space="0" w:color="auto"/>
            </w:tcBorders>
            <w:shd w:val="clear" w:color="auto" w:fill="auto"/>
            <w:noWrap/>
            <w:tcMar>
              <w:left w:w="14" w:type="dxa"/>
              <w:right w:w="14" w:type="dxa"/>
            </w:tcMar>
            <w:vAlign w:val="center"/>
            <w:hideMark/>
          </w:tcPr>
          <w:p w14:paraId="379968CE" w14:textId="77777777" w:rsidR="00D50C9A" w:rsidRPr="006726AA" w:rsidRDefault="00D50C9A" w:rsidP="00D510E4">
            <w:pPr>
              <w:widowControl/>
              <w:spacing w:line="160" w:lineRule="exact"/>
              <w:jc w:val="center"/>
              <w:rPr>
                <w:rFonts w:asciiTheme="majorHAnsi" w:hAnsiTheme="majorHAnsi"/>
                <w:b/>
                <w:bCs/>
                <w:color w:val="auto"/>
                <w:sz w:val="16"/>
                <w:szCs w:val="16"/>
              </w:rPr>
            </w:pPr>
            <w:r w:rsidRPr="006726AA">
              <w:rPr>
                <w:rFonts w:asciiTheme="majorHAnsi" w:hAnsiTheme="majorHAnsi"/>
                <w:b/>
                <w:bCs/>
                <w:color w:val="auto"/>
                <w:sz w:val="16"/>
                <w:szCs w:val="16"/>
              </w:rPr>
              <w:t>3.46</w:t>
            </w:r>
          </w:p>
        </w:tc>
        <w:tc>
          <w:tcPr>
            <w:tcW w:w="461" w:type="dxa"/>
            <w:tcBorders>
              <w:top w:val="single" w:sz="6" w:space="0" w:color="auto"/>
              <w:left w:val="single" w:sz="6" w:space="0" w:color="auto"/>
              <w:bottom w:val="single" w:sz="4" w:space="0" w:color="auto"/>
              <w:right w:val="single" w:sz="6" w:space="0" w:color="auto"/>
            </w:tcBorders>
            <w:shd w:val="clear" w:color="auto" w:fill="auto"/>
            <w:noWrap/>
            <w:tcMar>
              <w:left w:w="14" w:type="dxa"/>
              <w:right w:w="14" w:type="dxa"/>
            </w:tcMar>
            <w:vAlign w:val="center"/>
            <w:hideMark/>
          </w:tcPr>
          <w:p w14:paraId="1356670D" w14:textId="77777777" w:rsidR="00D50C9A" w:rsidRPr="006726AA" w:rsidRDefault="00D50C9A" w:rsidP="00D510E4">
            <w:pPr>
              <w:widowControl/>
              <w:spacing w:line="160" w:lineRule="exact"/>
              <w:jc w:val="center"/>
              <w:rPr>
                <w:rFonts w:asciiTheme="majorHAnsi" w:hAnsiTheme="majorHAnsi"/>
                <w:b/>
                <w:bCs/>
                <w:color w:val="auto"/>
                <w:sz w:val="16"/>
                <w:szCs w:val="16"/>
              </w:rPr>
            </w:pPr>
            <w:r w:rsidRPr="006726AA">
              <w:rPr>
                <w:rFonts w:asciiTheme="majorHAnsi" w:hAnsiTheme="majorHAnsi"/>
                <w:b/>
                <w:bCs/>
                <w:color w:val="auto"/>
                <w:sz w:val="16"/>
                <w:szCs w:val="16"/>
              </w:rPr>
              <w:t>3.21</w:t>
            </w:r>
          </w:p>
        </w:tc>
        <w:tc>
          <w:tcPr>
            <w:tcW w:w="461" w:type="dxa"/>
            <w:tcBorders>
              <w:top w:val="single" w:sz="6" w:space="0" w:color="auto"/>
              <w:left w:val="single" w:sz="6" w:space="0" w:color="auto"/>
              <w:bottom w:val="single" w:sz="4" w:space="0" w:color="auto"/>
              <w:right w:val="single" w:sz="6" w:space="0" w:color="auto"/>
            </w:tcBorders>
            <w:shd w:val="clear" w:color="auto" w:fill="auto"/>
            <w:noWrap/>
            <w:tcMar>
              <w:left w:w="14" w:type="dxa"/>
              <w:right w:w="14" w:type="dxa"/>
            </w:tcMar>
            <w:vAlign w:val="center"/>
            <w:hideMark/>
          </w:tcPr>
          <w:p w14:paraId="74BC2ABF" w14:textId="77777777" w:rsidR="00D50C9A" w:rsidRPr="006726AA" w:rsidRDefault="00D50C9A" w:rsidP="00D510E4">
            <w:pPr>
              <w:widowControl/>
              <w:spacing w:line="160" w:lineRule="exact"/>
              <w:jc w:val="center"/>
              <w:rPr>
                <w:rFonts w:asciiTheme="majorHAnsi" w:hAnsiTheme="majorHAnsi"/>
                <w:b/>
                <w:bCs/>
                <w:color w:val="auto"/>
                <w:sz w:val="16"/>
                <w:szCs w:val="16"/>
              </w:rPr>
            </w:pPr>
            <w:r w:rsidRPr="006726AA">
              <w:rPr>
                <w:rFonts w:asciiTheme="majorHAnsi" w:hAnsiTheme="majorHAnsi"/>
                <w:b/>
                <w:bCs/>
                <w:color w:val="auto"/>
                <w:sz w:val="16"/>
                <w:szCs w:val="16"/>
              </w:rPr>
              <w:t>2.89</w:t>
            </w:r>
          </w:p>
        </w:tc>
        <w:tc>
          <w:tcPr>
            <w:tcW w:w="461" w:type="dxa"/>
            <w:tcBorders>
              <w:top w:val="single" w:sz="6" w:space="0" w:color="auto"/>
              <w:left w:val="single" w:sz="6" w:space="0" w:color="auto"/>
              <w:bottom w:val="single" w:sz="4" w:space="0" w:color="auto"/>
              <w:right w:val="single" w:sz="6" w:space="0" w:color="auto"/>
            </w:tcBorders>
            <w:shd w:val="clear" w:color="auto" w:fill="auto"/>
            <w:noWrap/>
            <w:tcMar>
              <w:left w:w="14" w:type="dxa"/>
              <w:right w:w="14" w:type="dxa"/>
            </w:tcMar>
            <w:vAlign w:val="center"/>
            <w:hideMark/>
          </w:tcPr>
          <w:p w14:paraId="71C0D719" w14:textId="77777777" w:rsidR="00D50C9A" w:rsidRPr="006726AA" w:rsidRDefault="00D50C9A" w:rsidP="00D510E4">
            <w:pPr>
              <w:widowControl/>
              <w:spacing w:line="160" w:lineRule="exact"/>
              <w:jc w:val="center"/>
              <w:rPr>
                <w:rFonts w:asciiTheme="majorHAnsi" w:hAnsiTheme="majorHAnsi"/>
                <w:b/>
                <w:bCs/>
                <w:color w:val="auto"/>
                <w:sz w:val="16"/>
                <w:szCs w:val="16"/>
              </w:rPr>
            </w:pPr>
            <w:r w:rsidRPr="006726AA">
              <w:rPr>
                <w:rFonts w:asciiTheme="majorHAnsi" w:hAnsiTheme="majorHAnsi"/>
                <w:b/>
                <w:bCs/>
                <w:color w:val="auto"/>
                <w:sz w:val="16"/>
                <w:szCs w:val="16"/>
              </w:rPr>
              <w:t>154.0</w:t>
            </w:r>
          </w:p>
        </w:tc>
        <w:tc>
          <w:tcPr>
            <w:tcW w:w="461" w:type="dxa"/>
            <w:tcBorders>
              <w:top w:val="single" w:sz="6" w:space="0" w:color="auto"/>
              <w:left w:val="single" w:sz="6" w:space="0" w:color="auto"/>
              <w:bottom w:val="single" w:sz="4" w:space="0" w:color="auto"/>
              <w:right w:val="single" w:sz="4" w:space="0" w:color="auto"/>
            </w:tcBorders>
            <w:shd w:val="clear" w:color="auto" w:fill="auto"/>
            <w:noWrap/>
            <w:tcMar>
              <w:left w:w="14" w:type="dxa"/>
              <w:right w:w="14" w:type="dxa"/>
            </w:tcMar>
            <w:vAlign w:val="center"/>
            <w:hideMark/>
          </w:tcPr>
          <w:p w14:paraId="0E08C1B6" w14:textId="77777777" w:rsidR="00D50C9A" w:rsidRPr="006726AA" w:rsidRDefault="00D50C9A" w:rsidP="00D510E4">
            <w:pPr>
              <w:widowControl/>
              <w:spacing w:line="160" w:lineRule="exact"/>
              <w:jc w:val="center"/>
              <w:rPr>
                <w:rFonts w:asciiTheme="majorHAnsi" w:hAnsiTheme="majorHAnsi"/>
                <w:b/>
                <w:bCs/>
                <w:color w:val="auto"/>
                <w:sz w:val="16"/>
                <w:szCs w:val="16"/>
              </w:rPr>
            </w:pPr>
            <w:r w:rsidRPr="006726AA">
              <w:rPr>
                <w:rFonts w:asciiTheme="majorHAnsi" w:hAnsiTheme="majorHAnsi"/>
                <w:b/>
                <w:bCs/>
                <w:color w:val="auto"/>
                <w:sz w:val="16"/>
                <w:szCs w:val="16"/>
              </w:rPr>
              <w:t>150.3</w:t>
            </w:r>
          </w:p>
        </w:tc>
        <w:tc>
          <w:tcPr>
            <w:tcW w:w="461" w:type="dxa"/>
            <w:tcBorders>
              <w:top w:val="single" w:sz="6"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00FC1EB0" w14:textId="77777777" w:rsidR="00D50C9A" w:rsidRPr="006726AA" w:rsidRDefault="00D50C9A" w:rsidP="00D510E4">
            <w:pPr>
              <w:widowControl/>
              <w:spacing w:line="160" w:lineRule="exact"/>
              <w:jc w:val="center"/>
              <w:rPr>
                <w:rFonts w:asciiTheme="majorHAnsi" w:hAnsiTheme="majorHAnsi"/>
                <w:b/>
                <w:bCs/>
                <w:color w:val="auto"/>
                <w:sz w:val="16"/>
                <w:szCs w:val="16"/>
              </w:rPr>
            </w:pPr>
            <w:r w:rsidRPr="006726AA">
              <w:rPr>
                <w:rFonts w:asciiTheme="majorHAnsi" w:hAnsiTheme="majorHAnsi"/>
                <w:b/>
                <w:bCs/>
                <w:color w:val="auto"/>
                <w:sz w:val="16"/>
                <w:szCs w:val="16"/>
              </w:rPr>
              <w:t>147.2</w:t>
            </w:r>
          </w:p>
        </w:tc>
      </w:tr>
    </w:tbl>
    <w:p w14:paraId="118D2E6A" w14:textId="77777777" w:rsidR="00D50C9A" w:rsidRPr="00D50C9A" w:rsidRDefault="00D50C9A">
      <w:pPr>
        <w:rPr>
          <w:rFonts w:asciiTheme="majorHAnsi" w:hAnsiTheme="majorHAnsi"/>
          <w:sz w:val="20"/>
          <w:szCs w:val="20"/>
        </w:rPr>
      </w:pPr>
      <w:r w:rsidRPr="00D50C9A">
        <w:rPr>
          <w:rFonts w:asciiTheme="majorHAnsi" w:hAnsiTheme="majorHAnsi"/>
          <w:sz w:val="20"/>
          <w:szCs w:val="20"/>
        </w:rPr>
        <w:br w:type="page"/>
      </w:r>
    </w:p>
    <w:p w14:paraId="703A4DEE" w14:textId="594ED579" w:rsidR="006726AA" w:rsidRPr="006726AA" w:rsidRDefault="006726AA" w:rsidP="006726AA">
      <w:pPr>
        <w:jc w:val="center"/>
        <w:rPr>
          <w:b/>
          <w:sz w:val="26"/>
          <w:szCs w:val="26"/>
        </w:rPr>
      </w:pPr>
      <w:r w:rsidRPr="006726AA">
        <w:rPr>
          <w:b/>
          <w:sz w:val="26"/>
          <w:szCs w:val="26"/>
        </w:rPr>
        <w:lastRenderedPageBreak/>
        <w:t>Appendix B – California Bar Exam Pass Rate Data</w:t>
      </w:r>
    </w:p>
    <w:p w14:paraId="2E8D68AA" w14:textId="77777777" w:rsidR="00F56AC9" w:rsidRDefault="00F56AC9" w:rsidP="00F56AC9">
      <w:pPr>
        <w:pStyle w:val="normal0"/>
        <w:spacing w:before="200"/>
        <w:jc w:val="center"/>
        <w:rPr>
          <w:sz w:val="26"/>
          <w:szCs w:val="26"/>
        </w:rPr>
      </w:pPr>
      <w:r>
        <w:rPr>
          <w:rFonts w:ascii="Calibri" w:eastAsia="Calibri" w:hAnsi="Calibri" w:cs="Calibri"/>
          <w:b/>
          <w:sz w:val="22"/>
          <w:szCs w:val="22"/>
        </w:rPr>
        <w:t>California Bar Exam - Comparative First-Time Pass Rates</w:t>
      </w:r>
      <w:r>
        <w:rPr>
          <w:rFonts w:ascii="Calibri" w:eastAsia="Calibri" w:hAnsi="Calibri" w:cs="Calibri"/>
          <w:b/>
          <w:sz w:val="22"/>
          <w:szCs w:val="22"/>
          <w:vertAlign w:val="superscript"/>
        </w:rPr>
        <w:footnoteReference w:id="12"/>
      </w:r>
    </w:p>
    <w:tbl>
      <w:tblPr>
        <w:tblStyle w:val="a2"/>
        <w:tblW w:w="10800" w:type="dxa"/>
        <w:tblBorders>
          <w:top w:val="nil"/>
          <w:left w:val="nil"/>
          <w:bottom w:val="nil"/>
          <w:right w:val="nil"/>
          <w:insideH w:val="nil"/>
          <w:insideV w:val="nil"/>
        </w:tblBorders>
        <w:tblLayout w:type="fixed"/>
        <w:tblLook w:val="0600" w:firstRow="0" w:lastRow="0" w:firstColumn="0" w:lastColumn="0" w:noHBand="1" w:noVBand="1"/>
      </w:tblPr>
      <w:tblGrid>
        <w:gridCol w:w="665"/>
        <w:gridCol w:w="902"/>
        <w:gridCol w:w="813"/>
        <w:gridCol w:w="976"/>
        <w:gridCol w:w="931"/>
        <w:gridCol w:w="1459"/>
        <w:gridCol w:w="1330"/>
        <w:gridCol w:w="1330"/>
        <w:gridCol w:w="1153"/>
        <w:gridCol w:w="1241"/>
      </w:tblGrid>
      <w:tr w:rsidR="00F56AC9" w14:paraId="424CFA06" w14:textId="77777777" w:rsidTr="00F56AC9">
        <w:trPr>
          <w:trHeight w:val="288"/>
        </w:trPr>
        <w:tc>
          <w:tcPr>
            <w:tcW w:w="675" w:type="dxa"/>
            <w:tcBorders>
              <w:top w:val="single" w:sz="6" w:space="0" w:color="CCCCCC"/>
              <w:left w:val="single" w:sz="6" w:space="0" w:color="CCCCCC"/>
              <w:bottom w:val="single" w:sz="6" w:space="0" w:color="CCCCCC"/>
              <w:right w:val="single" w:sz="6" w:space="0" w:color="CCCCCC"/>
            </w:tcBorders>
            <w:shd w:val="clear" w:color="auto" w:fill="0A487D"/>
            <w:tcMar>
              <w:top w:w="43" w:type="dxa"/>
              <w:left w:w="29" w:type="dxa"/>
              <w:bottom w:w="43" w:type="dxa"/>
              <w:right w:w="29" w:type="dxa"/>
            </w:tcMar>
          </w:tcPr>
          <w:p w14:paraId="01F52019" w14:textId="77777777" w:rsidR="00F56AC9" w:rsidRDefault="00F56AC9" w:rsidP="00F56AC9">
            <w:pPr>
              <w:pStyle w:val="normal0"/>
              <w:ind w:left="-140"/>
              <w:jc w:val="center"/>
              <w:rPr>
                <w:rFonts w:ascii="Calibri" w:eastAsia="Calibri" w:hAnsi="Calibri" w:cs="Calibri"/>
                <w:b/>
                <w:color w:val="FFFFFF"/>
                <w:sz w:val="20"/>
                <w:szCs w:val="20"/>
                <w:shd w:val="clear" w:color="auto" w:fill="0A487D"/>
              </w:rPr>
            </w:pPr>
            <w:r>
              <w:rPr>
                <w:rFonts w:ascii="Calibri" w:eastAsia="Calibri" w:hAnsi="Calibri" w:cs="Calibri"/>
                <w:b/>
                <w:color w:val="FFFFFF"/>
                <w:sz w:val="20"/>
                <w:szCs w:val="20"/>
                <w:shd w:val="clear" w:color="auto" w:fill="0A487D"/>
              </w:rPr>
              <w:t>Exam Date</w:t>
            </w:r>
          </w:p>
        </w:tc>
        <w:tc>
          <w:tcPr>
            <w:tcW w:w="915" w:type="dxa"/>
            <w:tcBorders>
              <w:top w:val="single" w:sz="6" w:space="0" w:color="CCCCCC"/>
              <w:left w:val="single" w:sz="6" w:space="0" w:color="CCCCCC"/>
              <w:bottom w:val="single" w:sz="6" w:space="0" w:color="CCCCCC"/>
              <w:right w:val="single" w:sz="6" w:space="0" w:color="CCCCCC"/>
            </w:tcBorders>
            <w:shd w:val="clear" w:color="auto" w:fill="0A487D"/>
            <w:tcMar>
              <w:top w:w="43" w:type="dxa"/>
              <w:left w:w="29" w:type="dxa"/>
              <w:bottom w:w="43" w:type="dxa"/>
              <w:right w:w="29" w:type="dxa"/>
            </w:tcMar>
          </w:tcPr>
          <w:p w14:paraId="33DD067F" w14:textId="77777777" w:rsidR="00F56AC9" w:rsidRDefault="00F56AC9" w:rsidP="00F56AC9">
            <w:pPr>
              <w:pStyle w:val="normal0"/>
              <w:ind w:left="-140"/>
              <w:jc w:val="center"/>
              <w:rPr>
                <w:rFonts w:ascii="Calibri" w:eastAsia="Calibri" w:hAnsi="Calibri" w:cs="Calibri"/>
                <w:b/>
                <w:color w:val="FFFFFF"/>
                <w:sz w:val="20"/>
                <w:szCs w:val="20"/>
                <w:shd w:val="clear" w:color="auto" w:fill="0A487D"/>
              </w:rPr>
            </w:pPr>
            <w:r>
              <w:rPr>
                <w:rFonts w:ascii="Calibri" w:eastAsia="Calibri" w:hAnsi="Calibri" w:cs="Calibri"/>
                <w:b/>
                <w:color w:val="FFFFFF"/>
                <w:sz w:val="20"/>
                <w:szCs w:val="20"/>
                <w:shd w:val="clear" w:color="auto" w:fill="0A487D"/>
              </w:rPr>
              <w:t>CLS 1st-Time Takers</w:t>
            </w:r>
          </w:p>
        </w:tc>
        <w:tc>
          <w:tcPr>
            <w:tcW w:w="825" w:type="dxa"/>
            <w:tcBorders>
              <w:top w:val="single" w:sz="6" w:space="0" w:color="CCCCCC"/>
              <w:left w:val="single" w:sz="6" w:space="0" w:color="CCCCCC"/>
              <w:bottom w:val="single" w:sz="6" w:space="0" w:color="CCCCCC"/>
              <w:right w:val="single" w:sz="6" w:space="0" w:color="CCCCCC"/>
            </w:tcBorders>
            <w:shd w:val="clear" w:color="auto" w:fill="0A487D"/>
            <w:tcMar>
              <w:top w:w="43" w:type="dxa"/>
              <w:left w:w="29" w:type="dxa"/>
              <w:bottom w:w="43" w:type="dxa"/>
              <w:right w:w="29" w:type="dxa"/>
            </w:tcMar>
          </w:tcPr>
          <w:p w14:paraId="414EFE72" w14:textId="77777777" w:rsidR="00F56AC9" w:rsidRDefault="00F56AC9" w:rsidP="00F56AC9">
            <w:pPr>
              <w:pStyle w:val="normal0"/>
              <w:ind w:left="-140"/>
              <w:jc w:val="center"/>
              <w:rPr>
                <w:rFonts w:ascii="Calibri" w:eastAsia="Calibri" w:hAnsi="Calibri" w:cs="Calibri"/>
                <w:b/>
                <w:color w:val="FFFFFF"/>
                <w:sz w:val="20"/>
                <w:szCs w:val="20"/>
                <w:shd w:val="clear" w:color="auto" w:fill="0A487D"/>
              </w:rPr>
            </w:pPr>
            <w:r>
              <w:rPr>
                <w:rFonts w:ascii="Calibri" w:eastAsia="Calibri" w:hAnsi="Calibri" w:cs="Calibri"/>
                <w:b/>
                <w:color w:val="FFFFFF"/>
                <w:sz w:val="20"/>
                <w:szCs w:val="20"/>
                <w:shd w:val="clear" w:color="auto" w:fill="0A487D"/>
              </w:rPr>
              <w:t>CLS 1st-Time Passers</w:t>
            </w:r>
          </w:p>
        </w:tc>
        <w:tc>
          <w:tcPr>
            <w:tcW w:w="990" w:type="dxa"/>
            <w:tcBorders>
              <w:top w:val="single" w:sz="6" w:space="0" w:color="CCCCCC"/>
              <w:left w:val="single" w:sz="6" w:space="0" w:color="CCCCCC"/>
              <w:bottom w:val="single" w:sz="6" w:space="0" w:color="CCCCCC"/>
              <w:right w:val="single" w:sz="6" w:space="0" w:color="CCCCCC"/>
            </w:tcBorders>
            <w:shd w:val="clear" w:color="auto" w:fill="0A487D"/>
            <w:tcMar>
              <w:top w:w="43" w:type="dxa"/>
              <w:left w:w="29" w:type="dxa"/>
              <w:bottom w:w="43" w:type="dxa"/>
              <w:right w:w="29" w:type="dxa"/>
            </w:tcMar>
          </w:tcPr>
          <w:p w14:paraId="0E8430C3" w14:textId="77777777" w:rsidR="00F56AC9" w:rsidRDefault="00F56AC9" w:rsidP="00F56AC9">
            <w:pPr>
              <w:pStyle w:val="normal0"/>
              <w:ind w:left="-140"/>
              <w:jc w:val="center"/>
              <w:rPr>
                <w:rFonts w:ascii="Calibri" w:eastAsia="Calibri" w:hAnsi="Calibri" w:cs="Calibri"/>
                <w:b/>
                <w:color w:val="FFFFFF"/>
                <w:sz w:val="20"/>
                <w:szCs w:val="20"/>
                <w:shd w:val="clear" w:color="auto" w:fill="0A487D"/>
              </w:rPr>
            </w:pPr>
            <w:r>
              <w:rPr>
                <w:rFonts w:ascii="Calibri" w:eastAsia="Calibri" w:hAnsi="Calibri" w:cs="Calibri"/>
                <w:b/>
                <w:color w:val="FFFFFF"/>
                <w:sz w:val="20"/>
                <w:szCs w:val="20"/>
                <w:shd w:val="clear" w:color="auto" w:fill="0A487D"/>
              </w:rPr>
              <w:t>CLS 1st-Time Pass Rate</w:t>
            </w:r>
          </w:p>
        </w:tc>
        <w:tc>
          <w:tcPr>
            <w:tcW w:w="945" w:type="dxa"/>
            <w:tcBorders>
              <w:top w:val="single" w:sz="6" w:space="0" w:color="CCCCCC"/>
              <w:left w:val="single" w:sz="6" w:space="0" w:color="CCCCCC"/>
              <w:bottom w:val="single" w:sz="6" w:space="0" w:color="CCCCCC"/>
              <w:right w:val="single" w:sz="6" w:space="0" w:color="CCCCCC"/>
            </w:tcBorders>
            <w:shd w:val="clear" w:color="auto" w:fill="0A487D"/>
            <w:tcMar>
              <w:top w:w="43" w:type="dxa"/>
              <w:left w:w="29" w:type="dxa"/>
              <w:bottom w:w="43" w:type="dxa"/>
              <w:right w:w="29" w:type="dxa"/>
            </w:tcMar>
          </w:tcPr>
          <w:p w14:paraId="004F580D" w14:textId="77777777" w:rsidR="00F56AC9" w:rsidRDefault="00F56AC9" w:rsidP="00F56AC9">
            <w:pPr>
              <w:pStyle w:val="normal0"/>
              <w:ind w:left="-140"/>
              <w:jc w:val="center"/>
              <w:rPr>
                <w:rFonts w:ascii="Calibri" w:eastAsia="Calibri" w:hAnsi="Calibri" w:cs="Calibri"/>
                <w:b/>
                <w:color w:val="FFFFFF"/>
                <w:sz w:val="20"/>
                <w:szCs w:val="20"/>
                <w:shd w:val="clear" w:color="auto" w:fill="0A487D"/>
              </w:rPr>
            </w:pPr>
            <w:r>
              <w:rPr>
                <w:rFonts w:ascii="Calibri" w:eastAsia="Calibri" w:hAnsi="Calibri" w:cs="Calibri"/>
                <w:b/>
                <w:color w:val="FFFFFF"/>
                <w:sz w:val="20"/>
                <w:szCs w:val="20"/>
                <w:shd w:val="clear" w:color="auto" w:fill="0A487D"/>
              </w:rPr>
              <w:t>1st-Time Pass Rate All Takers</w:t>
            </w:r>
          </w:p>
        </w:tc>
        <w:tc>
          <w:tcPr>
            <w:tcW w:w="1482" w:type="dxa"/>
            <w:tcBorders>
              <w:top w:val="single" w:sz="6" w:space="0" w:color="CCCCCC"/>
              <w:left w:val="single" w:sz="6" w:space="0" w:color="CCCCCC"/>
              <w:bottom w:val="single" w:sz="6" w:space="0" w:color="CCCCCC"/>
              <w:right w:val="single" w:sz="6" w:space="0" w:color="CCCCCC"/>
            </w:tcBorders>
            <w:shd w:val="clear" w:color="auto" w:fill="0A487D"/>
            <w:tcMar>
              <w:top w:w="43" w:type="dxa"/>
              <w:left w:w="29" w:type="dxa"/>
              <w:bottom w:w="43" w:type="dxa"/>
              <w:right w:w="29" w:type="dxa"/>
            </w:tcMar>
          </w:tcPr>
          <w:p w14:paraId="7EF18877" w14:textId="77777777" w:rsidR="00F56AC9" w:rsidRDefault="00F56AC9" w:rsidP="00F56AC9">
            <w:pPr>
              <w:pStyle w:val="normal0"/>
              <w:ind w:left="-140"/>
              <w:jc w:val="center"/>
              <w:rPr>
                <w:rFonts w:ascii="Calibri" w:eastAsia="Calibri" w:hAnsi="Calibri" w:cs="Calibri"/>
                <w:b/>
                <w:color w:val="FFFFFF"/>
                <w:sz w:val="21"/>
                <w:szCs w:val="21"/>
                <w:shd w:val="clear" w:color="auto" w:fill="0A487D"/>
              </w:rPr>
            </w:pPr>
            <w:r>
              <w:rPr>
                <w:rFonts w:ascii="Calibri" w:eastAsia="Calibri" w:hAnsi="Calibri" w:cs="Calibri"/>
                <w:b/>
                <w:color w:val="FFFFFF"/>
                <w:sz w:val="21"/>
                <w:szCs w:val="21"/>
                <w:shd w:val="clear" w:color="auto" w:fill="0A487D"/>
              </w:rPr>
              <w:t>1st-Time Pass Rate Unaccredited Distance Learning</w:t>
            </w:r>
          </w:p>
        </w:tc>
        <w:tc>
          <w:tcPr>
            <w:tcW w:w="1350" w:type="dxa"/>
            <w:tcBorders>
              <w:top w:val="single" w:sz="6" w:space="0" w:color="CCCCCC"/>
              <w:left w:val="single" w:sz="6" w:space="0" w:color="CCCCCC"/>
              <w:bottom w:val="single" w:sz="6" w:space="0" w:color="CCCCCC"/>
              <w:right w:val="single" w:sz="6" w:space="0" w:color="CCCCCC"/>
            </w:tcBorders>
            <w:shd w:val="clear" w:color="auto" w:fill="0A487D"/>
            <w:tcMar>
              <w:top w:w="43" w:type="dxa"/>
              <w:left w:w="29" w:type="dxa"/>
              <w:bottom w:w="43" w:type="dxa"/>
              <w:right w:w="29" w:type="dxa"/>
            </w:tcMar>
          </w:tcPr>
          <w:p w14:paraId="130D41B5" w14:textId="77777777" w:rsidR="00F56AC9" w:rsidRDefault="00F56AC9" w:rsidP="00F56AC9">
            <w:pPr>
              <w:pStyle w:val="normal0"/>
              <w:ind w:left="-140"/>
              <w:jc w:val="center"/>
              <w:rPr>
                <w:rFonts w:ascii="Calibri" w:eastAsia="Calibri" w:hAnsi="Calibri" w:cs="Calibri"/>
                <w:b/>
                <w:color w:val="FFFFFF"/>
                <w:sz w:val="21"/>
                <w:szCs w:val="21"/>
                <w:shd w:val="clear" w:color="auto" w:fill="0A487D"/>
              </w:rPr>
            </w:pPr>
            <w:r>
              <w:rPr>
                <w:rFonts w:ascii="Calibri" w:eastAsia="Calibri" w:hAnsi="Calibri" w:cs="Calibri"/>
                <w:b/>
                <w:color w:val="FFFFFF"/>
                <w:sz w:val="21"/>
                <w:szCs w:val="21"/>
                <w:shd w:val="clear" w:color="auto" w:fill="0A487D"/>
              </w:rPr>
              <w:t>1st-Time Pass Rate Unaccredited--All</w:t>
            </w:r>
          </w:p>
        </w:tc>
        <w:tc>
          <w:tcPr>
            <w:tcW w:w="1350" w:type="dxa"/>
            <w:tcBorders>
              <w:top w:val="single" w:sz="6" w:space="0" w:color="CCCCCC"/>
              <w:left w:val="single" w:sz="6" w:space="0" w:color="CCCCCC"/>
              <w:bottom w:val="single" w:sz="6" w:space="0" w:color="CCCCCC"/>
              <w:right w:val="single" w:sz="6" w:space="0" w:color="CCCCCC"/>
            </w:tcBorders>
            <w:shd w:val="clear" w:color="auto" w:fill="0A487D"/>
            <w:tcMar>
              <w:top w:w="43" w:type="dxa"/>
              <w:left w:w="29" w:type="dxa"/>
              <w:bottom w:w="43" w:type="dxa"/>
              <w:right w:w="29" w:type="dxa"/>
            </w:tcMar>
          </w:tcPr>
          <w:p w14:paraId="7E9E8402" w14:textId="77777777" w:rsidR="00F56AC9" w:rsidRDefault="00F56AC9" w:rsidP="00F56AC9">
            <w:pPr>
              <w:pStyle w:val="normal0"/>
              <w:ind w:left="-140"/>
              <w:jc w:val="center"/>
              <w:rPr>
                <w:rFonts w:ascii="Calibri" w:eastAsia="Calibri" w:hAnsi="Calibri" w:cs="Calibri"/>
                <w:b/>
                <w:color w:val="FFFFFF"/>
                <w:sz w:val="21"/>
                <w:szCs w:val="21"/>
                <w:shd w:val="clear" w:color="auto" w:fill="0A487D"/>
              </w:rPr>
            </w:pPr>
            <w:r>
              <w:rPr>
                <w:rFonts w:ascii="Calibri" w:eastAsia="Calibri" w:hAnsi="Calibri" w:cs="Calibri"/>
                <w:b/>
                <w:color w:val="FFFFFF"/>
                <w:sz w:val="21"/>
                <w:szCs w:val="21"/>
                <w:shd w:val="clear" w:color="auto" w:fill="0A487D"/>
              </w:rPr>
              <w:t>1st-Time Pass Rate California- Accredited</w:t>
            </w:r>
          </w:p>
        </w:tc>
        <w:tc>
          <w:tcPr>
            <w:tcW w:w="1170" w:type="dxa"/>
            <w:tcBorders>
              <w:top w:val="single" w:sz="6" w:space="0" w:color="CCCCCC"/>
              <w:left w:val="single" w:sz="6" w:space="0" w:color="CCCCCC"/>
              <w:bottom w:val="single" w:sz="6" w:space="0" w:color="CCCCCC"/>
              <w:right w:val="single" w:sz="6" w:space="0" w:color="CCCCCC"/>
            </w:tcBorders>
            <w:shd w:val="clear" w:color="auto" w:fill="0A487D"/>
            <w:tcMar>
              <w:top w:w="43" w:type="dxa"/>
              <w:left w:w="29" w:type="dxa"/>
              <w:bottom w:w="43" w:type="dxa"/>
              <w:right w:w="29" w:type="dxa"/>
            </w:tcMar>
          </w:tcPr>
          <w:p w14:paraId="223B36F7" w14:textId="77777777" w:rsidR="00F56AC9" w:rsidRDefault="00F56AC9" w:rsidP="00F56AC9">
            <w:pPr>
              <w:pStyle w:val="normal0"/>
              <w:ind w:left="-140"/>
              <w:jc w:val="center"/>
              <w:rPr>
                <w:rFonts w:ascii="Calibri" w:eastAsia="Calibri" w:hAnsi="Calibri" w:cs="Calibri"/>
                <w:b/>
                <w:color w:val="FFFFFF"/>
                <w:sz w:val="21"/>
                <w:szCs w:val="21"/>
                <w:shd w:val="clear" w:color="auto" w:fill="0A487D"/>
              </w:rPr>
            </w:pPr>
            <w:r>
              <w:rPr>
                <w:rFonts w:ascii="Calibri" w:eastAsia="Calibri" w:hAnsi="Calibri" w:cs="Calibri"/>
                <w:b/>
                <w:color w:val="FFFFFF"/>
                <w:sz w:val="21"/>
                <w:szCs w:val="21"/>
                <w:shd w:val="clear" w:color="auto" w:fill="0A487D"/>
              </w:rPr>
              <w:t>1st-Time Pass Rate ABA (In-State)</w:t>
            </w:r>
          </w:p>
        </w:tc>
        <w:tc>
          <w:tcPr>
            <w:tcW w:w="1260" w:type="dxa"/>
            <w:tcBorders>
              <w:top w:val="single" w:sz="6" w:space="0" w:color="CCCCCC"/>
              <w:left w:val="single" w:sz="6" w:space="0" w:color="CCCCCC"/>
              <w:bottom w:val="single" w:sz="6" w:space="0" w:color="CCCCCC"/>
              <w:right w:val="single" w:sz="6" w:space="0" w:color="CCCCCC"/>
            </w:tcBorders>
            <w:shd w:val="clear" w:color="auto" w:fill="0A487D"/>
            <w:tcMar>
              <w:top w:w="43" w:type="dxa"/>
              <w:left w:w="29" w:type="dxa"/>
              <w:bottom w:w="43" w:type="dxa"/>
              <w:right w:w="29" w:type="dxa"/>
            </w:tcMar>
          </w:tcPr>
          <w:p w14:paraId="54B86D7B" w14:textId="77777777" w:rsidR="00F56AC9" w:rsidRDefault="00F56AC9" w:rsidP="00F56AC9">
            <w:pPr>
              <w:pStyle w:val="normal0"/>
              <w:ind w:left="-140"/>
              <w:jc w:val="center"/>
              <w:rPr>
                <w:rFonts w:ascii="Calibri" w:eastAsia="Calibri" w:hAnsi="Calibri" w:cs="Calibri"/>
                <w:b/>
                <w:color w:val="FFFFFF"/>
                <w:sz w:val="21"/>
                <w:szCs w:val="21"/>
                <w:shd w:val="clear" w:color="auto" w:fill="0A487D"/>
              </w:rPr>
            </w:pPr>
            <w:r>
              <w:rPr>
                <w:rFonts w:ascii="Calibri" w:eastAsia="Calibri" w:hAnsi="Calibri" w:cs="Calibri"/>
                <w:b/>
                <w:color w:val="FFFFFF"/>
                <w:sz w:val="21"/>
                <w:szCs w:val="21"/>
                <w:shd w:val="clear" w:color="auto" w:fill="0A487D"/>
              </w:rPr>
              <w:t>1st-Time Pass Rate ABA (Non-CA)</w:t>
            </w:r>
          </w:p>
        </w:tc>
      </w:tr>
      <w:tr w:rsidR="00F56AC9" w14:paraId="4D6C9C77" w14:textId="77777777" w:rsidTr="00F56AC9">
        <w:trPr>
          <w:trHeight w:hRule="exact" w:val="288"/>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43" w:type="dxa"/>
              <w:bottom w:w="43" w:type="dxa"/>
              <w:right w:w="43" w:type="dxa"/>
            </w:tcMar>
          </w:tcPr>
          <w:p w14:paraId="1E209910"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Feb-03</w:t>
            </w:r>
          </w:p>
        </w:tc>
        <w:tc>
          <w:tcPr>
            <w:tcW w:w="91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639CCF5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10</w:t>
            </w:r>
          </w:p>
        </w:tc>
        <w:tc>
          <w:tcPr>
            <w:tcW w:w="82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11CAC58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w:t>
            </w:r>
          </w:p>
        </w:tc>
        <w:tc>
          <w:tcPr>
            <w:tcW w:w="99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2B0870C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60%</w:t>
            </w:r>
          </w:p>
        </w:tc>
        <w:tc>
          <w:tcPr>
            <w:tcW w:w="94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7DDA9C7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50%</w:t>
            </w:r>
          </w:p>
        </w:tc>
        <w:tc>
          <w:tcPr>
            <w:tcW w:w="1482"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46B160D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1DDCE94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3EED319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17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2C94329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26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4C64ADC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r>
      <w:tr w:rsidR="00F56AC9" w14:paraId="3A3BC01B" w14:textId="77777777" w:rsidTr="00F56AC9">
        <w:trPr>
          <w:trHeight w:hRule="exact" w:val="288"/>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43" w:type="dxa"/>
              <w:bottom w:w="43" w:type="dxa"/>
              <w:right w:w="43" w:type="dxa"/>
            </w:tcMar>
          </w:tcPr>
          <w:p w14:paraId="5ABB58E5"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Jul-03</w:t>
            </w:r>
          </w:p>
        </w:tc>
        <w:tc>
          <w:tcPr>
            <w:tcW w:w="91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604E36F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w:t>
            </w:r>
          </w:p>
        </w:tc>
        <w:tc>
          <w:tcPr>
            <w:tcW w:w="82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339F592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w:t>
            </w:r>
          </w:p>
        </w:tc>
        <w:tc>
          <w:tcPr>
            <w:tcW w:w="99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032CFD1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25%</w:t>
            </w:r>
          </w:p>
        </w:tc>
        <w:tc>
          <w:tcPr>
            <w:tcW w:w="94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6FF580B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64%</w:t>
            </w:r>
          </w:p>
        </w:tc>
        <w:tc>
          <w:tcPr>
            <w:tcW w:w="1482"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3856E86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791DDF8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0A15156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17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65E32F3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26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579640A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r>
      <w:tr w:rsidR="00F56AC9" w14:paraId="2BB03248" w14:textId="77777777" w:rsidTr="00F56AC9">
        <w:trPr>
          <w:trHeight w:hRule="exact" w:val="288"/>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43" w:type="dxa"/>
              <w:bottom w:w="43" w:type="dxa"/>
              <w:right w:w="43" w:type="dxa"/>
            </w:tcMar>
          </w:tcPr>
          <w:p w14:paraId="21459970"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Feb-04</w:t>
            </w:r>
          </w:p>
        </w:tc>
        <w:tc>
          <w:tcPr>
            <w:tcW w:w="91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061C180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14</w:t>
            </w:r>
          </w:p>
        </w:tc>
        <w:tc>
          <w:tcPr>
            <w:tcW w:w="82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7ED3BE0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w:t>
            </w:r>
          </w:p>
        </w:tc>
        <w:tc>
          <w:tcPr>
            <w:tcW w:w="99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1C2E16C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43%</w:t>
            </w:r>
          </w:p>
        </w:tc>
        <w:tc>
          <w:tcPr>
            <w:tcW w:w="94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2F2D342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47%</w:t>
            </w:r>
          </w:p>
        </w:tc>
        <w:tc>
          <w:tcPr>
            <w:tcW w:w="1482"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74367DC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6985262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341633D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17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52CF680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26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79D6420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r>
      <w:tr w:rsidR="00F56AC9" w14:paraId="1A23043F" w14:textId="77777777" w:rsidTr="00F56AC9">
        <w:trPr>
          <w:trHeight w:hRule="exact" w:val="288"/>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43" w:type="dxa"/>
              <w:bottom w:w="43" w:type="dxa"/>
              <w:right w:w="43" w:type="dxa"/>
            </w:tcMar>
          </w:tcPr>
          <w:p w14:paraId="2185B3EC"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Jul-04</w:t>
            </w:r>
          </w:p>
        </w:tc>
        <w:tc>
          <w:tcPr>
            <w:tcW w:w="91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21542E5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20</w:t>
            </w:r>
          </w:p>
        </w:tc>
        <w:tc>
          <w:tcPr>
            <w:tcW w:w="82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35819B2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10</w:t>
            </w:r>
          </w:p>
        </w:tc>
        <w:tc>
          <w:tcPr>
            <w:tcW w:w="99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4829730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50%</w:t>
            </w:r>
          </w:p>
        </w:tc>
        <w:tc>
          <w:tcPr>
            <w:tcW w:w="94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792E507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63%</w:t>
            </w:r>
          </w:p>
        </w:tc>
        <w:tc>
          <w:tcPr>
            <w:tcW w:w="1482"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00D1FAA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1289208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31B272D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17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25EBF77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26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6880394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r>
      <w:tr w:rsidR="00F56AC9" w14:paraId="107D3454" w14:textId="77777777" w:rsidTr="00F56AC9">
        <w:trPr>
          <w:trHeight w:hRule="exact" w:val="288"/>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43" w:type="dxa"/>
              <w:bottom w:w="43" w:type="dxa"/>
              <w:right w:w="43" w:type="dxa"/>
            </w:tcMar>
          </w:tcPr>
          <w:p w14:paraId="4C66A8C5"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Feb-05</w:t>
            </w:r>
          </w:p>
        </w:tc>
        <w:tc>
          <w:tcPr>
            <w:tcW w:w="91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19657D2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40</w:t>
            </w:r>
          </w:p>
        </w:tc>
        <w:tc>
          <w:tcPr>
            <w:tcW w:w="82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657E6CF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21</w:t>
            </w:r>
          </w:p>
        </w:tc>
        <w:tc>
          <w:tcPr>
            <w:tcW w:w="99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3E2679D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53%</w:t>
            </w:r>
          </w:p>
        </w:tc>
        <w:tc>
          <w:tcPr>
            <w:tcW w:w="94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651C5B6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54%</w:t>
            </w:r>
          </w:p>
        </w:tc>
        <w:tc>
          <w:tcPr>
            <w:tcW w:w="1482"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0BEC8B9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0CB4DB2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11484E3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17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1DECA4A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26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1A74DE3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r>
      <w:tr w:rsidR="00F56AC9" w14:paraId="231A5A6C" w14:textId="77777777" w:rsidTr="00F56AC9">
        <w:trPr>
          <w:trHeight w:hRule="exact" w:val="288"/>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43" w:type="dxa"/>
              <w:bottom w:w="43" w:type="dxa"/>
              <w:right w:w="43" w:type="dxa"/>
            </w:tcMar>
          </w:tcPr>
          <w:p w14:paraId="2E4D4046"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Jul-05</w:t>
            </w:r>
          </w:p>
        </w:tc>
        <w:tc>
          <w:tcPr>
            <w:tcW w:w="91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64A79B6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44</w:t>
            </w:r>
          </w:p>
        </w:tc>
        <w:tc>
          <w:tcPr>
            <w:tcW w:w="82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0D011CA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10</w:t>
            </w:r>
          </w:p>
        </w:tc>
        <w:tc>
          <w:tcPr>
            <w:tcW w:w="99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7EB4030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23%</w:t>
            </w:r>
          </w:p>
        </w:tc>
        <w:tc>
          <w:tcPr>
            <w:tcW w:w="94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5AE5531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64%</w:t>
            </w:r>
          </w:p>
        </w:tc>
        <w:tc>
          <w:tcPr>
            <w:tcW w:w="1482"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2AB1D66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037AEB9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1DAD905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17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2688580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26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57A6551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r>
      <w:tr w:rsidR="00F56AC9" w14:paraId="07643EEB" w14:textId="77777777" w:rsidTr="00F56AC9">
        <w:trPr>
          <w:trHeight w:hRule="exact" w:val="288"/>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43" w:type="dxa"/>
              <w:bottom w:w="43" w:type="dxa"/>
              <w:right w:w="43" w:type="dxa"/>
            </w:tcMar>
          </w:tcPr>
          <w:p w14:paraId="450BB4A1"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Feb-06</w:t>
            </w:r>
          </w:p>
        </w:tc>
        <w:tc>
          <w:tcPr>
            <w:tcW w:w="91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6D1D64B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53</w:t>
            </w:r>
          </w:p>
        </w:tc>
        <w:tc>
          <w:tcPr>
            <w:tcW w:w="82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1BACE33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23</w:t>
            </w:r>
          </w:p>
        </w:tc>
        <w:tc>
          <w:tcPr>
            <w:tcW w:w="99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5294C99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43%</w:t>
            </w:r>
          </w:p>
        </w:tc>
        <w:tc>
          <w:tcPr>
            <w:tcW w:w="94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3107345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54%</w:t>
            </w:r>
          </w:p>
        </w:tc>
        <w:tc>
          <w:tcPr>
            <w:tcW w:w="1482"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7C70098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712A800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067E22F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17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300F83B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26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5E3DE41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r>
      <w:tr w:rsidR="00F56AC9" w14:paraId="4D8B6D10" w14:textId="77777777" w:rsidTr="00F56AC9">
        <w:trPr>
          <w:trHeight w:hRule="exact" w:val="288"/>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43" w:type="dxa"/>
              <w:bottom w:w="43" w:type="dxa"/>
              <w:right w:w="43" w:type="dxa"/>
            </w:tcMar>
          </w:tcPr>
          <w:p w14:paraId="2BCE7AD0"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Jul-06</w:t>
            </w:r>
          </w:p>
        </w:tc>
        <w:tc>
          <w:tcPr>
            <w:tcW w:w="91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2B4A554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33</w:t>
            </w:r>
          </w:p>
        </w:tc>
        <w:tc>
          <w:tcPr>
            <w:tcW w:w="82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5DB75FB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12</w:t>
            </w:r>
          </w:p>
        </w:tc>
        <w:tc>
          <w:tcPr>
            <w:tcW w:w="99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5EDFA2C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36%</w:t>
            </w:r>
          </w:p>
        </w:tc>
        <w:tc>
          <w:tcPr>
            <w:tcW w:w="94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4475A2E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67%</w:t>
            </w:r>
          </w:p>
        </w:tc>
        <w:tc>
          <w:tcPr>
            <w:tcW w:w="1482"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6FF88C7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2D3131F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53573D2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17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54D0F7C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26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6FBD55A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r>
      <w:tr w:rsidR="00F56AC9" w14:paraId="0DA8400C" w14:textId="77777777" w:rsidTr="00F56AC9">
        <w:trPr>
          <w:trHeight w:hRule="exact" w:val="288"/>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43" w:type="dxa"/>
              <w:bottom w:w="43" w:type="dxa"/>
              <w:right w:w="43" w:type="dxa"/>
            </w:tcMar>
          </w:tcPr>
          <w:p w14:paraId="78E3DBA5"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Feb-07</w:t>
            </w:r>
          </w:p>
        </w:tc>
        <w:tc>
          <w:tcPr>
            <w:tcW w:w="91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586E4B2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63</w:t>
            </w:r>
          </w:p>
        </w:tc>
        <w:tc>
          <w:tcPr>
            <w:tcW w:w="82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1A467EC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27</w:t>
            </w:r>
          </w:p>
        </w:tc>
        <w:tc>
          <w:tcPr>
            <w:tcW w:w="99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1D7A36B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43%</w:t>
            </w:r>
          </w:p>
        </w:tc>
        <w:tc>
          <w:tcPr>
            <w:tcW w:w="94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7491DA9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53%</w:t>
            </w:r>
          </w:p>
        </w:tc>
        <w:tc>
          <w:tcPr>
            <w:tcW w:w="1482"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1A7B404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055D957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38%</w:t>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723C06D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31%</w:t>
            </w:r>
          </w:p>
        </w:tc>
        <w:tc>
          <w:tcPr>
            <w:tcW w:w="117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03DF55A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61%</w:t>
            </w:r>
          </w:p>
        </w:tc>
        <w:tc>
          <w:tcPr>
            <w:tcW w:w="126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29E6932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52%</w:t>
            </w:r>
          </w:p>
        </w:tc>
      </w:tr>
      <w:tr w:rsidR="00F56AC9" w14:paraId="1F6234F0" w14:textId="77777777" w:rsidTr="00F56AC9">
        <w:trPr>
          <w:trHeight w:hRule="exact" w:val="288"/>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43" w:type="dxa"/>
              <w:bottom w:w="43" w:type="dxa"/>
              <w:right w:w="43" w:type="dxa"/>
            </w:tcMar>
          </w:tcPr>
          <w:p w14:paraId="0AADD006"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Jul-07</w:t>
            </w:r>
          </w:p>
        </w:tc>
        <w:tc>
          <w:tcPr>
            <w:tcW w:w="91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49122A7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37</w:t>
            </w:r>
          </w:p>
        </w:tc>
        <w:tc>
          <w:tcPr>
            <w:tcW w:w="82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58F4824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17</w:t>
            </w:r>
          </w:p>
        </w:tc>
        <w:tc>
          <w:tcPr>
            <w:tcW w:w="99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3736D69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46%</w:t>
            </w:r>
          </w:p>
        </w:tc>
        <w:tc>
          <w:tcPr>
            <w:tcW w:w="94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4DD2BE1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69%</w:t>
            </w:r>
          </w:p>
        </w:tc>
        <w:tc>
          <w:tcPr>
            <w:tcW w:w="1482"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28D429E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6E58C58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27%</w:t>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5E9DDB5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32%</w:t>
            </w:r>
          </w:p>
        </w:tc>
        <w:tc>
          <w:tcPr>
            <w:tcW w:w="117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68F4DE5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76%</w:t>
            </w:r>
          </w:p>
        </w:tc>
        <w:tc>
          <w:tcPr>
            <w:tcW w:w="126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150296D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67%</w:t>
            </w:r>
          </w:p>
        </w:tc>
      </w:tr>
      <w:tr w:rsidR="00F56AC9" w14:paraId="795C6BF3" w14:textId="77777777" w:rsidTr="00F56AC9">
        <w:trPr>
          <w:trHeight w:hRule="exact" w:val="288"/>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43" w:type="dxa"/>
              <w:bottom w:w="43" w:type="dxa"/>
              <w:right w:w="43" w:type="dxa"/>
            </w:tcMar>
          </w:tcPr>
          <w:p w14:paraId="1595ABD0"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Feb-08</w:t>
            </w:r>
          </w:p>
        </w:tc>
        <w:tc>
          <w:tcPr>
            <w:tcW w:w="91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29ED0F2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94</w:t>
            </w:r>
          </w:p>
        </w:tc>
        <w:tc>
          <w:tcPr>
            <w:tcW w:w="82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0669F9D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36</w:t>
            </w:r>
          </w:p>
        </w:tc>
        <w:tc>
          <w:tcPr>
            <w:tcW w:w="99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2AA1B3C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38%</w:t>
            </w:r>
          </w:p>
        </w:tc>
        <w:tc>
          <w:tcPr>
            <w:tcW w:w="94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187B700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53%</w:t>
            </w:r>
          </w:p>
        </w:tc>
        <w:tc>
          <w:tcPr>
            <w:tcW w:w="1482"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52858AF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35%</w:t>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683212E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28%</w:t>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640D1A7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30%</w:t>
            </w:r>
          </w:p>
        </w:tc>
        <w:tc>
          <w:tcPr>
            <w:tcW w:w="117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65BC1CB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62%</w:t>
            </w:r>
          </w:p>
        </w:tc>
        <w:tc>
          <w:tcPr>
            <w:tcW w:w="126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7CA5A29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53%</w:t>
            </w:r>
          </w:p>
        </w:tc>
      </w:tr>
      <w:tr w:rsidR="00F56AC9" w14:paraId="5B694319" w14:textId="77777777" w:rsidTr="00F56AC9">
        <w:trPr>
          <w:trHeight w:hRule="exact" w:val="288"/>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43" w:type="dxa"/>
              <w:bottom w:w="43" w:type="dxa"/>
              <w:right w:w="43" w:type="dxa"/>
            </w:tcMar>
          </w:tcPr>
          <w:p w14:paraId="69A6407C"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Jul-08</w:t>
            </w:r>
          </w:p>
        </w:tc>
        <w:tc>
          <w:tcPr>
            <w:tcW w:w="91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2A04D4F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43</w:t>
            </w:r>
          </w:p>
        </w:tc>
        <w:tc>
          <w:tcPr>
            <w:tcW w:w="82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166A4A7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19</w:t>
            </w:r>
          </w:p>
        </w:tc>
        <w:tc>
          <w:tcPr>
            <w:tcW w:w="99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06B6949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44%</w:t>
            </w:r>
          </w:p>
        </w:tc>
        <w:tc>
          <w:tcPr>
            <w:tcW w:w="94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256E250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75%</w:t>
            </w:r>
          </w:p>
        </w:tc>
        <w:tc>
          <w:tcPr>
            <w:tcW w:w="1482"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0D8FCA7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33%</w:t>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605755A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32%</w:t>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117CDAE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37%</w:t>
            </w:r>
          </w:p>
        </w:tc>
        <w:tc>
          <w:tcPr>
            <w:tcW w:w="117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7DE5B7F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83%</w:t>
            </w:r>
          </w:p>
        </w:tc>
        <w:tc>
          <w:tcPr>
            <w:tcW w:w="126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70CF4A7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75%</w:t>
            </w:r>
          </w:p>
        </w:tc>
      </w:tr>
      <w:tr w:rsidR="00F56AC9" w14:paraId="3D752F96" w14:textId="77777777" w:rsidTr="00F56AC9">
        <w:trPr>
          <w:trHeight w:hRule="exact" w:val="288"/>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43" w:type="dxa"/>
              <w:bottom w:w="43" w:type="dxa"/>
              <w:right w:w="43" w:type="dxa"/>
            </w:tcMar>
          </w:tcPr>
          <w:p w14:paraId="703FFE01"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Feb-09</w:t>
            </w:r>
          </w:p>
        </w:tc>
        <w:tc>
          <w:tcPr>
            <w:tcW w:w="91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62006A1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54</w:t>
            </w:r>
          </w:p>
        </w:tc>
        <w:tc>
          <w:tcPr>
            <w:tcW w:w="82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44F2ECC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19</w:t>
            </w:r>
          </w:p>
        </w:tc>
        <w:tc>
          <w:tcPr>
            <w:tcW w:w="99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3671F11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35%</w:t>
            </w:r>
          </w:p>
        </w:tc>
        <w:tc>
          <w:tcPr>
            <w:tcW w:w="94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4C3A1F8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46%</w:t>
            </w:r>
          </w:p>
        </w:tc>
        <w:tc>
          <w:tcPr>
            <w:tcW w:w="1482"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6CD8254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29%</w:t>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3B1C021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40%</w:t>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3C88333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25%</w:t>
            </w:r>
          </w:p>
        </w:tc>
        <w:tc>
          <w:tcPr>
            <w:tcW w:w="117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5020EA0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53%</w:t>
            </w:r>
          </w:p>
        </w:tc>
        <w:tc>
          <w:tcPr>
            <w:tcW w:w="126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19BE880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45%</w:t>
            </w:r>
          </w:p>
        </w:tc>
      </w:tr>
      <w:tr w:rsidR="00F56AC9" w14:paraId="35C6001E" w14:textId="77777777" w:rsidTr="00F56AC9">
        <w:trPr>
          <w:trHeight w:hRule="exact" w:val="288"/>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43" w:type="dxa"/>
              <w:bottom w:w="43" w:type="dxa"/>
              <w:right w:w="43" w:type="dxa"/>
            </w:tcMar>
          </w:tcPr>
          <w:p w14:paraId="53AF6C6D"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Jul-09</w:t>
            </w:r>
          </w:p>
        </w:tc>
        <w:tc>
          <w:tcPr>
            <w:tcW w:w="91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0BDF70C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45</w:t>
            </w:r>
          </w:p>
        </w:tc>
        <w:tc>
          <w:tcPr>
            <w:tcW w:w="82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15F5902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17</w:t>
            </w:r>
          </w:p>
        </w:tc>
        <w:tc>
          <w:tcPr>
            <w:tcW w:w="99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08A8F60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38%</w:t>
            </w:r>
          </w:p>
        </w:tc>
        <w:tc>
          <w:tcPr>
            <w:tcW w:w="94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54F4132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70%</w:t>
            </w:r>
          </w:p>
        </w:tc>
        <w:tc>
          <w:tcPr>
            <w:tcW w:w="1482"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3290D05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32%</w:t>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78953A0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27%</w:t>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0FE0D12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32%</w:t>
            </w:r>
          </w:p>
        </w:tc>
        <w:tc>
          <w:tcPr>
            <w:tcW w:w="117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3EC4832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79%</w:t>
            </w:r>
          </w:p>
        </w:tc>
        <w:tc>
          <w:tcPr>
            <w:tcW w:w="126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13E7918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69%</w:t>
            </w:r>
          </w:p>
        </w:tc>
      </w:tr>
      <w:tr w:rsidR="00F56AC9" w14:paraId="56A42205" w14:textId="77777777" w:rsidTr="00F56AC9">
        <w:trPr>
          <w:trHeight w:hRule="exact" w:val="288"/>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43" w:type="dxa"/>
              <w:bottom w:w="43" w:type="dxa"/>
              <w:right w:w="43" w:type="dxa"/>
            </w:tcMar>
          </w:tcPr>
          <w:p w14:paraId="07FF5B37"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Feb-10</w:t>
            </w:r>
          </w:p>
        </w:tc>
        <w:tc>
          <w:tcPr>
            <w:tcW w:w="91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6A5AF81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71</w:t>
            </w:r>
          </w:p>
        </w:tc>
        <w:tc>
          <w:tcPr>
            <w:tcW w:w="82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3EEB68A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17</w:t>
            </w:r>
          </w:p>
        </w:tc>
        <w:tc>
          <w:tcPr>
            <w:tcW w:w="99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681AF5F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24%</w:t>
            </w:r>
          </w:p>
        </w:tc>
        <w:tc>
          <w:tcPr>
            <w:tcW w:w="94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6D5B8F2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50%</w:t>
            </w:r>
          </w:p>
        </w:tc>
        <w:tc>
          <w:tcPr>
            <w:tcW w:w="1482"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6C9087E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22%</w:t>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7FBA07D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23%</w:t>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1ECCF25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30%</w:t>
            </w:r>
          </w:p>
        </w:tc>
        <w:tc>
          <w:tcPr>
            <w:tcW w:w="117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3778F47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60%</w:t>
            </w:r>
          </w:p>
        </w:tc>
        <w:tc>
          <w:tcPr>
            <w:tcW w:w="126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3646D69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51%</w:t>
            </w:r>
          </w:p>
        </w:tc>
      </w:tr>
      <w:tr w:rsidR="00F56AC9" w14:paraId="7E06A6D8" w14:textId="77777777" w:rsidTr="00F56AC9">
        <w:trPr>
          <w:trHeight w:hRule="exact" w:val="288"/>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43" w:type="dxa"/>
              <w:bottom w:w="43" w:type="dxa"/>
              <w:right w:w="43" w:type="dxa"/>
            </w:tcMar>
          </w:tcPr>
          <w:p w14:paraId="71BA039D"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Jul-10</w:t>
            </w:r>
          </w:p>
        </w:tc>
        <w:tc>
          <w:tcPr>
            <w:tcW w:w="91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08298A2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43</w:t>
            </w:r>
          </w:p>
        </w:tc>
        <w:tc>
          <w:tcPr>
            <w:tcW w:w="82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3CA5FE9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9</w:t>
            </w:r>
          </w:p>
        </w:tc>
        <w:tc>
          <w:tcPr>
            <w:tcW w:w="99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4723D8F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21%</w:t>
            </w:r>
          </w:p>
        </w:tc>
        <w:tc>
          <w:tcPr>
            <w:tcW w:w="94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45466E5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55%</w:t>
            </w:r>
          </w:p>
        </w:tc>
        <w:tc>
          <w:tcPr>
            <w:tcW w:w="1482"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3A03E2D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18%</w:t>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42210BE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20%</w:t>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08D325B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40%</w:t>
            </w:r>
          </w:p>
        </w:tc>
        <w:tc>
          <w:tcPr>
            <w:tcW w:w="117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275AB42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75%</w:t>
            </w:r>
          </w:p>
        </w:tc>
        <w:tc>
          <w:tcPr>
            <w:tcW w:w="126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5DBEDBE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68%</w:t>
            </w:r>
          </w:p>
        </w:tc>
      </w:tr>
      <w:tr w:rsidR="00F56AC9" w14:paraId="17F27326" w14:textId="77777777" w:rsidTr="00F56AC9">
        <w:trPr>
          <w:trHeight w:hRule="exact" w:val="288"/>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43" w:type="dxa"/>
              <w:bottom w:w="43" w:type="dxa"/>
              <w:right w:w="43" w:type="dxa"/>
            </w:tcMar>
          </w:tcPr>
          <w:p w14:paraId="603BB7AF"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Feb-11</w:t>
            </w:r>
          </w:p>
        </w:tc>
        <w:tc>
          <w:tcPr>
            <w:tcW w:w="91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6E02A14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52</w:t>
            </w:r>
          </w:p>
        </w:tc>
        <w:tc>
          <w:tcPr>
            <w:tcW w:w="82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75F2A99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14</w:t>
            </w:r>
          </w:p>
        </w:tc>
        <w:tc>
          <w:tcPr>
            <w:tcW w:w="99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7960DCB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27%</w:t>
            </w:r>
          </w:p>
        </w:tc>
        <w:tc>
          <w:tcPr>
            <w:tcW w:w="94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13FF869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42%</w:t>
            </w:r>
          </w:p>
        </w:tc>
        <w:tc>
          <w:tcPr>
            <w:tcW w:w="1482"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4CDAEDF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23%</w:t>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05E76BB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28%</w:t>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1A1CA05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28%</w:t>
            </w:r>
          </w:p>
        </w:tc>
        <w:tc>
          <w:tcPr>
            <w:tcW w:w="117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5740781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63%</w:t>
            </w:r>
          </w:p>
        </w:tc>
        <w:tc>
          <w:tcPr>
            <w:tcW w:w="126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5F4C94B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58%</w:t>
            </w:r>
          </w:p>
        </w:tc>
      </w:tr>
      <w:tr w:rsidR="00F56AC9" w14:paraId="5A1B1702" w14:textId="77777777" w:rsidTr="00F56AC9">
        <w:trPr>
          <w:trHeight w:hRule="exact" w:val="288"/>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43" w:type="dxa"/>
              <w:bottom w:w="43" w:type="dxa"/>
              <w:right w:w="43" w:type="dxa"/>
            </w:tcMar>
          </w:tcPr>
          <w:p w14:paraId="4B382889"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Jul-11</w:t>
            </w:r>
          </w:p>
        </w:tc>
        <w:tc>
          <w:tcPr>
            <w:tcW w:w="91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4477DE4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32</w:t>
            </w:r>
          </w:p>
        </w:tc>
        <w:tc>
          <w:tcPr>
            <w:tcW w:w="82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4597CAD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9</w:t>
            </w:r>
          </w:p>
        </w:tc>
        <w:tc>
          <w:tcPr>
            <w:tcW w:w="99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6B4EAED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28%</w:t>
            </w:r>
          </w:p>
        </w:tc>
        <w:tc>
          <w:tcPr>
            <w:tcW w:w="94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44975D0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69%</w:t>
            </w:r>
          </w:p>
        </w:tc>
        <w:tc>
          <w:tcPr>
            <w:tcW w:w="1482"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7DD8C26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31%</w:t>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7FA7336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27%</w:t>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4C6CAB0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35%</w:t>
            </w:r>
          </w:p>
        </w:tc>
        <w:tc>
          <w:tcPr>
            <w:tcW w:w="117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7FEACC1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76%</w:t>
            </w:r>
          </w:p>
        </w:tc>
        <w:tc>
          <w:tcPr>
            <w:tcW w:w="126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6DA47B4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66%</w:t>
            </w:r>
          </w:p>
        </w:tc>
      </w:tr>
      <w:tr w:rsidR="00F56AC9" w14:paraId="42E81E56" w14:textId="77777777" w:rsidTr="00F56AC9">
        <w:trPr>
          <w:trHeight w:hRule="exact" w:val="288"/>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43" w:type="dxa"/>
              <w:bottom w:w="43" w:type="dxa"/>
              <w:right w:w="43" w:type="dxa"/>
            </w:tcMar>
          </w:tcPr>
          <w:p w14:paraId="5C4E8011"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Feb-12</w:t>
            </w:r>
          </w:p>
        </w:tc>
        <w:tc>
          <w:tcPr>
            <w:tcW w:w="91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4A93EBE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47</w:t>
            </w:r>
          </w:p>
        </w:tc>
        <w:tc>
          <w:tcPr>
            <w:tcW w:w="82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27CF0EE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14</w:t>
            </w:r>
          </w:p>
        </w:tc>
        <w:tc>
          <w:tcPr>
            <w:tcW w:w="99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4D7BC76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30%</w:t>
            </w:r>
          </w:p>
        </w:tc>
        <w:tc>
          <w:tcPr>
            <w:tcW w:w="94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209C99B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53%</w:t>
            </w:r>
          </w:p>
        </w:tc>
        <w:tc>
          <w:tcPr>
            <w:tcW w:w="1482"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32C12A1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31%</w:t>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37797C5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33%</w:t>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4AA30AD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33%</w:t>
            </w:r>
          </w:p>
        </w:tc>
        <w:tc>
          <w:tcPr>
            <w:tcW w:w="117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6BE3A4A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62%</w:t>
            </w:r>
          </w:p>
        </w:tc>
        <w:tc>
          <w:tcPr>
            <w:tcW w:w="126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1730B6F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48%</w:t>
            </w:r>
          </w:p>
        </w:tc>
      </w:tr>
      <w:tr w:rsidR="00F56AC9" w14:paraId="52B12009" w14:textId="77777777" w:rsidTr="00F56AC9">
        <w:trPr>
          <w:trHeight w:hRule="exact" w:val="288"/>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43" w:type="dxa"/>
              <w:bottom w:w="43" w:type="dxa"/>
              <w:right w:w="43" w:type="dxa"/>
            </w:tcMar>
          </w:tcPr>
          <w:p w14:paraId="5DE0A5B4"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Jul-12</w:t>
            </w:r>
          </w:p>
        </w:tc>
        <w:tc>
          <w:tcPr>
            <w:tcW w:w="91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0E41C9C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29</w:t>
            </w:r>
          </w:p>
        </w:tc>
        <w:tc>
          <w:tcPr>
            <w:tcW w:w="82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0CE6938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7</w:t>
            </w:r>
          </w:p>
        </w:tc>
        <w:tc>
          <w:tcPr>
            <w:tcW w:w="99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04B6CA1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24%</w:t>
            </w:r>
          </w:p>
        </w:tc>
        <w:tc>
          <w:tcPr>
            <w:tcW w:w="94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737457C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68%</w:t>
            </w:r>
          </w:p>
        </w:tc>
        <w:tc>
          <w:tcPr>
            <w:tcW w:w="1482"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5157812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20%</w:t>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25034AC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22%</w:t>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0A588D5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31%</w:t>
            </w:r>
          </w:p>
        </w:tc>
        <w:tc>
          <w:tcPr>
            <w:tcW w:w="117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0231E17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77%</w:t>
            </w:r>
          </w:p>
        </w:tc>
        <w:tc>
          <w:tcPr>
            <w:tcW w:w="126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4EA2B2C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64%</w:t>
            </w:r>
          </w:p>
        </w:tc>
      </w:tr>
      <w:tr w:rsidR="00F56AC9" w14:paraId="412F3D8D" w14:textId="77777777" w:rsidTr="00F56AC9">
        <w:trPr>
          <w:trHeight w:hRule="exact" w:val="288"/>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43" w:type="dxa"/>
              <w:bottom w:w="43" w:type="dxa"/>
              <w:right w:w="43" w:type="dxa"/>
            </w:tcMar>
          </w:tcPr>
          <w:p w14:paraId="7026DC66"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Feb-13</w:t>
            </w:r>
          </w:p>
        </w:tc>
        <w:tc>
          <w:tcPr>
            <w:tcW w:w="91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1DE21AC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28</w:t>
            </w:r>
          </w:p>
        </w:tc>
        <w:tc>
          <w:tcPr>
            <w:tcW w:w="82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062B447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8</w:t>
            </w:r>
          </w:p>
        </w:tc>
        <w:tc>
          <w:tcPr>
            <w:tcW w:w="99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44EDD40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29%</w:t>
            </w:r>
          </w:p>
        </w:tc>
        <w:tc>
          <w:tcPr>
            <w:tcW w:w="94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72EC121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52%</w:t>
            </w:r>
          </w:p>
        </w:tc>
        <w:tc>
          <w:tcPr>
            <w:tcW w:w="1482"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657EFEB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29%</w:t>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53FF27D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33%</w:t>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7EA96AF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26%</w:t>
            </w:r>
          </w:p>
        </w:tc>
        <w:tc>
          <w:tcPr>
            <w:tcW w:w="117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4479F84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61%</w:t>
            </w:r>
          </w:p>
        </w:tc>
        <w:tc>
          <w:tcPr>
            <w:tcW w:w="126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16366E3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49%</w:t>
            </w:r>
          </w:p>
        </w:tc>
      </w:tr>
      <w:tr w:rsidR="00F56AC9" w14:paraId="53CABFAC" w14:textId="77777777" w:rsidTr="00F56AC9">
        <w:trPr>
          <w:trHeight w:hRule="exact" w:val="288"/>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43" w:type="dxa"/>
              <w:bottom w:w="43" w:type="dxa"/>
              <w:right w:w="43" w:type="dxa"/>
            </w:tcMar>
          </w:tcPr>
          <w:p w14:paraId="4C591094"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Jul-13</w:t>
            </w:r>
          </w:p>
        </w:tc>
        <w:tc>
          <w:tcPr>
            <w:tcW w:w="91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0FDDED1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36</w:t>
            </w:r>
          </w:p>
        </w:tc>
        <w:tc>
          <w:tcPr>
            <w:tcW w:w="82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4FDE21D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7</w:t>
            </w:r>
          </w:p>
        </w:tc>
        <w:tc>
          <w:tcPr>
            <w:tcW w:w="99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17C5FB3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19%</w:t>
            </w:r>
          </w:p>
        </w:tc>
        <w:tc>
          <w:tcPr>
            <w:tcW w:w="94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214273D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68%</w:t>
            </w:r>
          </w:p>
        </w:tc>
        <w:tc>
          <w:tcPr>
            <w:tcW w:w="1482"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0D62242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18%</w:t>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091165A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21%</w:t>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7B7572B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36%</w:t>
            </w:r>
          </w:p>
        </w:tc>
        <w:tc>
          <w:tcPr>
            <w:tcW w:w="117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63BE8F0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76%</w:t>
            </w:r>
          </w:p>
        </w:tc>
        <w:tc>
          <w:tcPr>
            <w:tcW w:w="126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2082C4F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64%</w:t>
            </w:r>
          </w:p>
        </w:tc>
      </w:tr>
      <w:tr w:rsidR="00F56AC9" w14:paraId="628FA3AE" w14:textId="77777777" w:rsidTr="00F56AC9">
        <w:trPr>
          <w:trHeight w:hRule="exact" w:val="288"/>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43" w:type="dxa"/>
              <w:bottom w:w="43" w:type="dxa"/>
              <w:right w:w="43" w:type="dxa"/>
            </w:tcMar>
          </w:tcPr>
          <w:p w14:paraId="24280D11"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Feb-14</w:t>
            </w:r>
          </w:p>
        </w:tc>
        <w:tc>
          <w:tcPr>
            <w:tcW w:w="91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2F8A080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32</w:t>
            </w:r>
          </w:p>
        </w:tc>
        <w:tc>
          <w:tcPr>
            <w:tcW w:w="82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5D6235D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15</w:t>
            </w:r>
          </w:p>
        </w:tc>
        <w:tc>
          <w:tcPr>
            <w:tcW w:w="99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1BB7DE9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47%</w:t>
            </w:r>
          </w:p>
        </w:tc>
        <w:tc>
          <w:tcPr>
            <w:tcW w:w="94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77E2C86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55%</w:t>
            </w:r>
          </w:p>
        </w:tc>
        <w:tc>
          <w:tcPr>
            <w:tcW w:w="1482"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522FF6A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36%</w:t>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15175F6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35%</w:t>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3CB4E03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42%</w:t>
            </w:r>
          </w:p>
        </w:tc>
        <w:tc>
          <w:tcPr>
            <w:tcW w:w="117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020A955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69%</w:t>
            </w:r>
          </w:p>
        </w:tc>
        <w:tc>
          <w:tcPr>
            <w:tcW w:w="126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6B10120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44%</w:t>
            </w:r>
          </w:p>
        </w:tc>
      </w:tr>
      <w:tr w:rsidR="00F56AC9" w14:paraId="076BDFB8" w14:textId="77777777" w:rsidTr="00F56AC9">
        <w:trPr>
          <w:trHeight w:hRule="exact" w:val="288"/>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43" w:type="dxa"/>
              <w:bottom w:w="43" w:type="dxa"/>
              <w:right w:w="43" w:type="dxa"/>
            </w:tcMar>
          </w:tcPr>
          <w:p w14:paraId="3B872998"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Jul-14</w:t>
            </w:r>
          </w:p>
        </w:tc>
        <w:tc>
          <w:tcPr>
            <w:tcW w:w="91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4B538ED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33</w:t>
            </w:r>
          </w:p>
        </w:tc>
        <w:tc>
          <w:tcPr>
            <w:tcW w:w="82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5F9B0FF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9</w:t>
            </w:r>
          </w:p>
        </w:tc>
        <w:tc>
          <w:tcPr>
            <w:tcW w:w="99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5AC146D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19%</w:t>
            </w:r>
          </w:p>
        </w:tc>
        <w:tc>
          <w:tcPr>
            <w:tcW w:w="94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43C8399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49%</w:t>
            </w:r>
          </w:p>
        </w:tc>
        <w:tc>
          <w:tcPr>
            <w:tcW w:w="1482"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7357381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19%</w:t>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7410A8F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23%</w:t>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3E2E21D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33%</w:t>
            </w:r>
          </w:p>
        </w:tc>
        <w:tc>
          <w:tcPr>
            <w:tcW w:w="117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0AD5B59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69%</w:t>
            </w:r>
          </w:p>
        </w:tc>
        <w:tc>
          <w:tcPr>
            <w:tcW w:w="126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43A40BF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60%</w:t>
            </w:r>
          </w:p>
        </w:tc>
      </w:tr>
      <w:tr w:rsidR="00F56AC9" w14:paraId="169CE1CE" w14:textId="77777777" w:rsidTr="00F56AC9">
        <w:trPr>
          <w:trHeight w:hRule="exact" w:val="288"/>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43" w:type="dxa"/>
              <w:bottom w:w="43" w:type="dxa"/>
              <w:right w:w="43" w:type="dxa"/>
            </w:tcMar>
          </w:tcPr>
          <w:p w14:paraId="50725947"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Feb-15</w:t>
            </w:r>
          </w:p>
        </w:tc>
        <w:tc>
          <w:tcPr>
            <w:tcW w:w="91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4DD7E4E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41</w:t>
            </w:r>
          </w:p>
        </w:tc>
        <w:tc>
          <w:tcPr>
            <w:tcW w:w="82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6E75C2F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16</w:t>
            </w:r>
          </w:p>
        </w:tc>
        <w:tc>
          <w:tcPr>
            <w:tcW w:w="99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36C5756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39%</w:t>
            </w:r>
          </w:p>
        </w:tc>
        <w:tc>
          <w:tcPr>
            <w:tcW w:w="94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50355A5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39%</w:t>
            </w:r>
          </w:p>
        </w:tc>
        <w:tc>
          <w:tcPr>
            <w:tcW w:w="1482"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29D698D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38%</w:t>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28B31C0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35%</w:t>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7A47AFF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41%</w:t>
            </w:r>
          </w:p>
        </w:tc>
        <w:tc>
          <w:tcPr>
            <w:tcW w:w="117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2B361B4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54%</w:t>
            </w:r>
          </w:p>
        </w:tc>
        <w:tc>
          <w:tcPr>
            <w:tcW w:w="126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55C235F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41%</w:t>
            </w:r>
          </w:p>
        </w:tc>
      </w:tr>
      <w:tr w:rsidR="00F56AC9" w14:paraId="57249826" w14:textId="77777777" w:rsidTr="00F56AC9">
        <w:trPr>
          <w:trHeight w:hRule="exact" w:val="288"/>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43" w:type="dxa"/>
              <w:bottom w:w="43" w:type="dxa"/>
              <w:right w:w="43" w:type="dxa"/>
            </w:tcMar>
          </w:tcPr>
          <w:p w14:paraId="1B8F6199"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Jul-15</w:t>
            </w:r>
          </w:p>
        </w:tc>
        <w:tc>
          <w:tcPr>
            <w:tcW w:w="91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669FE22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20</w:t>
            </w:r>
          </w:p>
        </w:tc>
        <w:tc>
          <w:tcPr>
            <w:tcW w:w="82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1EB4D00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5</w:t>
            </w:r>
          </w:p>
        </w:tc>
        <w:tc>
          <w:tcPr>
            <w:tcW w:w="99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199CB9A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25%</w:t>
            </w:r>
          </w:p>
        </w:tc>
        <w:tc>
          <w:tcPr>
            <w:tcW w:w="94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2C8A850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47%</w:t>
            </w:r>
          </w:p>
        </w:tc>
        <w:tc>
          <w:tcPr>
            <w:tcW w:w="1482"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591EE73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18%</w:t>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1199ECC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22%</w:t>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591C303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21%</w:t>
            </w:r>
          </w:p>
        </w:tc>
        <w:tc>
          <w:tcPr>
            <w:tcW w:w="117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29722C6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68%</w:t>
            </w:r>
          </w:p>
        </w:tc>
        <w:tc>
          <w:tcPr>
            <w:tcW w:w="126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1C1E72B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59%</w:t>
            </w:r>
          </w:p>
        </w:tc>
      </w:tr>
      <w:tr w:rsidR="00F56AC9" w14:paraId="7D3424C3" w14:textId="77777777" w:rsidTr="00F56AC9">
        <w:trPr>
          <w:trHeight w:hRule="exact" w:val="288"/>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43" w:type="dxa"/>
              <w:bottom w:w="43" w:type="dxa"/>
              <w:right w:w="43" w:type="dxa"/>
            </w:tcMar>
          </w:tcPr>
          <w:p w14:paraId="31EDBB54"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Feb-16</w:t>
            </w:r>
          </w:p>
        </w:tc>
        <w:tc>
          <w:tcPr>
            <w:tcW w:w="91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083850F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28</w:t>
            </w:r>
          </w:p>
        </w:tc>
        <w:tc>
          <w:tcPr>
            <w:tcW w:w="82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7387108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13</w:t>
            </w:r>
          </w:p>
        </w:tc>
        <w:tc>
          <w:tcPr>
            <w:tcW w:w="99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1F932F5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46%</w:t>
            </w:r>
          </w:p>
        </w:tc>
        <w:tc>
          <w:tcPr>
            <w:tcW w:w="94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6C8B098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36%</w:t>
            </w:r>
          </w:p>
        </w:tc>
        <w:tc>
          <w:tcPr>
            <w:tcW w:w="1482"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2CF91E0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r>
              <w:rPr>
                <w:rFonts w:ascii="Calibri" w:eastAsia="Calibri" w:hAnsi="Calibri" w:cs="Calibri"/>
                <w:color w:val="333333"/>
                <w:sz w:val="18"/>
                <w:szCs w:val="18"/>
                <w:highlight w:val="white"/>
                <w:vertAlign w:val="superscript"/>
              </w:rPr>
              <w:footnoteReference w:id="13"/>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6C014C1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32%</w:t>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08D17AA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23%</w:t>
            </w:r>
          </w:p>
        </w:tc>
        <w:tc>
          <w:tcPr>
            <w:tcW w:w="117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675C3B2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48%</w:t>
            </w:r>
          </w:p>
        </w:tc>
        <w:tc>
          <w:tcPr>
            <w:tcW w:w="126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58562E1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45%</w:t>
            </w:r>
          </w:p>
        </w:tc>
      </w:tr>
      <w:tr w:rsidR="00F56AC9" w14:paraId="31A626B8" w14:textId="77777777" w:rsidTr="00F56AC9">
        <w:trPr>
          <w:trHeight w:hRule="exact" w:val="288"/>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43" w:type="dxa"/>
              <w:bottom w:w="43" w:type="dxa"/>
              <w:right w:w="43" w:type="dxa"/>
            </w:tcMar>
          </w:tcPr>
          <w:p w14:paraId="5473544F"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Jul-16</w:t>
            </w:r>
          </w:p>
        </w:tc>
        <w:tc>
          <w:tcPr>
            <w:tcW w:w="91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6776441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26</w:t>
            </w:r>
          </w:p>
        </w:tc>
        <w:tc>
          <w:tcPr>
            <w:tcW w:w="82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3F2048E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7</w:t>
            </w:r>
          </w:p>
        </w:tc>
        <w:tc>
          <w:tcPr>
            <w:tcW w:w="99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5499B87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27%</w:t>
            </w:r>
          </w:p>
        </w:tc>
        <w:tc>
          <w:tcPr>
            <w:tcW w:w="94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28473C7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56%</w:t>
            </w:r>
          </w:p>
          <w:p w14:paraId="4FE7B61D" w14:textId="77777777" w:rsidR="00F56AC9" w:rsidRDefault="00F56AC9" w:rsidP="00F56AC9">
            <w:pPr>
              <w:pStyle w:val="normal0"/>
              <w:rPr>
                <w:rFonts w:ascii="Calibri" w:eastAsia="Calibri" w:hAnsi="Calibri" w:cs="Calibri"/>
                <w:color w:val="333333"/>
                <w:sz w:val="18"/>
                <w:szCs w:val="18"/>
                <w:highlight w:val="white"/>
              </w:rPr>
            </w:pPr>
          </w:p>
        </w:tc>
        <w:tc>
          <w:tcPr>
            <w:tcW w:w="1482"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07424D4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159C69D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24%</w:t>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2C9592B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21%</w:t>
            </w:r>
          </w:p>
        </w:tc>
        <w:tc>
          <w:tcPr>
            <w:tcW w:w="117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012AF52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62%</w:t>
            </w:r>
          </w:p>
        </w:tc>
        <w:tc>
          <w:tcPr>
            <w:tcW w:w="126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680C0EF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60%</w:t>
            </w:r>
          </w:p>
        </w:tc>
      </w:tr>
      <w:tr w:rsidR="00F56AC9" w14:paraId="2C4130B8" w14:textId="77777777" w:rsidTr="00F56AC9">
        <w:trPr>
          <w:trHeight w:hRule="exact" w:val="288"/>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43" w:type="dxa"/>
              <w:bottom w:w="43" w:type="dxa"/>
              <w:right w:w="43" w:type="dxa"/>
            </w:tcMar>
          </w:tcPr>
          <w:p w14:paraId="4E2826C0"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Feb-17</w:t>
            </w:r>
          </w:p>
        </w:tc>
        <w:tc>
          <w:tcPr>
            <w:tcW w:w="91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75637FA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24</w:t>
            </w:r>
          </w:p>
        </w:tc>
        <w:tc>
          <w:tcPr>
            <w:tcW w:w="82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0524CC5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w:t>
            </w:r>
          </w:p>
        </w:tc>
        <w:tc>
          <w:tcPr>
            <w:tcW w:w="99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6FC0C32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13%</w:t>
            </w:r>
          </w:p>
        </w:tc>
        <w:tc>
          <w:tcPr>
            <w:tcW w:w="945"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510BB84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39%</w:t>
            </w:r>
          </w:p>
        </w:tc>
        <w:tc>
          <w:tcPr>
            <w:tcW w:w="1482"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49A9B1F2" w14:textId="49A05EB1" w:rsidR="00F56AC9" w:rsidRDefault="0038142C"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0E1C5A33" w14:textId="250FDA59" w:rsidR="00F56AC9" w:rsidRDefault="0038142C"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22%</w:t>
            </w:r>
          </w:p>
        </w:tc>
        <w:tc>
          <w:tcPr>
            <w:tcW w:w="135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70BCFC5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18%</w:t>
            </w:r>
          </w:p>
        </w:tc>
        <w:tc>
          <w:tcPr>
            <w:tcW w:w="117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1D2A719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45%</w:t>
            </w:r>
          </w:p>
        </w:tc>
        <w:tc>
          <w:tcPr>
            <w:tcW w:w="1260" w:type="dxa"/>
            <w:tcBorders>
              <w:top w:val="single" w:sz="6" w:space="0" w:color="CCCCCC"/>
              <w:left w:val="single" w:sz="6" w:space="0" w:color="CCCCCC"/>
              <w:bottom w:val="single" w:sz="6" w:space="0" w:color="CCCCCC"/>
              <w:right w:val="single" w:sz="6" w:space="0" w:color="CCCCCC"/>
            </w:tcBorders>
            <w:tcMar>
              <w:top w:w="43" w:type="dxa"/>
              <w:left w:w="43" w:type="dxa"/>
              <w:bottom w:w="43" w:type="dxa"/>
              <w:right w:w="43" w:type="dxa"/>
            </w:tcMar>
          </w:tcPr>
          <w:p w14:paraId="0053DC9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39%</w:t>
            </w:r>
          </w:p>
        </w:tc>
      </w:tr>
    </w:tbl>
    <w:p w14:paraId="5BF6C35B" w14:textId="77777777" w:rsidR="00F56AC9" w:rsidRDefault="00F56AC9" w:rsidP="00F56AC9">
      <w:pPr>
        <w:pStyle w:val="normal0"/>
        <w:spacing w:before="200"/>
        <w:ind w:left="1440" w:firstLine="720"/>
        <w:rPr>
          <w:rFonts w:ascii="Calibri" w:eastAsia="Calibri" w:hAnsi="Calibri" w:cs="Calibri"/>
          <w:b/>
          <w:sz w:val="22"/>
          <w:szCs w:val="22"/>
        </w:rPr>
      </w:pPr>
    </w:p>
    <w:p w14:paraId="24B17159" w14:textId="4C45BF58" w:rsidR="00F56AC9" w:rsidRDefault="00F56AC9" w:rsidP="00F56AC9">
      <w:pPr>
        <w:pStyle w:val="normal0"/>
        <w:spacing w:before="200"/>
        <w:jc w:val="center"/>
        <w:rPr>
          <w:sz w:val="26"/>
          <w:szCs w:val="26"/>
        </w:rPr>
      </w:pPr>
      <w:r>
        <w:rPr>
          <w:rFonts w:ascii="Calibri" w:eastAsia="Calibri" w:hAnsi="Calibri" w:cs="Calibri"/>
          <w:b/>
          <w:sz w:val="22"/>
          <w:szCs w:val="22"/>
        </w:rPr>
        <w:lastRenderedPageBreak/>
        <w:t>California Bar Exam - Comparative Overall Pass Rates</w:t>
      </w:r>
      <w:r>
        <w:rPr>
          <w:rFonts w:ascii="Calibri" w:eastAsia="Calibri" w:hAnsi="Calibri" w:cs="Calibri"/>
          <w:b/>
          <w:sz w:val="22"/>
          <w:szCs w:val="22"/>
          <w:vertAlign w:val="superscript"/>
        </w:rPr>
        <w:footnoteReference w:id="14"/>
      </w:r>
    </w:p>
    <w:tbl>
      <w:tblPr>
        <w:tblStyle w:val="a3"/>
        <w:tblW w:w="10872" w:type="dxa"/>
        <w:tblBorders>
          <w:top w:val="nil"/>
          <w:left w:val="nil"/>
          <w:bottom w:val="nil"/>
          <w:right w:val="nil"/>
          <w:insideH w:val="nil"/>
          <w:insideV w:val="nil"/>
        </w:tblBorders>
        <w:tblLayout w:type="fixed"/>
        <w:tblLook w:val="0600" w:firstRow="0" w:lastRow="0" w:firstColumn="0" w:lastColumn="0" w:noHBand="1" w:noVBand="1"/>
      </w:tblPr>
      <w:tblGrid>
        <w:gridCol w:w="675"/>
        <w:gridCol w:w="915"/>
        <w:gridCol w:w="825"/>
        <w:gridCol w:w="990"/>
        <w:gridCol w:w="945"/>
        <w:gridCol w:w="1392"/>
        <w:gridCol w:w="1350"/>
        <w:gridCol w:w="1350"/>
        <w:gridCol w:w="1170"/>
        <w:gridCol w:w="1260"/>
      </w:tblGrid>
      <w:tr w:rsidR="00F56AC9" w14:paraId="36376847" w14:textId="77777777" w:rsidTr="00F56AC9">
        <w:tc>
          <w:tcPr>
            <w:tcW w:w="675" w:type="dxa"/>
            <w:tcBorders>
              <w:top w:val="single" w:sz="6" w:space="0" w:color="CCCCCC"/>
              <w:left w:val="single" w:sz="6" w:space="0" w:color="CCCCCC"/>
              <w:bottom w:val="single" w:sz="6" w:space="0" w:color="CCCCCC"/>
              <w:right w:val="single" w:sz="6" w:space="0" w:color="CCCCCC"/>
            </w:tcBorders>
            <w:shd w:val="clear" w:color="auto" w:fill="0A487D"/>
            <w:tcMar>
              <w:top w:w="72" w:type="dxa"/>
              <w:left w:w="72" w:type="dxa"/>
              <w:bottom w:w="72" w:type="dxa"/>
              <w:right w:w="72" w:type="dxa"/>
            </w:tcMar>
          </w:tcPr>
          <w:p w14:paraId="46561D67" w14:textId="77777777" w:rsidR="00F56AC9" w:rsidRDefault="00F56AC9" w:rsidP="00F56AC9">
            <w:pPr>
              <w:pStyle w:val="normal0"/>
              <w:ind w:left="-140"/>
              <w:jc w:val="center"/>
              <w:rPr>
                <w:rFonts w:ascii="Calibri" w:eastAsia="Calibri" w:hAnsi="Calibri" w:cs="Calibri"/>
                <w:b/>
                <w:color w:val="FFFFFF"/>
                <w:sz w:val="20"/>
                <w:szCs w:val="20"/>
                <w:shd w:val="clear" w:color="auto" w:fill="0A487D"/>
              </w:rPr>
            </w:pPr>
            <w:r>
              <w:rPr>
                <w:rFonts w:ascii="Calibri" w:eastAsia="Calibri" w:hAnsi="Calibri" w:cs="Calibri"/>
                <w:b/>
                <w:color w:val="FFFFFF"/>
                <w:sz w:val="20"/>
                <w:szCs w:val="20"/>
                <w:shd w:val="clear" w:color="auto" w:fill="0A487D"/>
              </w:rPr>
              <w:t>Exam Date</w:t>
            </w:r>
          </w:p>
        </w:tc>
        <w:tc>
          <w:tcPr>
            <w:tcW w:w="915" w:type="dxa"/>
            <w:tcBorders>
              <w:top w:val="single" w:sz="6" w:space="0" w:color="CCCCCC"/>
              <w:left w:val="single" w:sz="6" w:space="0" w:color="CCCCCC"/>
              <w:bottom w:val="single" w:sz="6" w:space="0" w:color="CCCCCC"/>
              <w:right w:val="single" w:sz="6" w:space="0" w:color="CCCCCC"/>
            </w:tcBorders>
            <w:shd w:val="clear" w:color="auto" w:fill="0A487D"/>
            <w:tcMar>
              <w:top w:w="72" w:type="dxa"/>
              <w:left w:w="72" w:type="dxa"/>
              <w:bottom w:w="72" w:type="dxa"/>
              <w:right w:w="72" w:type="dxa"/>
            </w:tcMar>
          </w:tcPr>
          <w:p w14:paraId="70B2C97D" w14:textId="77777777" w:rsidR="00F56AC9" w:rsidRDefault="00F56AC9" w:rsidP="00F56AC9">
            <w:pPr>
              <w:pStyle w:val="normal0"/>
              <w:ind w:left="-140"/>
              <w:jc w:val="center"/>
              <w:rPr>
                <w:rFonts w:ascii="Calibri" w:eastAsia="Calibri" w:hAnsi="Calibri" w:cs="Calibri"/>
                <w:b/>
                <w:color w:val="FFFFFF"/>
                <w:sz w:val="20"/>
                <w:szCs w:val="20"/>
                <w:shd w:val="clear" w:color="auto" w:fill="0A487D"/>
              </w:rPr>
            </w:pPr>
            <w:r>
              <w:rPr>
                <w:rFonts w:ascii="Calibri" w:eastAsia="Calibri" w:hAnsi="Calibri" w:cs="Calibri"/>
                <w:b/>
                <w:color w:val="FFFFFF"/>
                <w:sz w:val="20"/>
                <w:szCs w:val="20"/>
                <w:shd w:val="clear" w:color="auto" w:fill="0A487D"/>
              </w:rPr>
              <w:t>CLS Overall Takers</w:t>
            </w:r>
          </w:p>
        </w:tc>
        <w:tc>
          <w:tcPr>
            <w:tcW w:w="825" w:type="dxa"/>
            <w:tcBorders>
              <w:top w:val="single" w:sz="6" w:space="0" w:color="CCCCCC"/>
              <w:left w:val="single" w:sz="6" w:space="0" w:color="CCCCCC"/>
              <w:bottom w:val="single" w:sz="6" w:space="0" w:color="CCCCCC"/>
              <w:right w:val="single" w:sz="6" w:space="0" w:color="CCCCCC"/>
            </w:tcBorders>
            <w:shd w:val="clear" w:color="auto" w:fill="0A487D"/>
            <w:tcMar>
              <w:top w:w="72" w:type="dxa"/>
              <w:left w:w="72" w:type="dxa"/>
              <w:bottom w:w="72" w:type="dxa"/>
              <w:right w:w="72" w:type="dxa"/>
            </w:tcMar>
          </w:tcPr>
          <w:p w14:paraId="15E8AEC8" w14:textId="77777777" w:rsidR="00F56AC9" w:rsidRDefault="00F56AC9" w:rsidP="00F56AC9">
            <w:pPr>
              <w:pStyle w:val="normal0"/>
              <w:ind w:left="-140"/>
              <w:jc w:val="center"/>
              <w:rPr>
                <w:rFonts w:ascii="Calibri" w:eastAsia="Calibri" w:hAnsi="Calibri" w:cs="Calibri"/>
                <w:b/>
                <w:color w:val="FFFFFF"/>
                <w:sz w:val="20"/>
                <w:szCs w:val="20"/>
                <w:shd w:val="clear" w:color="auto" w:fill="0A487D"/>
              </w:rPr>
            </w:pPr>
            <w:r>
              <w:rPr>
                <w:rFonts w:ascii="Calibri" w:eastAsia="Calibri" w:hAnsi="Calibri" w:cs="Calibri"/>
                <w:b/>
                <w:color w:val="FFFFFF"/>
                <w:sz w:val="20"/>
                <w:szCs w:val="20"/>
                <w:shd w:val="clear" w:color="auto" w:fill="0A487D"/>
              </w:rPr>
              <w:t>CLS Overall Passers</w:t>
            </w:r>
          </w:p>
        </w:tc>
        <w:tc>
          <w:tcPr>
            <w:tcW w:w="990" w:type="dxa"/>
            <w:tcBorders>
              <w:top w:val="single" w:sz="6" w:space="0" w:color="CCCCCC"/>
              <w:left w:val="single" w:sz="6" w:space="0" w:color="CCCCCC"/>
              <w:bottom w:val="single" w:sz="6" w:space="0" w:color="CCCCCC"/>
              <w:right w:val="single" w:sz="6" w:space="0" w:color="CCCCCC"/>
            </w:tcBorders>
            <w:shd w:val="clear" w:color="auto" w:fill="0A487D"/>
            <w:tcMar>
              <w:top w:w="72" w:type="dxa"/>
              <w:left w:w="72" w:type="dxa"/>
              <w:bottom w:w="72" w:type="dxa"/>
              <w:right w:w="72" w:type="dxa"/>
            </w:tcMar>
          </w:tcPr>
          <w:p w14:paraId="1A85F790" w14:textId="77777777" w:rsidR="00F56AC9" w:rsidRDefault="00F56AC9" w:rsidP="00F56AC9">
            <w:pPr>
              <w:pStyle w:val="normal0"/>
              <w:ind w:left="-140"/>
              <w:jc w:val="center"/>
              <w:rPr>
                <w:rFonts w:ascii="Calibri" w:eastAsia="Calibri" w:hAnsi="Calibri" w:cs="Calibri"/>
                <w:b/>
                <w:color w:val="FFFFFF"/>
                <w:sz w:val="20"/>
                <w:szCs w:val="20"/>
                <w:shd w:val="clear" w:color="auto" w:fill="0A487D"/>
              </w:rPr>
            </w:pPr>
            <w:r>
              <w:rPr>
                <w:rFonts w:ascii="Calibri" w:eastAsia="Calibri" w:hAnsi="Calibri" w:cs="Calibri"/>
                <w:b/>
                <w:color w:val="FFFFFF"/>
                <w:sz w:val="20"/>
                <w:szCs w:val="20"/>
                <w:shd w:val="clear" w:color="auto" w:fill="0A487D"/>
              </w:rPr>
              <w:t>CLS Overall Pass Rate</w:t>
            </w:r>
          </w:p>
        </w:tc>
        <w:tc>
          <w:tcPr>
            <w:tcW w:w="945" w:type="dxa"/>
            <w:tcBorders>
              <w:top w:val="single" w:sz="6" w:space="0" w:color="CCCCCC"/>
              <w:left w:val="single" w:sz="6" w:space="0" w:color="CCCCCC"/>
              <w:bottom w:val="single" w:sz="6" w:space="0" w:color="CCCCCC"/>
              <w:right w:val="single" w:sz="6" w:space="0" w:color="CCCCCC"/>
            </w:tcBorders>
            <w:shd w:val="clear" w:color="auto" w:fill="0A487D"/>
            <w:tcMar>
              <w:top w:w="72" w:type="dxa"/>
              <w:left w:w="72" w:type="dxa"/>
              <w:bottom w:w="72" w:type="dxa"/>
              <w:right w:w="72" w:type="dxa"/>
            </w:tcMar>
          </w:tcPr>
          <w:p w14:paraId="20771F0A" w14:textId="77777777" w:rsidR="00F56AC9" w:rsidRDefault="00F56AC9" w:rsidP="00F56AC9">
            <w:pPr>
              <w:pStyle w:val="normal0"/>
              <w:ind w:left="-140"/>
              <w:jc w:val="center"/>
              <w:rPr>
                <w:rFonts w:ascii="Calibri" w:eastAsia="Calibri" w:hAnsi="Calibri" w:cs="Calibri"/>
                <w:b/>
                <w:color w:val="FFFFFF"/>
                <w:sz w:val="20"/>
                <w:szCs w:val="20"/>
                <w:shd w:val="clear" w:color="auto" w:fill="0A487D"/>
              </w:rPr>
            </w:pPr>
            <w:r>
              <w:rPr>
                <w:rFonts w:ascii="Calibri" w:eastAsia="Calibri" w:hAnsi="Calibri" w:cs="Calibri"/>
                <w:b/>
                <w:color w:val="FFFFFF"/>
                <w:sz w:val="20"/>
                <w:szCs w:val="20"/>
                <w:shd w:val="clear" w:color="auto" w:fill="0A487D"/>
              </w:rPr>
              <w:t>Overall Pass Rate All Takers</w:t>
            </w:r>
          </w:p>
        </w:tc>
        <w:tc>
          <w:tcPr>
            <w:tcW w:w="1392" w:type="dxa"/>
            <w:tcBorders>
              <w:top w:val="single" w:sz="6" w:space="0" w:color="CCCCCC"/>
              <w:left w:val="single" w:sz="6" w:space="0" w:color="CCCCCC"/>
              <w:bottom w:val="single" w:sz="6" w:space="0" w:color="CCCCCC"/>
              <w:right w:val="single" w:sz="6" w:space="0" w:color="CCCCCC"/>
            </w:tcBorders>
            <w:shd w:val="clear" w:color="auto" w:fill="0A487D"/>
            <w:tcMar>
              <w:top w:w="72" w:type="dxa"/>
              <w:left w:w="72" w:type="dxa"/>
              <w:bottom w:w="72" w:type="dxa"/>
              <w:right w:w="72" w:type="dxa"/>
            </w:tcMar>
          </w:tcPr>
          <w:p w14:paraId="14EE804D" w14:textId="77777777" w:rsidR="00F56AC9" w:rsidRDefault="00F56AC9" w:rsidP="00F56AC9">
            <w:pPr>
              <w:pStyle w:val="normal0"/>
              <w:ind w:left="-140"/>
              <w:jc w:val="center"/>
              <w:rPr>
                <w:rFonts w:ascii="Calibri" w:eastAsia="Calibri" w:hAnsi="Calibri" w:cs="Calibri"/>
                <w:b/>
                <w:color w:val="FFFFFF"/>
                <w:sz w:val="21"/>
                <w:szCs w:val="21"/>
                <w:shd w:val="clear" w:color="auto" w:fill="0A487D"/>
              </w:rPr>
            </w:pPr>
            <w:r>
              <w:rPr>
                <w:rFonts w:ascii="Calibri" w:eastAsia="Calibri" w:hAnsi="Calibri" w:cs="Calibri"/>
                <w:b/>
                <w:color w:val="FFFFFF"/>
                <w:sz w:val="21"/>
                <w:szCs w:val="21"/>
                <w:shd w:val="clear" w:color="auto" w:fill="0A487D"/>
              </w:rPr>
              <w:t>Overall Pass Rate Unaccredited Distance Learning</w:t>
            </w:r>
          </w:p>
        </w:tc>
        <w:tc>
          <w:tcPr>
            <w:tcW w:w="1350" w:type="dxa"/>
            <w:tcBorders>
              <w:top w:val="single" w:sz="6" w:space="0" w:color="CCCCCC"/>
              <w:left w:val="single" w:sz="6" w:space="0" w:color="CCCCCC"/>
              <w:bottom w:val="single" w:sz="6" w:space="0" w:color="CCCCCC"/>
              <w:right w:val="single" w:sz="6" w:space="0" w:color="CCCCCC"/>
            </w:tcBorders>
            <w:shd w:val="clear" w:color="auto" w:fill="0A487D"/>
            <w:tcMar>
              <w:top w:w="72" w:type="dxa"/>
              <w:left w:w="72" w:type="dxa"/>
              <w:bottom w:w="72" w:type="dxa"/>
              <w:right w:w="72" w:type="dxa"/>
            </w:tcMar>
          </w:tcPr>
          <w:p w14:paraId="1CBCD042" w14:textId="77777777" w:rsidR="00F56AC9" w:rsidRDefault="00F56AC9" w:rsidP="00F56AC9">
            <w:pPr>
              <w:pStyle w:val="normal0"/>
              <w:ind w:left="-140"/>
              <w:jc w:val="center"/>
              <w:rPr>
                <w:rFonts w:ascii="Calibri" w:eastAsia="Calibri" w:hAnsi="Calibri" w:cs="Calibri"/>
                <w:b/>
                <w:color w:val="FFFFFF"/>
                <w:sz w:val="21"/>
                <w:szCs w:val="21"/>
                <w:shd w:val="clear" w:color="auto" w:fill="0A487D"/>
              </w:rPr>
            </w:pPr>
            <w:r>
              <w:rPr>
                <w:rFonts w:ascii="Calibri" w:eastAsia="Calibri" w:hAnsi="Calibri" w:cs="Calibri"/>
                <w:b/>
                <w:color w:val="FFFFFF"/>
                <w:sz w:val="21"/>
                <w:szCs w:val="21"/>
                <w:shd w:val="clear" w:color="auto" w:fill="0A487D"/>
              </w:rPr>
              <w:t>Overall Pass Rate Unaccredited--All</w:t>
            </w:r>
          </w:p>
        </w:tc>
        <w:tc>
          <w:tcPr>
            <w:tcW w:w="1350" w:type="dxa"/>
            <w:tcBorders>
              <w:top w:val="single" w:sz="6" w:space="0" w:color="CCCCCC"/>
              <w:left w:val="single" w:sz="6" w:space="0" w:color="CCCCCC"/>
              <w:bottom w:val="single" w:sz="6" w:space="0" w:color="CCCCCC"/>
              <w:right w:val="single" w:sz="6" w:space="0" w:color="CCCCCC"/>
            </w:tcBorders>
            <w:shd w:val="clear" w:color="auto" w:fill="0A487D"/>
            <w:tcMar>
              <w:top w:w="72" w:type="dxa"/>
              <w:left w:w="72" w:type="dxa"/>
              <w:bottom w:w="72" w:type="dxa"/>
              <w:right w:w="72" w:type="dxa"/>
            </w:tcMar>
          </w:tcPr>
          <w:p w14:paraId="128E35FE" w14:textId="77777777" w:rsidR="00F56AC9" w:rsidRDefault="00F56AC9" w:rsidP="00F56AC9">
            <w:pPr>
              <w:pStyle w:val="normal0"/>
              <w:ind w:left="-140"/>
              <w:jc w:val="center"/>
              <w:rPr>
                <w:rFonts w:ascii="Calibri" w:eastAsia="Calibri" w:hAnsi="Calibri" w:cs="Calibri"/>
                <w:b/>
                <w:color w:val="FFFFFF"/>
                <w:sz w:val="21"/>
                <w:szCs w:val="21"/>
                <w:shd w:val="clear" w:color="auto" w:fill="0A487D"/>
              </w:rPr>
            </w:pPr>
            <w:r>
              <w:rPr>
                <w:rFonts w:ascii="Calibri" w:eastAsia="Calibri" w:hAnsi="Calibri" w:cs="Calibri"/>
                <w:b/>
                <w:color w:val="FFFFFF"/>
                <w:sz w:val="21"/>
                <w:szCs w:val="21"/>
                <w:shd w:val="clear" w:color="auto" w:fill="0A487D"/>
              </w:rPr>
              <w:t>Overall Pass Rate California- Accredited</w:t>
            </w:r>
          </w:p>
        </w:tc>
        <w:tc>
          <w:tcPr>
            <w:tcW w:w="1170" w:type="dxa"/>
            <w:tcBorders>
              <w:top w:val="single" w:sz="6" w:space="0" w:color="CCCCCC"/>
              <w:left w:val="single" w:sz="6" w:space="0" w:color="CCCCCC"/>
              <w:bottom w:val="single" w:sz="6" w:space="0" w:color="CCCCCC"/>
              <w:right w:val="single" w:sz="6" w:space="0" w:color="CCCCCC"/>
            </w:tcBorders>
            <w:shd w:val="clear" w:color="auto" w:fill="0A487D"/>
            <w:tcMar>
              <w:top w:w="72" w:type="dxa"/>
              <w:left w:w="72" w:type="dxa"/>
              <w:bottom w:w="72" w:type="dxa"/>
              <w:right w:w="72" w:type="dxa"/>
            </w:tcMar>
          </w:tcPr>
          <w:p w14:paraId="74BA05B8" w14:textId="77777777" w:rsidR="00F56AC9" w:rsidRDefault="00F56AC9" w:rsidP="00F56AC9">
            <w:pPr>
              <w:pStyle w:val="normal0"/>
              <w:ind w:left="-140"/>
              <w:jc w:val="center"/>
              <w:rPr>
                <w:rFonts w:ascii="Calibri" w:eastAsia="Calibri" w:hAnsi="Calibri" w:cs="Calibri"/>
                <w:b/>
                <w:color w:val="FFFFFF"/>
                <w:sz w:val="21"/>
                <w:szCs w:val="21"/>
                <w:shd w:val="clear" w:color="auto" w:fill="0A487D"/>
              </w:rPr>
            </w:pPr>
            <w:r>
              <w:rPr>
                <w:rFonts w:ascii="Calibri" w:eastAsia="Calibri" w:hAnsi="Calibri" w:cs="Calibri"/>
                <w:b/>
                <w:color w:val="FFFFFF"/>
                <w:sz w:val="21"/>
                <w:szCs w:val="21"/>
                <w:shd w:val="clear" w:color="auto" w:fill="0A487D"/>
              </w:rPr>
              <w:t>Overall Pass Rate ABA (In-State)</w:t>
            </w:r>
          </w:p>
        </w:tc>
        <w:tc>
          <w:tcPr>
            <w:tcW w:w="1260" w:type="dxa"/>
            <w:tcBorders>
              <w:top w:val="single" w:sz="6" w:space="0" w:color="CCCCCC"/>
              <w:left w:val="single" w:sz="6" w:space="0" w:color="CCCCCC"/>
              <w:bottom w:val="single" w:sz="6" w:space="0" w:color="CCCCCC"/>
              <w:right w:val="single" w:sz="6" w:space="0" w:color="CCCCCC"/>
            </w:tcBorders>
            <w:shd w:val="clear" w:color="auto" w:fill="0A487D"/>
            <w:tcMar>
              <w:top w:w="72" w:type="dxa"/>
              <w:left w:w="72" w:type="dxa"/>
              <w:bottom w:w="72" w:type="dxa"/>
              <w:right w:w="72" w:type="dxa"/>
            </w:tcMar>
          </w:tcPr>
          <w:p w14:paraId="1F7A69BE" w14:textId="77777777" w:rsidR="00F56AC9" w:rsidRDefault="00F56AC9" w:rsidP="00F56AC9">
            <w:pPr>
              <w:pStyle w:val="normal0"/>
              <w:ind w:left="-140"/>
              <w:jc w:val="center"/>
              <w:rPr>
                <w:rFonts w:ascii="Calibri" w:eastAsia="Calibri" w:hAnsi="Calibri" w:cs="Calibri"/>
                <w:b/>
                <w:color w:val="FFFFFF"/>
                <w:sz w:val="21"/>
                <w:szCs w:val="21"/>
                <w:shd w:val="clear" w:color="auto" w:fill="0A487D"/>
              </w:rPr>
            </w:pPr>
            <w:r>
              <w:rPr>
                <w:rFonts w:ascii="Calibri" w:eastAsia="Calibri" w:hAnsi="Calibri" w:cs="Calibri"/>
                <w:b/>
                <w:color w:val="FFFFFF"/>
                <w:sz w:val="21"/>
                <w:szCs w:val="21"/>
                <w:shd w:val="clear" w:color="auto" w:fill="0A487D"/>
              </w:rPr>
              <w:t>Overall Pass Rate ABA (Non-CA)</w:t>
            </w:r>
          </w:p>
        </w:tc>
      </w:tr>
      <w:tr w:rsidR="00F56AC9" w14:paraId="5EAF0489" w14:textId="77777777" w:rsidTr="00F56AC9">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43" w:type="dxa"/>
              <w:right w:w="29" w:type="dxa"/>
            </w:tcMar>
          </w:tcPr>
          <w:p w14:paraId="06A845DC"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Feb-03</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008CC92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10</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340D10B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7448185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60%</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0CDBE79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92"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6B4F68E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6077A3A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68CF348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701F3BF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794B740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r>
      <w:tr w:rsidR="00F56AC9" w14:paraId="2D6C1011" w14:textId="77777777" w:rsidTr="00F56AC9">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43" w:type="dxa"/>
              <w:right w:w="29" w:type="dxa"/>
            </w:tcMar>
          </w:tcPr>
          <w:p w14:paraId="7B4DED6F"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Jul-03</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779AAA3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5</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0380F99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05F3E83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20%</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791FDE4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92"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569ECC9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251AA5E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0A5A5BF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4787DC0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4211516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r>
      <w:tr w:rsidR="00F56AC9" w14:paraId="32D43107" w14:textId="77777777" w:rsidTr="00F56AC9">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43" w:type="dxa"/>
              <w:right w:w="29" w:type="dxa"/>
            </w:tcMar>
          </w:tcPr>
          <w:p w14:paraId="25B1327F"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Feb-04</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19EAEF3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19</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64E7792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8</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1F1FB02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42%</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1DB579A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92"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56079E1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7D49476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7F44185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7266EC8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718C6A3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r>
      <w:tr w:rsidR="00F56AC9" w14:paraId="24A85FF5" w14:textId="77777777" w:rsidTr="00F56AC9">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43" w:type="dxa"/>
              <w:right w:w="29" w:type="dxa"/>
            </w:tcMar>
          </w:tcPr>
          <w:p w14:paraId="11699A0F"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Jul-04</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1B47F3F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26</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3267EFC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10</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586667F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38%</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6BAFD4F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92"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538AA85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0969789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2E44D27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2149DD6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29BF22D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r>
      <w:tr w:rsidR="00F56AC9" w14:paraId="34DF7091" w14:textId="77777777" w:rsidTr="00F56AC9">
        <w:trPr>
          <w:trHeight w:val="260"/>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43" w:type="dxa"/>
              <w:right w:w="29" w:type="dxa"/>
            </w:tcMar>
          </w:tcPr>
          <w:p w14:paraId="6A760947"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Feb-05</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4D4EC96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52</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629046E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24</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53FC323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46%</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0D1FCB0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92"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17BC1A2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2644A29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321D37F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25F8EDC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59C6A61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r>
      <w:tr w:rsidR="00F56AC9" w14:paraId="33908987" w14:textId="77777777" w:rsidTr="00F56AC9">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43" w:type="dxa"/>
              <w:right w:w="29" w:type="dxa"/>
            </w:tcMar>
          </w:tcPr>
          <w:p w14:paraId="7AEE2FD5"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Jul-05</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1EADF15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60</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120FA2D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12</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7CE6F9F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20%</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440FFC6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92"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3452D18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683C5D1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6ECD092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4AE54BC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5997E74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r>
      <w:tr w:rsidR="00F56AC9" w14:paraId="312EEAEB" w14:textId="77777777" w:rsidTr="00F56AC9">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43" w:type="dxa"/>
              <w:right w:w="29" w:type="dxa"/>
            </w:tcMar>
          </w:tcPr>
          <w:p w14:paraId="4AF8C7C0"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Feb-06</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4513E41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83</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27215FC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29</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46643BF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35%</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0E5C86E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92"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0EB063E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1FF449F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79C5538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2223407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3D6D9D0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r>
      <w:tr w:rsidR="00F56AC9" w14:paraId="7BC1FE48" w14:textId="77777777" w:rsidTr="00F56AC9">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43" w:type="dxa"/>
              <w:right w:w="29" w:type="dxa"/>
            </w:tcMar>
          </w:tcPr>
          <w:p w14:paraId="6FF70220"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Jul-06</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72196DC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66</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5495315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15</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7A931D3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23%</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78D59B4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92"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35B3D9C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4FB6640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2329793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091B8CF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00FCC29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r>
      <w:tr w:rsidR="00F56AC9" w14:paraId="7CA1F3F5" w14:textId="77777777" w:rsidTr="00F56AC9">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43" w:type="dxa"/>
              <w:right w:w="29" w:type="dxa"/>
            </w:tcMar>
          </w:tcPr>
          <w:p w14:paraId="5C4511C8"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Feb-07</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60C8142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111</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76BAD91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35</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7928146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32%</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11A3E91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37%</w:t>
            </w:r>
          </w:p>
        </w:tc>
        <w:tc>
          <w:tcPr>
            <w:tcW w:w="1392"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5833102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3A002D8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18%</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33DF105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15%</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0F83EA2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45%</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52BB75C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40%</w:t>
            </w:r>
          </w:p>
        </w:tc>
      </w:tr>
      <w:tr w:rsidR="00F56AC9" w14:paraId="4118D4C5" w14:textId="77777777" w:rsidTr="00F56AC9">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43" w:type="dxa"/>
              <w:right w:w="29" w:type="dxa"/>
            </w:tcMar>
          </w:tcPr>
          <w:p w14:paraId="6C1905B2"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Jul-07</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16FC7C1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74</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6F30827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22</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330B38A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30%</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508A061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56%</w:t>
            </w:r>
          </w:p>
        </w:tc>
        <w:tc>
          <w:tcPr>
            <w:tcW w:w="1392"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5A19420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1606E8E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15%</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2222928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18%</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235C3B5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67%</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245DE4A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58%</w:t>
            </w:r>
          </w:p>
        </w:tc>
      </w:tr>
      <w:tr w:rsidR="00F56AC9" w14:paraId="6BAF5892" w14:textId="77777777" w:rsidTr="00F56AC9">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43" w:type="dxa"/>
              <w:right w:w="29" w:type="dxa"/>
            </w:tcMar>
          </w:tcPr>
          <w:p w14:paraId="70A77310"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Feb-08</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62F6236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137</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17B9D4C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42</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4F23C6E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31%</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2A918C9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40%</w:t>
            </w:r>
          </w:p>
        </w:tc>
        <w:tc>
          <w:tcPr>
            <w:tcW w:w="1392"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2CCC4BF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24%</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3489F50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16%</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2B8ADCC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18%</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094464B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47%</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1FD93AB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44%</w:t>
            </w:r>
          </w:p>
        </w:tc>
      </w:tr>
      <w:tr w:rsidR="00F56AC9" w14:paraId="17737F37" w14:textId="77777777" w:rsidTr="00F56AC9">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43" w:type="dxa"/>
              <w:right w:w="29" w:type="dxa"/>
            </w:tcMar>
          </w:tcPr>
          <w:p w14:paraId="40E5D92B"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Jul-08</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4CC9117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102</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58B03A6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30</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7BBD6D6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29%</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2D1A655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62%</w:t>
            </w:r>
          </w:p>
        </w:tc>
        <w:tc>
          <w:tcPr>
            <w:tcW w:w="1392"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68AF073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22%</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1DB564F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21%</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52EEF4E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25%</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3435287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74%</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765E371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65%</w:t>
            </w:r>
          </w:p>
        </w:tc>
      </w:tr>
      <w:tr w:rsidR="00F56AC9" w14:paraId="145506BA" w14:textId="77777777" w:rsidTr="00F56AC9">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43" w:type="dxa"/>
              <w:right w:w="29" w:type="dxa"/>
            </w:tcMar>
          </w:tcPr>
          <w:p w14:paraId="44E41428"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Feb-09</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7CE61EB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109</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2334562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30</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29DAC92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28%</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4963979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34%</w:t>
            </w:r>
          </w:p>
        </w:tc>
        <w:tc>
          <w:tcPr>
            <w:tcW w:w="1392"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0CBC2F9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19%</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2A7A674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20%</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34D819A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14%</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615E05B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43%</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6F0E580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37%</w:t>
            </w:r>
          </w:p>
        </w:tc>
      </w:tr>
      <w:tr w:rsidR="00F56AC9" w14:paraId="1C182987" w14:textId="77777777" w:rsidTr="00F56AC9">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43" w:type="dxa"/>
              <w:right w:w="29" w:type="dxa"/>
            </w:tcMar>
          </w:tcPr>
          <w:p w14:paraId="1CEFC7F1"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Jul-09</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35D62F2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104</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74DB093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31</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11FE337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30%</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600A237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56%</w:t>
            </w:r>
          </w:p>
        </w:tc>
        <w:tc>
          <w:tcPr>
            <w:tcW w:w="1392"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7FFE888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21%</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62C7B0A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16%</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21CFDC6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21%</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3E46C23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70%</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3B969D2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60%</w:t>
            </w:r>
          </w:p>
        </w:tc>
      </w:tr>
      <w:tr w:rsidR="00F56AC9" w14:paraId="3A1A279C" w14:textId="77777777" w:rsidTr="00F56AC9">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43" w:type="dxa"/>
              <w:right w:w="29" w:type="dxa"/>
            </w:tcMar>
          </w:tcPr>
          <w:p w14:paraId="65FDEEA4"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Feb-10</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59B8F82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124</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28158DB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25</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5DEAAE9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20%</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0F390CD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37%</w:t>
            </w:r>
          </w:p>
        </w:tc>
        <w:tc>
          <w:tcPr>
            <w:tcW w:w="1392"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1AAF0F4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17%</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48E9782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15%</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3FB3187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21%</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54BEF5E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49%</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3CEBB8B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39%</w:t>
            </w:r>
          </w:p>
        </w:tc>
      </w:tr>
      <w:tr w:rsidR="00F56AC9" w14:paraId="00BF145C" w14:textId="77777777" w:rsidTr="00F56AC9">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43" w:type="dxa"/>
              <w:right w:w="29" w:type="dxa"/>
            </w:tcMar>
          </w:tcPr>
          <w:p w14:paraId="186E716D"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Jul-10</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60022FB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118</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4EECBC5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22</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6B025F6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19%</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5512A75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55%</w:t>
            </w:r>
          </w:p>
        </w:tc>
        <w:tc>
          <w:tcPr>
            <w:tcW w:w="1392"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47A9B18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16%</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540D7A5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13%</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241B28B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22%</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40F57E1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68%</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24F25BF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58%</w:t>
            </w:r>
          </w:p>
        </w:tc>
      </w:tr>
      <w:tr w:rsidR="00F56AC9" w14:paraId="30767D11" w14:textId="77777777" w:rsidTr="00F56AC9">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43" w:type="dxa"/>
              <w:right w:w="29" w:type="dxa"/>
            </w:tcMar>
          </w:tcPr>
          <w:p w14:paraId="3D7CCA0A"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Feb-11</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775FB97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119</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2E5A519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29</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59F8B50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24%</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354640C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42%</w:t>
            </w:r>
          </w:p>
        </w:tc>
        <w:tc>
          <w:tcPr>
            <w:tcW w:w="1392"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632F438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18%</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273F090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17%</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38495F9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21%</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71E4800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54%</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6610E03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47%</w:t>
            </w:r>
          </w:p>
        </w:tc>
      </w:tr>
      <w:tr w:rsidR="00F56AC9" w14:paraId="142B7492" w14:textId="77777777" w:rsidTr="00F56AC9">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43" w:type="dxa"/>
              <w:right w:w="29" w:type="dxa"/>
            </w:tcMar>
          </w:tcPr>
          <w:p w14:paraId="4CA8BBE8"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Jul-11</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003D9F1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109</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570D90E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14</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3E7C82F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13%</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49B9744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55%</w:t>
            </w:r>
          </w:p>
        </w:tc>
        <w:tc>
          <w:tcPr>
            <w:tcW w:w="1392"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6AADCDB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12%</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28BA834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11%</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164A4C4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19%</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3B5CF65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68%</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78634A6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57%</w:t>
            </w:r>
          </w:p>
        </w:tc>
      </w:tr>
      <w:tr w:rsidR="00F56AC9" w14:paraId="663D594B" w14:textId="77777777" w:rsidTr="00F56AC9">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43" w:type="dxa"/>
              <w:right w:w="29" w:type="dxa"/>
            </w:tcMar>
          </w:tcPr>
          <w:p w14:paraId="6223BC69"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Feb-12</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0FFFEAE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125</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67E362D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27</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195340B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22%</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29E6CDA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42%</w:t>
            </w:r>
          </w:p>
        </w:tc>
        <w:tc>
          <w:tcPr>
            <w:tcW w:w="1392"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166C4E5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19%</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5406552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19%</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11FE2C3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26%</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5EF3DCE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53%</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4C6F55D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42%</w:t>
            </w:r>
          </w:p>
        </w:tc>
      </w:tr>
      <w:tr w:rsidR="00F56AC9" w14:paraId="07A7F1B3" w14:textId="77777777" w:rsidTr="00F56AC9">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43" w:type="dxa"/>
              <w:right w:w="29" w:type="dxa"/>
            </w:tcMar>
          </w:tcPr>
          <w:p w14:paraId="5A978EED"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Jul-12</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0352FD8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100</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21D4FF4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21</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0353365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21%</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2A57B03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55%</w:t>
            </w:r>
          </w:p>
        </w:tc>
        <w:tc>
          <w:tcPr>
            <w:tcW w:w="1392"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01112D2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16%</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0AFE91A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15%</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6326950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19%</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5A2F047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69%</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58CB3B1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55%</w:t>
            </w:r>
          </w:p>
        </w:tc>
      </w:tr>
      <w:tr w:rsidR="00F56AC9" w14:paraId="76F65039" w14:textId="77777777" w:rsidTr="00F56AC9">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43" w:type="dxa"/>
              <w:right w:w="29" w:type="dxa"/>
            </w:tcMar>
          </w:tcPr>
          <w:p w14:paraId="50F026E9"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Feb-13</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28118C0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87</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44363BD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16</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6FA289A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18%</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4987069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41%</w:t>
            </w:r>
          </w:p>
        </w:tc>
        <w:tc>
          <w:tcPr>
            <w:tcW w:w="1392"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5C14705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14%</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1726E79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17%</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4A8F5CD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18%</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78E9FE9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53%</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43D9008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42%</w:t>
            </w:r>
          </w:p>
        </w:tc>
      </w:tr>
      <w:tr w:rsidR="00F56AC9" w14:paraId="732566D4" w14:textId="77777777" w:rsidTr="00F56AC9">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43" w:type="dxa"/>
              <w:right w:w="29" w:type="dxa"/>
            </w:tcMar>
          </w:tcPr>
          <w:p w14:paraId="62708D58"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Jul-13</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12EB65E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107</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6BB0145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13</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5D09693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12%</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4D16E09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56%</w:t>
            </w:r>
          </w:p>
        </w:tc>
        <w:tc>
          <w:tcPr>
            <w:tcW w:w="1392"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01B3BB4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10%</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67238CB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13%</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59DB56F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23%</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4EA397C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70%</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7502453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55%</w:t>
            </w:r>
          </w:p>
        </w:tc>
      </w:tr>
      <w:tr w:rsidR="00F56AC9" w14:paraId="0255F196" w14:textId="77777777" w:rsidTr="00F56AC9">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43" w:type="dxa"/>
              <w:right w:w="29" w:type="dxa"/>
            </w:tcMar>
          </w:tcPr>
          <w:p w14:paraId="7CE6C0EF"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Feb-14</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3B847CA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90</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64AEAE7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26</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1C67F3F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29%</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5B07BB7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45%</w:t>
            </w:r>
          </w:p>
        </w:tc>
        <w:tc>
          <w:tcPr>
            <w:tcW w:w="1392"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52B0023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22%</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45531D4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22%</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2097FAD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28%</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017E410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60%</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639265B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41%</w:t>
            </w:r>
          </w:p>
        </w:tc>
      </w:tr>
      <w:tr w:rsidR="00F56AC9" w14:paraId="4854C390" w14:textId="77777777" w:rsidTr="00F56AC9">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43" w:type="dxa"/>
              <w:right w:w="29" w:type="dxa"/>
            </w:tcMar>
          </w:tcPr>
          <w:p w14:paraId="3621B1FA"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Jul-14</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45B59D4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86</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635FE5B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10</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70FC826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12%</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2223C35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49%</w:t>
            </w:r>
          </w:p>
        </w:tc>
        <w:tc>
          <w:tcPr>
            <w:tcW w:w="1392"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5108FE3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9%</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610DBDF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11%</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673D0D0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19%</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2C29F27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62%</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604814D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49%</w:t>
            </w:r>
          </w:p>
        </w:tc>
      </w:tr>
      <w:tr w:rsidR="00F56AC9" w14:paraId="203A396B" w14:textId="77777777" w:rsidTr="00F56AC9">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43" w:type="dxa"/>
              <w:right w:w="29" w:type="dxa"/>
            </w:tcMar>
          </w:tcPr>
          <w:p w14:paraId="76DF5961"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Feb-15</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7174D7E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91</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2A8C51F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21</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6431A42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23%</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5F747A0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40%</w:t>
            </w:r>
          </w:p>
        </w:tc>
        <w:tc>
          <w:tcPr>
            <w:tcW w:w="1392"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127A98B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20%</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044272F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21%</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04411B3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20%</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50BDCA4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49%</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1C05A93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39%</w:t>
            </w:r>
          </w:p>
        </w:tc>
      </w:tr>
      <w:tr w:rsidR="00F56AC9" w14:paraId="51DA25C5" w14:textId="77777777" w:rsidTr="00F56AC9">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43" w:type="dxa"/>
              <w:right w:w="29" w:type="dxa"/>
            </w:tcMar>
          </w:tcPr>
          <w:p w14:paraId="74B97072"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Jul-15</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091BB68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67</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07374A3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10</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6F26F7A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15%</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44F762B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47%</w:t>
            </w:r>
          </w:p>
        </w:tc>
        <w:tc>
          <w:tcPr>
            <w:tcW w:w="1392"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6192BE0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13%</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558FF6B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11%</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0EF7C55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13%</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525A305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60%</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68FD20A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47%</w:t>
            </w:r>
          </w:p>
        </w:tc>
      </w:tr>
      <w:tr w:rsidR="00F56AC9" w14:paraId="27A7E365" w14:textId="77777777" w:rsidTr="00F56AC9">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43" w:type="dxa"/>
              <w:right w:w="29" w:type="dxa"/>
            </w:tcMar>
          </w:tcPr>
          <w:p w14:paraId="38E7C983"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Feb-16</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2F2A835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75</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0CFDE89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18</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03D0BAF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24%</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79A1E5A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36%</w:t>
            </w:r>
          </w:p>
        </w:tc>
        <w:tc>
          <w:tcPr>
            <w:tcW w:w="1392"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52F439E4" w14:textId="7CA4BDA0"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r>
              <w:rPr>
                <w:rFonts w:ascii="Calibri" w:eastAsia="Calibri" w:hAnsi="Calibri" w:cs="Calibri"/>
                <w:color w:val="333333"/>
                <w:sz w:val="18"/>
                <w:szCs w:val="18"/>
                <w:highlight w:val="white"/>
                <w:vertAlign w:val="superscript"/>
              </w:rPr>
              <w:footnoteReference w:id="15"/>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7E5DD45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14%</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70A7F8C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18%</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76FED45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46%</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2925BBF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35%</w:t>
            </w:r>
          </w:p>
        </w:tc>
      </w:tr>
      <w:tr w:rsidR="00F56AC9" w14:paraId="3B86FF95" w14:textId="77777777" w:rsidTr="00F56AC9">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43" w:type="dxa"/>
              <w:right w:w="29" w:type="dxa"/>
            </w:tcMar>
          </w:tcPr>
          <w:p w14:paraId="6ECB612C"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Jul-16</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0B5BB9C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77</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58F2538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12</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637ADB7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16%</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7B41A536" w14:textId="77777777" w:rsidR="00F56AC9" w:rsidRDefault="00F56AC9" w:rsidP="00F56AC9">
            <w:pPr>
              <w:pStyle w:val="normal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43%</w:t>
            </w:r>
          </w:p>
        </w:tc>
        <w:tc>
          <w:tcPr>
            <w:tcW w:w="1392"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206C120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6CFCC23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13%</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37B3240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13%</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6E7AD49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54%</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7939DAA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48%</w:t>
            </w:r>
          </w:p>
        </w:tc>
      </w:tr>
      <w:tr w:rsidR="00F56AC9" w14:paraId="401A66FC" w14:textId="77777777" w:rsidTr="00F56AC9">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43" w:type="dxa"/>
              <w:right w:w="29" w:type="dxa"/>
            </w:tcMar>
          </w:tcPr>
          <w:p w14:paraId="4507BDC9"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Feb-17</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5508ACD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68</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48DCD39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5AADDC8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9%</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5AF252B4" w14:textId="49B0A871" w:rsidR="00F56AC9" w:rsidRDefault="0038142C" w:rsidP="00F56AC9">
            <w:pPr>
              <w:pStyle w:val="normal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35%</w:t>
            </w:r>
          </w:p>
        </w:tc>
        <w:tc>
          <w:tcPr>
            <w:tcW w:w="1392"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1D5BA28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5F77C8EC" w14:textId="0038CED5" w:rsidR="00F56AC9" w:rsidRDefault="0038142C"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11%</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1163ED70" w14:textId="6813CC67" w:rsidR="00F56AC9" w:rsidRDefault="0038142C"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16%</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4198A426" w14:textId="3425FAF0" w:rsidR="00F56AC9" w:rsidRDefault="0038142C"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46%</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43" w:type="dxa"/>
              <w:right w:w="29" w:type="dxa"/>
            </w:tcMar>
          </w:tcPr>
          <w:p w14:paraId="17DE2411" w14:textId="3A5BAA6D" w:rsidR="00F56AC9" w:rsidRDefault="0038142C"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35%</w:t>
            </w:r>
          </w:p>
        </w:tc>
      </w:tr>
    </w:tbl>
    <w:p w14:paraId="4C77E4B2" w14:textId="77777777" w:rsidR="00F56AC9" w:rsidRDefault="00F56AC9">
      <w:pPr>
        <w:rPr>
          <w:sz w:val="26"/>
          <w:szCs w:val="26"/>
        </w:rPr>
      </w:pPr>
    </w:p>
    <w:p w14:paraId="7A077478" w14:textId="77777777" w:rsidR="00F56AC9" w:rsidRDefault="00F56AC9">
      <w:pPr>
        <w:rPr>
          <w:b/>
          <w:sz w:val="26"/>
          <w:szCs w:val="26"/>
        </w:rPr>
      </w:pPr>
      <w:r>
        <w:rPr>
          <w:b/>
          <w:sz w:val="26"/>
          <w:szCs w:val="26"/>
        </w:rPr>
        <w:br w:type="page"/>
      </w:r>
    </w:p>
    <w:p w14:paraId="34351C4D" w14:textId="439303D9" w:rsidR="006726AA" w:rsidRPr="006726AA" w:rsidRDefault="006726AA" w:rsidP="006726AA">
      <w:pPr>
        <w:jc w:val="center"/>
        <w:rPr>
          <w:b/>
          <w:sz w:val="26"/>
          <w:szCs w:val="26"/>
        </w:rPr>
      </w:pPr>
      <w:r>
        <w:rPr>
          <w:b/>
          <w:sz w:val="26"/>
          <w:szCs w:val="26"/>
        </w:rPr>
        <w:lastRenderedPageBreak/>
        <w:t>Appendix C</w:t>
      </w:r>
      <w:r w:rsidRPr="006726AA">
        <w:rPr>
          <w:b/>
          <w:sz w:val="26"/>
          <w:szCs w:val="26"/>
        </w:rPr>
        <w:t xml:space="preserve"> – California </w:t>
      </w:r>
      <w:r>
        <w:rPr>
          <w:b/>
          <w:sz w:val="26"/>
          <w:szCs w:val="26"/>
        </w:rPr>
        <w:t>First Year Law Students</w:t>
      </w:r>
      <w:r w:rsidRPr="006726AA">
        <w:rPr>
          <w:b/>
          <w:sz w:val="26"/>
          <w:szCs w:val="26"/>
        </w:rPr>
        <w:t xml:space="preserve"> Exam Pass Rate Data</w:t>
      </w:r>
    </w:p>
    <w:p w14:paraId="11C6EE4B" w14:textId="6C57F893" w:rsidR="00F56AC9" w:rsidRDefault="00F56AC9" w:rsidP="00F56AC9">
      <w:pPr>
        <w:pStyle w:val="normal0"/>
        <w:ind w:left="1440" w:firstLine="720"/>
        <w:rPr>
          <w:sz w:val="26"/>
          <w:szCs w:val="26"/>
        </w:rPr>
      </w:pPr>
      <w:r>
        <w:rPr>
          <w:rFonts w:ascii="Calibri" w:eastAsia="Calibri" w:hAnsi="Calibri" w:cs="Calibri"/>
          <w:b/>
          <w:sz w:val="22"/>
          <w:szCs w:val="22"/>
        </w:rPr>
        <w:t>California First Year Law Students’ Exam - Comparative First-Time Pass Rates</w:t>
      </w:r>
      <w:r w:rsidR="00BA3476">
        <w:rPr>
          <w:rFonts w:ascii="Calibri" w:eastAsia="Calibri" w:hAnsi="Calibri" w:cs="Calibri"/>
          <w:b/>
          <w:sz w:val="22"/>
          <w:szCs w:val="22"/>
          <w:vertAlign w:val="superscript"/>
        </w:rPr>
        <w:footnoteReference w:id="16"/>
      </w:r>
    </w:p>
    <w:tbl>
      <w:tblPr>
        <w:tblStyle w:val="a4"/>
        <w:tblW w:w="10843" w:type="dxa"/>
        <w:tblBorders>
          <w:top w:val="nil"/>
          <w:left w:val="nil"/>
          <w:bottom w:val="nil"/>
          <w:right w:val="nil"/>
          <w:insideH w:val="nil"/>
          <w:insideV w:val="nil"/>
        </w:tblBorders>
        <w:tblLayout w:type="fixed"/>
        <w:tblLook w:val="0600" w:firstRow="0" w:lastRow="0" w:firstColumn="0" w:lastColumn="0" w:noHBand="1" w:noVBand="1"/>
      </w:tblPr>
      <w:tblGrid>
        <w:gridCol w:w="675"/>
        <w:gridCol w:w="915"/>
        <w:gridCol w:w="825"/>
        <w:gridCol w:w="990"/>
        <w:gridCol w:w="945"/>
        <w:gridCol w:w="1363"/>
        <w:gridCol w:w="1350"/>
        <w:gridCol w:w="1350"/>
        <w:gridCol w:w="1170"/>
        <w:gridCol w:w="1260"/>
      </w:tblGrid>
      <w:tr w:rsidR="00F56AC9" w14:paraId="38C7FBE8" w14:textId="77777777" w:rsidTr="00F56AC9">
        <w:tc>
          <w:tcPr>
            <w:tcW w:w="675" w:type="dxa"/>
            <w:tcBorders>
              <w:top w:val="single" w:sz="6" w:space="0" w:color="CCCCCC"/>
              <w:left w:val="single" w:sz="6" w:space="0" w:color="CCCCCC"/>
              <w:bottom w:val="single" w:sz="6" w:space="0" w:color="CCCCCC"/>
              <w:right w:val="single" w:sz="6" w:space="0" w:color="CCCCCC"/>
            </w:tcBorders>
            <w:shd w:val="clear" w:color="auto" w:fill="0A487D"/>
            <w:tcMar>
              <w:top w:w="43" w:type="dxa"/>
              <w:left w:w="43" w:type="dxa"/>
              <w:bottom w:w="43" w:type="dxa"/>
              <w:right w:w="43" w:type="dxa"/>
            </w:tcMar>
          </w:tcPr>
          <w:p w14:paraId="17B06A9F" w14:textId="77777777" w:rsidR="00F56AC9" w:rsidRDefault="00F56AC9" w:rsidP="00F56AC9">
            <w:pPr>
              <w:pStyle w:val="normal0"/>
              <w:ind w:left="-140"/>
              <w:jc w:val="center"/>
              <w:rPr>
                <w:rFonts w:ascii="Calibri" w:eastAsia="Calibri" w:hAnsi="Calibri" w:cs="Calibri"/>
                <w:b/>
                <w:color w:val="FFFFFF"/>
                <w:sz w:val="20"/>
                <w:szCs w:val="20"/>
                <w:shd w:val="clear" w:color="auto" w:fill="0A487D"/>
              </w:rPr>
            </w:pPr>
            <w:r>
              <w:rPr>
                <w:rFonts w:ascii="Calibri" w:eastAsia="Calibri" w:hAnsi="Calibri" w:cs="Calibri"/>
                <w:b/>
                <w:color w:val="FFFFFF"/>
                <w:sz w:val="20"/>
                <w:szCs w:val="20"/>
                <w:shd w:val="clear" w:color="auto" w:fill="0A487D"/>
              </w:rPr>
              <w:t>Exam Date</w:t>
            </w:r>
          </w:p>
        </w:tc>
        <w:tc>
          <w:tcPr>
            <w:tcW w:w="915" w:type="dxa"/>
            <w:tcBorders>
              <w:top w:val="single" w:sz="6" w:space="0" w:color="CCCCCC"/>
              <w:left w:val="single" w:sz="6" w:space="0" w:color="CCCCCC"/>
              <w:bottom w:val="single" w:sz="6" w:space="0" w:color="CCCCCC"/>
              <w:right w:val="single" w:sz="6" w:space="0" w:color="CCCCCC"/>
            </w:tcBorders>
            <w:shd w:val="clear" w:color="auto" w:fill="0A487D"/>
            <w:tcMar>
              <w:top w:w="43" w:type="dxa"/>
              <w:left w:w="43" w:type="dxa"/>
              <w:bottom w:w="43" w:type="dxa"/>
              <w:right w:w="43" w:type="dxa"/>
            </w:tcMar>
          </w:tcPr>
          <w:p w14:paraId="65F71227" w14:textId="77777777" w:rsidR="00F56AC9" w:rsidRDefault="00F56AC9" w:rsidP="00F56AC9">
            <w:pPr>
              <w:pStyle w:val="normal0"/>
              <w:ind w:left="-140"/>
              <w:jc w:val="center"/>
              <w:rPr>
                <w:rFonts w:ascii="Calibri" w:eastAsia="Calibri" w:hAnsi="Calibri" w:cs="Calibri"/>
                <w:b/>
                <w:color w:val="FFFFFF"/>
                <w:sz w:val="20"/>
                <w:szCs w:val="20"/>
                <w:shd w:val="clear" w:color="auto" w:fill="0A487D"/>
              </w:rPr>
            </w:pPr>
            <w:r>
              <w:rPr>
                <w:rFonts w:ascii="Calibri" w:eastAsia="Calibri" w:hAnsi="Calibri" w:cs="Calibri"/>
                <w:b/>
                <w:color w:val="FFFFFF"/>
                <w:sz w:val="20"/>
                <w:szCs w:val="20"/>
                <w:shd w:val="clear" w:color="auto" w:fill="0A487D"/>
              </w:rPr>
              <w:t>CLS 1st-Time Takers</w:t>
            </w:r>
          </w:p>
        </w:tc>
        <w:tc>
          <w:tcPr>
            <w:tcW w:w="825" w:type="dxa"/>
            <w:tcBorders>
              <w:top w:val="single" w:sz="6" w:space="0" w:color="CCCCCC"/>
              <w:left w:val="single" w:sz="6" w:space="0" w:color="CCCCCC"/>
              <w:bottom w:val="single" w:sz="6" w:space="0" w:color="CCCCCC"/>
              <w:right w:val="single" w:sz="6" w:space="0" w:color="CCCCCC"/>
            </w:tcBorders>
            <w:shd w:val="clear" w:color="auto" w:fill="0A487D"/>
            <w:tcMar>
              <w:top w:w="43" w:type="dxa"/>
              <w:left w:w="43" w:type="dxa"/>
              <w:bottom w:w="43" w:type="dxa"/>
              <w:right w:w="43" w:type="dxa"/>
            </w:tcMar>
          </w:tcPr>
          <w:p w14:paraId="52804B71" w14:textId="77777777" w:rsidR="00F56AC9" w:rsidRDefault="00F56AC9" w:rsidP="00F56AC9">
            <w:pPr>
              <w:pStyle w:val="normal0"/>
              <w:ind w:left="-140"/>
              <w:jc w:val="center"/>
              <w:rPr>
                <w:rFonts w:ascii="Calibri" w:eastAsia="Calibri" w:hAnsi="Calibri" w:cs="Calibri"/>
                <w:b/>
                <w:color w:val="FFFFFF"/>
                <w:sz w:val="20"/>
                <w:szCs w:val="20"/>
                <w:shd w:val="clear" w:color="auto" w:fill="0A487D"/>
              </w:rPr>
            </w:pPr>
            <w:r>
              <w:rPr>
                <w:rFonts w:ascii="Calibri" w:eastAsia="Calibri" w:hAnsi="Calibri" w:cs="Calibri"/>
                <w:b/>
                <w:color w:val="FFFFFF"/>
                <w:sz w:val="20"/>
                <w:szCs w:val="20"/>
                <w:shd w:val="clear" w:color="auto" w:fill="0A487D"/>
              </w:rPr>
              <w:t>CLS 1st-Time Passers</w:t>
            </w:r>
          </w:p>
        </w:tc>
        <w:tc>
          <w:tcPr>
            <w:tcW w:w="990" w:type="dxa"/>
            <w:tcBorders>
              <w:top w:val="single" w:sz="6" w:space="0" w:color="CCCCCC"/>
              <w:left w:val="single" w:sz="6" w:space="0" w:color="CCCCCC"/>
              <w:bottom w:val="single" w:sz="6" w:space="0" w:color="CCCCCC"/>
              <w:right w:val="single" w:sz="6" w:space="0" w:color="CCCCCC"/>
            </w:tcBorders>
            <w:shd w:val="clear" w:color="auto" w:fill="0A487D"/>
            <w:tcMar>
              <w:top w:w="43" w:type="dxa"/>
              <w:left w:w="43" w:type="dxa"/>
              <w:bottom w:w="43" w:type="dxa"/>
              <w:right w:w="43" w:type="dxa"/>
            </w:tcMar>
          </w:tcPr>
          <w:p w14:paraId="1EDB0FC2" w14:textId="77777777" w:rsidR="00F56AC9" w:rsidRDefault="00F56AC9" w:rsidP="00F56AC9">
            <w:pPr>
              <w:pStyle w:val="normal0"/>
              <w:ind w:left="-140"/>
              <w:jc w:val="center"/>
              <w:rPr>
                <w:rFonts w:ascii="Calibri" w:eastAsia="Calibri" w:hAnsi="Calibri" w:cs="Calibri"/>
                <w:b/>
                <w:color w:val="FFFFFF"/>
                <w:sz w:val="20"/>
                <w:szCs w:val="20"/>
                <w:shd w:val="clear" w:color="auto" w:fill="0A487D"/>
              </w:rPr>
            </w:pPr>
            <w:r>
              <w:rPr>
                <w:rFonts w:ascii="Calibri" w:eastAsia="Calibri" w:hAnsi="Calibri" w:cs="Calibri"/>
                <w:b/>
                <w:color w:val="FFFFFF"/>
                <w:sz w:val="20"/>
                <w:szCs w:val="20"/>
                <w:shd w:val="clear" w:color="auto" w:fill="0A487D"/>
              </w:rPr>
              <w:t>CLS 1st-Time Pass Rate</w:t>
            </w:r>
          </w:p>
        </w:tc>
        <w:tc>
          <w:tcPr>
            <w:tcW w:w="945" w:type="dxa"/>
            <w:tcBorders>
              <w:top w:val="single" w:sz="6" w:space="0" w:color="CCCCCC"/>
              <w:left w:val="single" w:sz="6" w:space="0" w:color="CCCCCC"/>
              <w:bottom w:val="single" w:sz="6" w:space="0" w:color="CCCCCC"/>
              <w:right w:val="single" w:sz="6" w:space="0" w:color="CCCCCC"/>
            </w:tcBorders>
            <w:shd w:val="clear" w:color="auto" w:fill="0A487D"/>
            <w:tcMar>
              <w:top w:w="43" w:type="dxa"/>
              <w:left w:w="43" w:type="dxa"/>
              <w:bottom w:w="43" w:type="dxa"/>
              <w:right w:w="43" w:type="dxa"/>
            </w:tcMar>
          </w:tcPr>
          <w:p w14:paraId="54F859EB" w14:textId="77777777" w:rsidR="00F56AC9" w:rsidRDefault="00F56AC9" w:rsidP="00F56AC9">
            <w:pPr>
              <w:pStyle w:val="normal0"/>
              <w:ind w:left="-140"/>
              <w:jc w:val="center"/>
              <w:rPr>
                <w:rFonts w:ascii="Calibri" w:eastAsia="Calibri" w:hAnsi="Calibri" w:cs="Calibri"/>
                <w:b/>
                <w:color w:val="FFFFFF"/>
                <w:sz w:val="20"/>
                <w:szCs w:val="20"/>
                <w:shd w:val="clear" w:color="auto" w:fill="0A487D"/>
              </w:rPr>
            </w:pPr>
            <w:r>
              <w:rPr>
                <w:rFonts w:ascii="Calibri" w:eastAsia="Calibri" w:hAnsi="Calibri" w:cs="Calibri"/>
                <w:b/>
                <w:color w:val="FFFFFF"/>
                <w:sz w:val="20"/>
                <w:szCs w:val="20"/>
                <w:shd w:val="clear" w:color="auto" w:fill="0A487D"/>
              </w:rPr>
              <w:t>1st-Time Pass Rate All Takers</w:t>
            </w:r>
          </w:p>
        </w:tc>
        <w:tc>
          <w:tcPr>
            <w:tcW w:w="1363" w:type="dxa"/>
            <w:tcBorders>
              <w:top w:val="single" w:sz="6" w:space="0" w:color="CCCCCC"/>
              <w:left w:val="single" w:sz="6" w:space="0" w:color="CCCCCC"/>
              <w:bottom w:val="single" w:sz="6" w:space="0" w:color="CCCCCC"/>
              <w:right w:val="single" w:sz="6" w:space="0" w:color="CCCCCC"/>
            </w:tcBorders>
            <w:shd w:val="clear" w:color="auto" w:fill="0A487D"/>
            <w:tcMar>
              <w:top w:w="43" w:type="dxa"/>
              <w:left w:w="43" w:type="dxa"/>
              <w:bottom w:w="43" w:type="dxa"/>
              <w:right w:w="43" w:type="dxa"/>
            </w:tcMar>
          </w:tcPr>
          <w:p w14:paraId="569E8168" w14:textId="77777777" w:rsidR="00F56AC9" w:rsidRDefault="00F56AC9" w:rsidP="00F56AC9">
            <w:pPr>
              <w:pStyle w:val="normal0"/>
              <w:ind w:left="-140"/>
              <w:jc w:val="center"/>
              <w:rPr>
                <w:rFonts w:ascii="Calibri" w:eastAsia="Calibri" w:hAnsi="Calibri" w:cs="Calibri"/>
                <w:b/>
                <w:color w:val="FFFFFF"/>
                <w:sz w:val="21"/>
                <w:szCs w:val="21"/>
                <w:shd w:val="clear" w:color="auto" w:fill="0A487D"/>
              </w:rPr>
            </w:pPr>
            <w:r>
              <w:rPr>
                <w:rFonts w:ascii="Calibri" w:eastAsia="Calibri" w:hAnsi="Calibri" w:cs="Calibri"/>
                <w:b/>
                <w:color w:val="FFFFFF"/>
                <w:sz w:val="21"/>
                <w:szCs w:val="21"/>
                <w:shd w:val="clear" w:color="auto" w:fill="0A487D"/>
              </w:rPr>
              <w:t>1st-Time Pass Rate Unaccredited Distance Learning</w:t>
            </w:r>
          </w:p>
        </w:tc>
        <w:tc>
          <w:tcPr>
            <w:tcW w:w="1350" w:type="dxa"/>
            <w:tcBorders>
              <w:top w:val="single" w:sz="6" w:space="0" w:color="CCCCCC"/>
              <w:left w:val="single" w:sz="6" w:space="0" w:color="CCCCCC"/>
              <w:bottom w:val="single" w:sz="6" w:space="0" w:color="CCCCCC"/>
              <w:right w:val="single" w:sz="6" w:space="0" w:color="CCCCCC"/>
            </w:tcBorders>
            <w:shd w:val="clear" w:color="auto" w:fill="0A487D"/>
            <w:tcMar>
              <w:top w:w="43" w:type="dxa"/>
              <w:left w:w="43" w:type="dxa"/>
              <w:bottom w:w="43" w:type="dxa"/>
              <w:right w:w="43" w:type="dxa"/>
            </w:tcMar>
          </w:tcPr>
          <w:p w14:paraId="19D76859" w14:textId="77777777" w:rsidR="00F56AC9" w:rsidRDefault="00F56AC9" w:rsidP="00F56AC9">
            <w:pPr>
              <w:pStyle w:val="normal0"/>
              <w:ind w:left="-140"/>
              <w:jc w:val="center"/>
              <w:rPr>
                <w:rFonts w:ascii="Calibri" w:eastAsia="Calibri" w:hAnsi="Calibri" w:cs="Calibri"/>
                <w:b/>
                <w:color w:val="FFFFFF"/>
                <w:sz w:val="21"/>
                <w:szCs w:val="21"/>
                <w:shd w:val="clear" w:color="auto" w:fill="0A487D"/>
              </w:rPr>
            </w:pPr>
            <w:r>
              <w:rPr>
                <w:rFonts w:ascii="Calibri" w:eastAsia="Calibri" w:hAnsi="Calibri" w:cs="Calibri"/>
                <w:b/>
                <w:color w:val="FFFFFF"/>
                <w:sz w:val="21"/>
                <w:szCs w:val="21"/>
                <w:shd w:val="clear" w:color="auto" w:fill="0A487D"/>
              </w:rPr>
              <w:t>1st-Time Pass Rate Unaccredited--All</w:t>
            </w:r>
          </w:p>
        </w:tc>
        <w:tc>
          <w:tcPr>
            <w:tcW w:w="1350" w:type="dxa"/>
            <w:tcBorders>
              <w:top w:val="single" w:sz="6" w:space="0" w:color="CCCCCC"/>
              <w:left w:val="single" w:sz="6" w:space="0" w:color="CCCCCC"/>
              <w:bottom w:val="single" w:sz="6" w:space="0" w:color="CCCCCC"/>
              <w:right w:val="single" w:sz="6" w:space="0" w:color="CCCCCC"/>
            </w:tcBorders>
            <w:shd w:val="clear" w:color="auto" w:fill="0A487D"/>
            <w:tcMar>
              <w:top w:w="43" w:type="dxa"/>
              <w:left w:w="43" w:type="dxa"/>
              <w:bottom w:w="43" w:type="dxa"/>
              <w:right w:w="43" w:type="dxa"/>
            </w:tcMar>
          </w:tcPr>
          <w:p w14:paraId="77CAD194" w14:textId="77777777" w:rsidR="00F56AC9" w:rsidRDefault="00F56AC9" w:rsidP="00F56AC9">
            <w:pPr>
              <w:pStyle w:val="normal0"/>
              <w:ind w:left="-140"/>
              <w:jc w:val="center"/>
              <w:rPr>
                <w:rFonts w:ascii="Calibri" w:eastAsia="Calibri" w:hAnsi="Calibri" w:cs="Calibri"/>
                <w:b/>
                <w:color w:val="FFFFFF"/>
                <w:sz w:val="21"/>
                <w:szCs w:val="21"/>
                <w:shd w:val="clear" w:color="auto" w:fill="0A487D"/>
              </w:rPr>
            </w:pPr>
            <w:r>
              <w:rPr>
                <w:rFonts w:ascii="Calibri" w:eastAsia="Calibri" w:hAnsi="Calibri" w:cs="Calibri"/>
                <w:b/>
                <w:color w:val="FFFFFF"/>
                <w:sz w:val="21"/>
                <w:szCs w:val="21"/>
                <w:shd w:val="clear" w:color="auto" w:fill="0A487D"/>
              </w:rPr>
              <w:t>1st-Time Pass Rate California- Accredited</w:t>
            </w:r>
          </w:p>
        </w:tc>
        <w:tc>
          <w:tcPr>
            <w:tcW w:w="1170" w:type="dxa"/>
            <w:tcBorders>
              <w:top w:val="single" w:sz="6" w:space="0" w:color="CCCCCC"/>
              <w:left w:val="single" w:sz="6" w:space="0" w:color="CCCCCC"/>
              <w:bottom w:val="single" w:sz="6" w:space="0" w:color="CCCCCC"/>
              <w:right w:val="single" w:sz="6" w:space="0" w:color="CCCCCC"/>
            </w:tcBorders>
            <w:shd w:val="clear" w:color="auto" w:fill="0A487D"/>
            <w:tcMar>
              <w:top w:w="43" w:type="dxa"/>
              <w:left w:w="43" w:type="dxa"/>
              <w:bottom w:w="43" w:type="dxa"/>
              <w:right w:w="43" w:type="dxa"/>
            </w:tcMar>
          </w:tcPr>
          <w:p w14:paraId="3AD72442" w14:textId="77777777" w:rsidR="00F56AC9" w:rsidRDefault="00F56AC9" w:rsidP="00F56AC9">
            <w:pPr>
              <w:pStyle w:val="normal0"/>
              <w:ind w:left="-140"/>
              <w:jc w:val="center"/>
              <w:rPr>
                <w:rFonts w:ascii="Calibri" w:eastAsia="Calibri" w:hAnsi="Calibri" w:cs="Calibri"/>
                <w:b/>
                <w:color w:val="FFFFFF"/>
                <w:sz w:val="21"/>
                <w:szCs w:val="21"/>
                <w:shd w:val="clear" w:color="auto" w:fill="0A487D"/>
              </w:rPr>
            </w:pPr>
            <w:r>
              <w:rPr>
                <w:rFonts w:ascii="Calibri" w:eastAsia="Calibri" w:hAnsi="Calibri" w:cs="Calibri"/>
                <w:b/>
                <w:color w:val="FFFFFF"/>
                <w:sz w:val="21"/>
                <w:szCs w:val="21"/>
                <w:shd w:val="clear" w:color="auto" w:fill="0A487D"/>
              </w:rPr>
              <w:t>1st-Time Pass Rate ABA (In-State)</w:t>
            </w:r>
          </w:p>
        </w:tc>
        <w:tc>
          <w:tcPr>
            <w:tcW w:w="1260" w:type="dxa"/>
            <w:tcBorders>
              <w:top w:val="single" w:sz="6" w:space="0" w:color="CCCCCC"/>
              <w:left w:val="single" w:sz="6" w:space="0" w:color="CCCCCC"/>
              <w:bottom w:val="single" w:sz="6" w:space="0" w:color="CCCCCC"/>
              <w:right w:val="single" w:sz="6" w:space="0" w:color="CCCCCC"/>
            </w:tcBorders>
            <w:shd w:val="clear" w:color="auto" w:fill="0A487D"/>
            <w:tcMar>
              <w:top w:w="43" w:type="dxa"/>
              <w:left w:w="43" w:type="dxa"/>
              <w:bottom w:w="43" w:type="dxa"/>
              <w:right w:w="43" w:type="dxa"/>
            </w:tcMar>
          </w:tcPr>
          <w:p w14:paraId="6A96DDCD" w14:textId="77777777" w:rsidR="00F56AC9" w:rsidRDefault="00F56AC9" w:rsidP="00F56AC9">
            <w:pPr>
              <w:pStyle w:val="normal0"/>
              <w:ind w:left="-140"/>
              <w:jc w:val="center"/>
              <w:rPr>
                <w:rFonts w:ascii="Calibri" w:eastAsia="Calibri" w:hAnsi="Calibri" w:cs="Calibri"/>
                <w:b/>
                <w:color w:val="FFFFFF"/>
                <w:sz w:val="21"/>
                <w:szCs w:val="21"/>
                <w:shd w:val="clear" w:color="auto" w:fill="0A487D"/>
              </w:rPr>
            </w:pPr>
            <w:r>
              <w:rPr>
                <w:rFonts w:ascii="Calibri" w:eastAsia="Calibri" w:hAnsi="Calibri" w:cs="Calibri"/>
                <w:b/>
                <w:color w:val="FFFFFF"/>
                <w:sz w:val="21"/>
                <w:szCs w:val="21"/>
                <w:shd w:val="clear" w:color="auto" w:fill="0A487D"/>
              </w:rPr>
              <w:t>1st-Time Pass Rate ABA (Non-CA)</w:t>
            </w:r>
          </w:p>
        </w:tc>
      </w:tr>
      <w:tr w:rsidR="00F56AC9" w14:paraId="3959B321"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6B17C57A"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Oct-99</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9FFBD2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20</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3074C5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7</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A09808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35%</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9946E5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31%</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E5AF63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2A5B08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971ABD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8DB3D6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4DCFD63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r>
      <w:tr w:rsidR="00F56AC9" w14:paraId="02A8A1CB"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4139C6D7"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Jun-00</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08DF56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28</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410B6AD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8</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E0DD94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29%</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4561EB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28%</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6E6025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0F3A61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E383AF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E3BEC4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BE5317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r>
      <w:tr w:rsidR="00F56AC9" w14:paraId="377D6461"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1A539542"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Oct-00</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391B46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26</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7C2E9C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7</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B90262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27%</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414875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34%</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29951C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EE3F19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9B8696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2B060C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437D42E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r>
      <w:tr w:rsidR="00F56AC9" w14:paraId="308FBB99"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6080A564"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Jun-01</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4255EA7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83</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510716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35</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2DA7F2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42%</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34C46F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32%</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04A749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436804B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88AF43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5C6FE1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4E0F006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r>
      <w:tr w:rsidR="00F56AC9" w14:paraId="7EB06A0A"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151CB54D"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Oct-01</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96400D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54</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C814F4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25</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7CC78A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46%</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A3E125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32%</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A523B6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FBD567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DAB566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11F276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3368C4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r>
      <w:tr w:rsidR="00F56AC9" w14:paraId="225C6690"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50E0FCB4"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Jun-02</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24B596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130</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FB0F63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58</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42E19DB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45%</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46CC00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34%</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B0F0BF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4B4A79D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330092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4DC599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466AF3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r>
      <w:tr w:rsidR="00F56AC9" w14:paraId="066BD9AD"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4DD761C7"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Oct-02</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ACEE35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73</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4DF538F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25</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397D8F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34%</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36C39A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26%</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9EC8A0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278A1B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8DFA0A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623C81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5C0F45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r>
      <w:tr w:rsidR="00F56AC9" w14:paraId="3030B2E4"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728A6A62"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Jun-03</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432015B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150</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40ED8E0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69</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46DA09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46%</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CB7A89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32%</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CCB5E9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40F836A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D56355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F48D75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87A202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r>
      <w:tr w:rsidR="00F56AC9" w14:paraId="6733FB25"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574BA12E"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Oct-03</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B733F1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97</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F477BD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33</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465D87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34%</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22D46E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28%</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E05322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861EB2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4F86B05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D28323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A1BCA7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r>
      <w:tr w:rsidR="00F56AC9" w14:paraId="3BAB3DFD"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50369D32"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Jun-04</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A39707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209</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89B5A6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74</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AE7A92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35%</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450726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30%</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D41358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9AF55A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675F12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5B197B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916684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r>
      <w:tr w:rsidR="00F56AC9" w14:paraId="127DA390"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3375F6B7"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Oct-04</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4F86A23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182</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B0A331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70</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156865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38%</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F6BBB9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36%</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308C52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281656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91D002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89AE3A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91C6C9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r>
      <w:tr w:rsidR="00F56AC9" w14:paraId="6B24363E"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78F87738"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Jun-05</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F028A1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231</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4F79749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83</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17AC10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36%</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D4B691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32%</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10C028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4CAED6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802973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4670943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7F2DD6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r>
      <w:tr w:rsidR="00F56AC9" w14:paraId="38414450"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6741DE75"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Oct-05</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5002B1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138</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282ADA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54</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A4BFF3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39%</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08B836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32%</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33CE1C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1AD931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AEFA08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5ED70F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112C5F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r>
      <w:tr w:rsidR="00F56AC9" w14:paraId="48E4A746"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3AE671A7"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Jun-06</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5A2DD2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206</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440BC21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62</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221D5C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30%</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71322F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25%</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4301D6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4E454C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694384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F3F85E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301033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r>
      <w:tr w:rsidR="00F56AC9" w14:paraId="7DA39262"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06F209EA"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Oct-06</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E73158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111</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00E76E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41</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5F423A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37%</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207BBD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25%</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DBD232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BFA946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31%</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71B98A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8%</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8BCB7E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31%</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AE711D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0%</w:t>
            </w:r>
          </w:p>
        </w:tc>
      </w:tr>
      <w:tr w:rsidR="00F56AC9" w14:paraId="7BD64521"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0733A56D"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Jun-07</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35E08C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118</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982E33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27</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D53FF5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23%</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A785DB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22%</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6B0018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937A64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22%</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6F2026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11%</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D51F2E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27%</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BE002C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0%</w:t>
            </w:r>
          </w:p>
        </w:tc>
      </w:tr>
      <w:tr w:rsidR="00F56AC9" w14:paraId="6200C999"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66270AD5"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Oct-07</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2D7735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72</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E714C1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24</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B7FF22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33%</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678D78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19%</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4F1DD9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DCDD71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24%</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CC0ADB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19%</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6D65AE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13%</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86ABDD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0%</w:t>
            </w:r>
          </w:p>
        </w:tc>
      </w:tr>
      <w:tr w:rsidR="00F56AC9" w14:paraId="5E86AF07"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5342E825"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Jun-08</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48D0AD0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143</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88BD53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57</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77F84B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40%</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213ED6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31%</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187387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36%</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B8D57E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32%</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8717D9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28%</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4EB5B1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40%</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412C11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0</w:t>
            </w:r>
          </w:p>
        </w:tc>
      </w:tr>
      <w:tr w:rsidR="00F56AC9" w14:paraId="32963BDE"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6FF57C4D"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Oct-08</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7AE913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86</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F0656A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17</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136424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20%</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499A0EF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23%</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63DCE5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19%</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C22801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23%</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298653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0%</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B70DD9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35%</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3F2543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0%</w:t>
            </w:r>
          </w:p>
        </w:tc>
      </w:tr>
      <w:tr w:rsidR="00F56AC9" w14:paraId="3B26C2A5"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488384CC"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Jun-09</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88A551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130</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DEEF1B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37</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2BB4F9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29%</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6E965E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28%</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2F6B65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28%</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DBE28A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25%</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329A07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14%</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EFD2E4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38%</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1E50CB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25%</w:t>
            </w:r>
          </w:p>
        </w:tc>
      </w:tr>
      <w:tr w:rsidR="00F56AC9" w14:paraId="684C4BCA"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590603D0"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Oct-09</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6CD348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85</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965037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21</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342158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25%</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94122E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27%</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42E4D49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23%</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FBD0C3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28%</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28B300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11%</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0BECC1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30%</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2A8944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0</w:t>
            </w:r>
          </w:p>
        </w:tc>
      </w:tr>
      <w:tr w:rsidR="00F56AC9" w14:paraId="5C3D1CB8"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52047DD7"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Jun-10</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15C8BC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160</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66C2A7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41</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EA6D04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26%</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0912FF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28%</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CE9564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26%</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EA04CF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29%</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6B6981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14%</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5F5B93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11%</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ED0684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0%</w:t>
            </w:r>
          </w:p>
        </w:tc>
      </w:tr>
      <w:tr w:rsidR="00F56AC9" w14:paraId="49DC6E9F"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2F83B023"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Oct-10</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A08FAC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94</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589190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23</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792FE7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25%</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4D39B12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24%</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94D809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24%</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D4B7B9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27%</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3D071E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0%</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EAE40B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28%</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DF5CD9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w:t>
            </w:r>
          </w:p>
        </w:tc>
      </w:tr>
      <w:tr w:rsidR="00F56AC9" w14:paraId="5FE8FE9B"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288CAB05"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Jun-11</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789AFD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134</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82AA5F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37</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72DC1A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28%</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16C1EF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26%</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BEC624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26%</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684719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27%</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205FE6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14%</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AFE764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20%</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F0BB9E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0%</w:t>
            </w:r>
          </w:p>
        </w:tc>
      </w:tr>
      <w:tr w:rsidR="00F56AC9" w14:paraId="2BB5E528"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087C7906"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Oct-11</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A3B803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74</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47B1CDA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21</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B2BC1E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28%</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8B9CDC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27%</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B16FFA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35%</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C59F59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31%</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22F98E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70A3AE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20%</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E8266F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0%</w:t>
            </w:r>
          </w:p>
        </w:tc>
      </w:tr>
      <w:tr w:rsidR="00F56AC9" w14:paraId="340AE995"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7C2502EC"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Jun-12</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2EE1E4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108</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40D78D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19</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43E2B10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18%</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AADD4A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21%</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9C4ABB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20%</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8FD690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22%</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CB2CC3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14%</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2514D4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0%</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40F24F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0%</w:t>
            </w:r>
          </w:p>
        </w:tc>
      </w:tr>
      <w:tr w:rsidR="00F56AC9" w14:paraId="2C94DBAD"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21AFD3A5"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Oct-12</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157249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64</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724029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9</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B84EC6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14%</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56EA53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22%</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0C592A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18%</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699440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24%</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0D29AB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10%</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4A86AC8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14%</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B95CAE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0%</w:t>
            </w:r>
          </w:p>
        </w:tc>
      </w:tr>
      <w:tr w:rsidR="00F56AC9" w14:paraId="367B320E"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65BC4FB1"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Jun-13</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44A1CF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106</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A45ACC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27</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4E0357D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26%</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14CC5D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27%</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94FA06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25%</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ECA5A3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28%</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3F43AB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21%</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B7E2C3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0%</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27325B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0%</w:t>
            </w:r>
          </w:p>
        </w:tc>
      </w:tr>
      <w:tr w:rsidR="00F56AC9" w14:paraId="241115E4"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2F3C02A0"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Oct-13</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C3D8F2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46</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0AA0C5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9</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6A7FD0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20%</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5A3FCA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24%</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4F210C4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24%</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41DFF52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25%</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47CD97D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546DA7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21%</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A36D18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0%</w:t>
            </w:r>
          </w:p>
        </w:tc>
      </w:tr>
      <w:tr w:rsidR="00F56AC9" w14:paraId="57686320"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3E818A65"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Jun-14</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AA711D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79</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46654EE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15</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792062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19%</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80221F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27%</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4DEC65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31%</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16CEDD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27%</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AEE692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13%</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745527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50%</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97A645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w:t>
            </w:r>
          </w:p>
        </w:tc>
      </w:tr>
      <w:tr w:rsidR="00F56AC9" w14:paraId="500B1CCB"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5AAFB6B0"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Oct-14</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20065A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32</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448070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12</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A42E8E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38%</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3ED5FF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31%</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488AC6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41%</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A4BB5E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36%</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58F274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0%</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FE1C08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21%</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2A2F12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0%</w:t>
            </w:r>
          </w:p>
        </w:tc>
      </w:tr>
      <w:tr w:rsidR="00F56AC9" w14:paraId="13980720"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555C8298"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Jun-15</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90ADBC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71</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09F5ED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21</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4D05C18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30%</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0DF5CE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25%</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43FC98A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31%</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4C78630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27%</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417BFE2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10%</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4CD0F1C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0%</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6D77B0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w:t>
            </w:r>
          </w:p>
        </w:tc>
      </w:tr>
      <w:tr w:rsidR="00F56AC9" w14:paraId="72964330"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4A561DF5"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Oct-15</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4C816D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52</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B214A5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11</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72CC3D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21%</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B61F4C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25%</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47F8893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27%</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4B5577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28%</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BE9C24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0%</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1CE16C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10%</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4A4C77A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0%</w:t>
            </w:r>
          </w:p>
        </w:tc>
      </w:tr>
      <w:tr w:rsidR="00F56AC9" w14:paraId="1E3254AA"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099C7144"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Jun-16</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1B1F5A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45</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32ABBA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12</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96CB16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27%</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9DFADAB" w14:textId="77777777" w:rsidR="00F56AC9" w:rsidRDefault="00F56AC9" w:rsidP="00F56AC9">
            <w:pPr>
              <w:pStyle w:val="normal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24%</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516316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26%</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F71B2F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23%</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7EBFF02" w14:textId="4BBCC6CD"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r w:rsidR="00BA3476">
              <w:rPr>
                <w:rFonts w:ascii="Calibri" w:eastAsia="Calibri" w:hAnsi="Calibri" w:cs="Calibri"/>
                <w:color w:val="333333"/>
                <w:sz w:val="18"/>
                <w:szCs w:val="18"/>
                <w:highlight w:val="white"/>
                <w:vertAlign w:val="superscript"/>
              </w:rPr>
              <w:footnoteReference w:id="17"/>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3A2AF9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3361E3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r>
      <w:tr w:rsidR="00F56AC9" w14:paraId="7FF85FB9"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0BE6BD13"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Oct-16</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DF0480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28</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6085BB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14</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9B311C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50%</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5BF112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26%</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E01248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47%</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CE2834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8D3959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81E5DF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00737E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r>
    </w:tbl>
    <w:p w14:paraId="25C500BF" w14:textId="01D3052B" w:rsidR="00F56AC9" w:rsidRDefault="00F56AC9">
      <w:pPr>
        <w:rPr>
          <w:color w:val="7A7E84"/>
        </w:rPr>
      </w:pPr>
    </w:p>
    <w:p w14:paraId="1779F799" w14:textId="77777777" w:rsidR="00BA3476" w:rsidRDefault="00BA3476">
      <w:pPr>
        <w:rPr>
          <w:rFonts w:ascii="Calibri" w:eastAsia="Calibri" w:hAnsi="Calibri" w:cs="Calibri"/>
          <w:b/>
          <w:sz w:val="22"/>
          <w:szCs w:val="22"/>
        </w:rPr>
      </w:pPr>
    </w:p>
    <w:p w14:paraId="3B80D0F7" w14:textId="5662DDAA" w:rsidR="00F56AC9" w:rsidRDefault="00F56AC9" w:rsidP="00F56AC9">
      <w:pPr>
        <w:pStyle w:val="normal0"/>
        <w:ind w:left="1440" w:firstLine="720"/>
        <w:rPr>
          <w:sz w:val="26"/>
          <w:szCs w:val="26"/>
        </w:rPr>
      </w:pPr>
      <w:r>
        <w:rPr>
          <w:rFonts w:ascii="Calibri" w:eastAsia="Calibri" w:hAnsi="Calibri" w:cs="Calibri"/>
          <w:b/>
          <w:sz w:val="22"/>
          <w:szCs w:val="22"/>
        </w:rPr>
        <w:lastRenderedPageBreak/>
        <w:t>California First Year Law Students’ Exam - Comparative Overall Pass Rates</w:t>
      </w:r>
      <w:r w:rsidR="00BA3476">
        <w:rPr>
          <w:rFonts w:ascii="Calibri" w:eastAsia="Calibri" w:hAnsi="Calibri" w:cs="Calibri"/>
          <w:b/>
          <w:sz w:val="22"/>
          <w:szCs w:val="22"/>
          <w:vertAlign w:val="superscript"/>
        </w:rPr>
        <w:footnoteReference w:id="18"/>
      </w:r>
    </w:p>
    <w:tbl>
      <w:tblPr>
        <w:tblStyle w:val="a5"/>
        <w:tblW w:w="10843" w:type="dxa"/>
        <w:tblBorders>
          <w:top w:val="nil"/>
          <w:left w:val="nil"/>
          <w:bottom w:val="nil"/>
          <w:right w:val="nil"/>
          <w:insideH w:val="nil"/>
          <w:insideV w:val="nil"/>
        </w:tblBorders>
        <w:tblLayout w:type="fixed"/>
        <w:tblLook w:val="0600" w:firstRow="0" w:lastRow="0" w:firstColumn="0" w:lastColumn="0" w:noHBand="1" w:noVBand="1"/>
      </w:tblPr>
      <w:tblGrid>
        <w:gridCol w:w="675"/>
        <w:gridCol w:w="915"/>
        <w:gridCol w:w="825"/>
        <w:gridCol w:w="990"/>
        <w:gridCol w:w="945"/>
        <w:gridCol w:w="1363"/>
        <w:gridCol w:w="1350"/>
        <w:gridCol w:w="1350"/>
        <w:gridCol w:w="1170"/>
        <w:gridCol w:w="1260"/>
      </w:tblGrid>
      <w:tr w:rsidR="00F56AC9" w14:paraId="289DC28F" w14:textId="77777777" w:rsidTr="00BA3476">
        <w:tc>
          <w:tcPr>
            <w:tcW w:w="675" w:type="dxa"/>
            <w:tcBorders>
              <w:top w:val="single" w:sz="6" w:space="0" w:color="CCCCCC"/>
              <w:left w:val="single" w:sz="6" w:space="0" w:color="CCCCCC"/>
              <w:bottom w:val="single" w:sz="6" w:space="0" w:color="CCCCCC"/>
              <w:right w:val="single" w:sz="6" w:space="0" w:color="CCCCCC"/>
            </w:tcBorders>
            <w:shd w:val="clear" w:color="auto" w:fill="0A487D"/>
            <w:tcMar>
              <w:top w:w="43" w:type="dxa"/>
              <w:left w:w="29" w:type="dxa"/>
              <w:bottom w:w="29" w:type="dxa"/>
              <w:right w:w="29" w:type="dxa"/>
            </w:tcMar>
          </w:tcPr>
          <w:p w14:paraId="57DD75F6" w14:textId="77777777" w:rsidR="00F56AC9" w:rsidRDefault="00F56AC9" w:rsidP="00F56AC9">
            <w:pPr>
              <w:pStyle w:val="normal0"/>
              <w:ind w:left="-140"/>
              <w:jc w:val="center"/>
              <w:rPr>
                <w:rFonts w:ascii="Calibri" w:eastAsia="Calibri" w:hAnsi="Calibri" w:cs="Calibri"/>
                <w:b/>
                <w:color w:val="FFFFFF"/>
                <w:sz w:val="20"/>
                <w:szCs w:val="20"/>
                <w:shd w:val="clear" w:color="auto" w:fill="0A487D"/>
              </w:rPr>
            </w:pPr>
            <w:r>
              <w:rPr>
                <w:rFonts w:ascii="Calibri" w:eastAsia="Calibri" w:hAnsi="Calibri" w:cs="Calibri"/>
                <w:b/>
                <w:color w:val="FFFFFF"/>
                <w:sz w:val="20"/>
                <w:szCs w:val="20"/>
                <w:shd w:val="clear" w:color="auto" w:fill="0A487D"/>
              </w:rPr>
              <w:t>Exam Date</w:t>
            </w:r>
          </w:p>
        </w:tc>
        <w:tc>
          <w:tcPr>
            <w:tcW w:w="915" w:type="dxa"/>
            <w:tcBorders>
              <w:top w:val="single" w:sz="6" w:space="0" w:color="CCCCCC"/>
              <w:left w:val="single" w:sz="6" w:space="0" w:color="CCCCCC"/>
              <w:bottom w:val="single" w:sz="6" w:space="0" w:color="CCCCCC"/>
              <w:right w:val="single" w:sz="6" w:space="0" w:color="CCCCCC"/>
            </w:tcBorders>
            <w:shd w:val="clear" w:color="auto" w:fill="0A487D"/>
            <w:tcMar>
              <w:top w:w="43" w:type="dxa"/>
              <w:left w:w="29" w:type="dxa"/>
              <w:bottom w:w="29" w:type="dxa"/>
              <w:right w:w="29" w:type="dxa"/>
            </w:tcMar>
          </w:tcPr>
          <w:p w14:paraId="66033D39" w14:textId="77777777" w:rsidR="00F56AC9" w:rsidRDefault="00F56AC9" w:rsidP="00F56AC9">
            <w:pPr>
              <w:pStyle w:val="normal0"/>
              <w:ind w:left="-140"/>
              <w:jc w:val="center"/>
              <w:rPr>
                <w:rFonts w:ascii="Calibri" w:eastAsia="Calibri" w:hAnsi="Calibri" w:cs="Calibri"/>
                <w:b/>
                <w:color w:val="FFFFFF"/>
                <w:sz w:val="20"/>
                <w:szCs w:val="20"/>
                <w:shd w:val="clear" w:color="auto" w:fill="0A487D"/>
              </w:rPr>
            </w:pPr>
            <w:r>
              <w:rPr>
                <w:rFonts w:ascii="Calibri" w:eastAsia="Calibri" w:hAnsi="Calibri" w:cs="Calibri"/>
                <w:b/>
                <w:color w:val="FFFFFF"/>
                <w:sz w:val="20"/>
                <w:szCs w:val="20"/>
                <w:shd w:val="clear" w:color="auto" w:fill="0A487D"/>
              </w:rPr>
              <w:t>CLS Overall Takers</w:t>
            </w:r>
          </w:p>
        </w:tc>
        <w:tc>
          <w:tcPr>
            <w:tcW w:w="825" w:type="dxa"/>
            <w:tcBorders>
              <w:top w:val="single" w:sz="6" w:space="0" w:color="CCCCCC"/>
              <w:left w:val="single" w:sz="6" w:space="0" w:color="CCCCCC"/>
              <w:bottom w:val="single" w:sz="6" w:space="0" w:color="CCCCCC"/>
              <w:right w:val="single" w:sz="6" w:space="0" w:color="CCCCCC"/>
            </w:tcBorders>
            <w:shd w:val="clear" w:color="auto" w:fill="0A487D"/>
            <w:tcMar>
              <w:top w:w="43" w:type="dxa"/>
              <w:left w:w="29" w:type="dxa"/>
              <w:bottom w:w="29" w:type="dxa"/>
              <w:right w:w="29" w:type="dxa"/>
            </w:tcMar>
          </w:tcPr>
          <w:p w14:paraId="2550B243" w14:textId="77777777" w:rsidR="00F56AC9" w:rsidRDefault="00F56AC9" w:rsidP="00F56AC9">
            <w:pPr>
              <w:pStyle w:val="normal0"/>
              <w:ind w:left="-140"/>
              <w:jc w:val="center"/>
              <w:rPr>
                <w:rFonts w:ascii="Calibri" w:eastAsia="Calibri" w:hAnsi="Calibri" w:cs="Calibri"/>
                <w:b/>
                <w:color w:val="FFFFFF"/>
                <w:sz w:val="20"/>
                <w:szCs w:val="20"/>
                <w:shd w:val="clear" w:color="auto" w:fill="0A487D"/>
              </w:rPr>
            </w:pPr>
            <w:r>
              <w:rPr>
                <w:rFonts w:ascii="Calibri" w:eastAsia="Calibri" w:hAnsi="Calibri" w:cs="Calibri"/>
                <w:b/>
                <w:color w:val="FFFFFF"/>
                <w:sz w:val="20"/>
                <w:szCs w:val="20"/>
                <w:shd w:val="clear" w:color="auto" w:fill="0A487D"/>
              </w:rPr>
              <w:t>CLS Overall Passers</w:t>
            </w:r>
          </w:p>
        </w:tc>
        <w:tc>
          <w:tcPr>
            <w:tcW w:w="990" w:type="dxa"/>
            <w:tcBorders>
              <w:top w:val="single" w:sz="6" w:space="0" w:color="CCCCCC"/>
              <w:left w:val="single" w:sz="6" w:space="0" w:color="CCCCCC"/>
              <w:bottom w:val="single" w:sz="6" w:space="0" w:color="CCCCCC"/>
              <w:right w:val="single" w:sz="6" w:space="0" w:color="CCCCCC"/>
            </w:tcBorders>
            <w:shd w:val="clear" w:color="auto" w:fill="0A487D"/>
            <w:tcMar>
              <w:top w:w="43" w:type="dxa"/>
              <w:left w:w="29" w:type="dxa"/>
              <w:bottom w:w="29" w:type="dxa"/>
              <w:right w:w="29" w:type="dxa"/>
            </w:tcMar>
          </w:tcPr>
          <w:p w14:paraId="23D3862A" w14:textId="77777777" w:rsidR="00F56AC9" w:rsidRDefault="00F56AC9" w:rsidP="00F56AC9">
            <w:pPr>
              <w:pStyle w:val="normal0"/>
              <w:ind w:left="-140"/>
              <w:jc w:val="center"/>
              <w:rPr>
                <w:rFonts w:ascii="Calibri" w:eastAsia="Calibri" w:hAnsi="Calibri" w:cs="Calibri"/>
                <w:b/>
                <w:color w:val="FFFFFF"/>
                <w:sz w:val="20"/>
                <w:szCs w:val="20"/>
                <w:shd w:val="clear" w:color="auto" w:fill="0A487D"/>
              </w:rPr>
            </w:pPr>
            <w:r>
              <w:rPr>
                <w:rFonts w:ascii="Calibri" w:eastAsia="Calibri" w:hAnsi="Calibri" w:cs="Calibri"/>
                <w:b/>
                <w:color w:val="FFFFFF"/>
                <w:sz w:val="20"/>
                <w:szCs w:val="20"/>
                <w:shd w:val="clear" w:color="auto" w:fill="0A487D"/>
              </w:rPr>
              <w:t>CLS Overall Pass Rate</w:t>
            </w:r>
          </w:p>
        </w:tc>
        <w:tc>
          <w:tcPr>
            <w:tcW w:w="945" w:type="dxa"/>
            <w:tcBorders>
              <w:top w:val="single" w:sz="6" w:space="0" w:color="CCCCCC"/>
              <w:left w:val="single" w:sz="6" w:space="0" w:color="CCCCCC"/>
              <w:bottom w:val="single" w:sz="6" w:space="0" w:color="CCCCCC"/>
              <w:right w:val="single" w:sz="6" w:space="0" w:color="CCCCCC"/>
            </w:tcBorders>
            <w:shd w:val="clear" w:color="auto" w:fill="0A487D"/>
            <w:tcMar>
              <w:top w:w="43" w:type="dxa"/>
              <w:left w:w="29" w:type="dxa"/>
              <w:bottom w:w="29" w:type="dxa"/>
              <w:right w:w="29" w:type="dxa"/>
            </w:tcMar>
          </w:tcPr>
          <w:p w14:paraId="04CEBA39" w14:textId="77777777" w:rsidR="00F56AC9" w:rsidRDefault="00F56AC9" w:rsidP="00F56AC9">
            <w:pPr>
              <w:pStyle w:val="normal0"/>
              <w:ind w:left="-140"/>
              <w:jc w:val="center"/>
              <w:rPr>
                <w:rFonts w:ascii="Calibri" w:eastAsia="Calibri" w:hAnsi="Calibri" w:cs="Calibri"/>
                <w:b/>
                <w:color w:val="FFFFFF"/>
                <w:sz w:val="20"/>
                <w:szCs w:val="20"/>
                <w:shd w:val="clear" w:color="auto" w:fill="0A487D"/>
              </w:rPr>
            </w:pPr>
            <w:r>
              <w:rPr>
                <w:rFonts w:ascii="Calibri" w:eastAsia="Calibri" w:hAnsi="Calibri" w:cs="Calibri"/>
                <w:b/>
                <w:color w:val="FFFFFF"/>
                <w:sz w:val="20"/>
                <w:szCs w:val="20"/>
                <w:shd w:val="clear" w:color="auto" w:fill="0A487D"/>
              </w:rPr>
              <w:t>Overall Pass Rate All Takers</w:t>
            </w:r>
          </w:p>
        </w:tc>
        <w:tc>
          <w:tcPr>
            <w:tcW w:w="1363" w:type="dxa"/>
            <w:tcBorders>
              <w:top w:val="single" w:sz="6" w:space="0" w:color="CCCCCC"/>
              <w:left w:val="single" w:sz="6" w:space="0" w:color="CCCCCC"/>
              <w:bottom w:val="single" w:sz="6" w:space="0" w:color="CCCCCC"/>
              <w:right w:val="single" w:sz="6" w:space="0" w:color="CCCCCC"/>
            </w:tcBorders>
            <w:shd w:val="clear" w:color="auto" w:fill="0A487D"/>
            <w:tcMar>
              <w:top w:w="43" w:type="dxa"/>
              <w:left w:w="29" w:type="dxa"/>
              <w:bottom w:w="29" w:type="dxa"/>
              <w:right w:w="29" w:type="dxa"/>
            </w:tcMar>
          </w:tcPr>
          <w:p w14:paraId="09CAE2B2" w14:textId="77777777" w:rsidR="00F56AC9" w:rsidRDefault="00F56AC9" w:rsidP="00F56AC9">
            <w:pPr>
              <w:pStyle w:val="normal0"/>
              <w:ind w:left="-140"/>
              <w:jc w:val="center"/>
              <w:rPr>
                <w:rFonts w:ascii="Calibri" w:eastAsia="Calibri" w:hAnsi="Calibri" w:cs="Calibri"/>
                <w:b/>
                <w:color w:val="FFFFFF"/>
                <w:sz w:val="21"/>
                <w:szCs w:val="21"/>
                <w:shd w:val="clear" w:color="auto" w:fill="0A487D"/>
              </w:rPr>
            </w:pPr>
            <w:r>
              <w:rPr>
                <w:rFonts w:ascii="Calibri" w:eastAsia="Calibri" w:hAnsi="Calibri" w:cs="Calibri"/>
                <w:b/>
                <w:color w:val="FFFFFF"/>
                <w:sz w:val="21"/>
                <w:szCs w:val="21"/>
                <w:shd w:val="clear" w:color="auto" w:fill="0A487D"/>
              </w:rPr>
              <w:t>Overall Pass Rate Unaccredited Distance Learning</w:t>
            </w:r>
          </w:p>
        </w:tc>
        <w:tc>
          <w:tcPr>
            <w:tcW w:w="1350" w:type="dxa"/>
            <w:tcBorders>
              <w:top w:val="single" w:sz="6" w:space="0" w:color="CCCCCC"/>
              <w:left w:val="single" w:sz="6" w:space="0" w:color="CCCCCC"/>
              <w:bottom w:val="single" w:sz="6" w:space="0" w:color="CCCCCC"/>
              <w:right w:val="single" w:sz="6" w:space="0" w:color="CCCCCC"/>
            </w:tcBorders>
            <w:shd w:val="clear" w:color="auto" w:fill="0A487D"/>
            <w:tcMar>
              <w:top w:w="43" w:type="dxa"/>
              <w:left w:w="29" w:type="dxa"/>
              <w:bottom w:w="29" w:type="dxa"/>
              <w:right w:w="29" w:type="dxa"/>
            </w:tcMar>
          </w:tcPr>
          <w:p w14:paraId="47676CCD" w14:textId="77777777" w:rsidR="00F56AC9" w:rsidRDefault="00F56AC9" w:rsidP="00F56AC9">
            <w:pPr>
              <w:pStyle w:val="normal0"/>
              <w:ind w:left="-140"/>
              <w:jc w:val="center"/>
              <w:rPr>
                <w:rFonts w:ascii="Calibri" w:eastAsia="Calibri" w:hAnsi="Calibri" w:cs="Calibri"/>
                <w:b/>
                <w:color w:val="FFFFFF"/>
                <w:sz w:val="21"/>
                <w:szCs w:val="21"/>
                <w:shd w:val="clear" w:color="auto" w:fill="0A487D"/>
              </w:rPr>
            </w:pPr>
            <w:r>
              <w:rPr>
                <w:rFonts w:ascii="Calibri" w:eastAsia="Calibri" w:hAnsi="Calibri" w:cs="Calibri"/>
                <w:b/>
                <w:color w:val="FFFFFF"/>
                <w:sz w:val="21"/>
                <w:szCs w:val="21"/>
                <w:shd w:val="clear" w:color="auto" w:fill="0A487D"/>
              </w:rPr>
              <w:t>Overall Pass Rate Unaccredited--All</w:t>
            </w:r>
          </w:p>
        </w:tc>
        <w:tc>
          <w:tcPr>
            <w:tcW w:w="1350" w:type="dxa"/>
            <w:tcBorders>
              <w:top w:val="single" w:sz="6" w:space="0" w:color="CCCCCC"/>
              <w:left w:val="single" w:sz="6" w:space="0" w:color="CCCCCC"/>
              <w:bottom w:val="single" w:sz="6" w:space="0" w:color="CCCCCC"/>
              <w:right w:val="single" w:sz="6" w:space="0" w:color="CCCCCC"/>
            </w:tcBorders>
            <w:shd w:val="clear" w:color="auto" w:fill="0A487D"/>
            <w:tcMar>
              <w:top w:w="43" w:type="dxa"/>
              <w:left w:w="29" w:type="dxa"/>
              <w:bottom w:w="29" w:type="dxa"/>
              <w:right w:w="29" w:type="dxa"/>
            </w:tcMar>
          </w:tcPr>
          <w:p w14:paraId="65C5DFC5" w14:textId="77777777" w:rsidR="00F56AC9" w:rsidRDefault="00F56AC9" w:rsidP="00F56AC9">
            <w:pPr>
              <w:pStyle w:val="normal0"/>
              <w:ind w:left="-140"/>
              <w:jc w:val="center"/>
              <w:rPr>
                <w:rFonts w:ascii="Calibri" w:eastAsia="Calibri" w:hAnsi="Calibri" w:cs="Calibri"/>
                <w:b/>
                <w:color w:val="FFFFFF"/>
                <w:sz w:val="21"/>
                <w:szCs w:val="21"/>
                <w:shd w:val="clear" w:color="auto" w:fill="0A487D"/>
              </w:rPr>
            </w:pPr>
            <w:r>
              <w:rPr>
                <w:rFonts w:ascii="Calibri" w:eastAsia="Calibri" w:hAnsi="Calibri" w:cs="Calibri"/>
                <w:b/>
                <w:color w:val="FFFFFF"/>
                <w:sz w:val="21"/>
                <w:szCs w:val="21"/>
                <w:shd w:val="clear" w:color="auto" w:fill="0A487D"/>
              </w:rPr>
              <w:t>Overall Pass Rate California- Accredited</w:t>
            </w:r>
          </w:p>
        </w:tc>
        <w:tc>
          <w:tcPr>
            <w:tcW w:w="1170" w:type="dxa"/>
            <w:tcBorders>
              <w:top w:val="single" w:sz="6" w:space="0" w:color="CCCCCC"/>
              <w:left w:val="single" w:sz="6" w:space="0" w:color="CCCCCC"/>
              <w:bottom w:val="single" w:sz="6" w:space="0" w:color="CCCCCC"/>
              <w:right w:val="single" w:sz="6" w:space="0" w:color="CCCCCC"/>
            </w:tcBorders>
            <w:shd w:val="clear" w:color="auto" w:fill="0A487D"/>
            <w:tcMar>
              <w:top w:w="43" w:type="dxa"/>
              <w:left w:w="29" w:type="dxa"/>
              <w:bottom w:w="29" w:type="dxa"/>
              <w:right w:w="29" w:type="dxa"/>
            </w:tcMar>
          </w:tcPr>
          <w:p w14:paraId="73266699" w14:textId="77777777" w:rsidR="00F56AC9" w:rsidRDefault="00F56AC9" w:rsidP="00F56AC9">
            <w:pPr>
              <w:pStyle w:val="normal0"/>
              <w:ind w:left="-140"/>
              <w:jc w:val="center"/>
              <w:rPr>
                <w:rFonts w:ascii="Calibri" w:eastAsia="Calibri" w:hAnsi="Calibri" w:cs="Calibri"/>
                <w:b/>
                <w:color w:val="FFFFFF"/>
                <w:sz w:val="21"/>
                <w:szCs w:val="21"/>
                <w:shd w:val="clear" w:color="auto" w:fill="0A487D"/>
              </w:rPr>
            </w:pPr>
            <w:r>
              <w:rPr>
                <w:rFonts w:ascii="Calibri" w:eastAsia="Calibri" w:hAnsi="Calibri" w:cs="Calibri"/>
                <w:b/>
                <w:color w:val="FFFFFF"/>
                <w:sz w:val="21"/>
                <w:szCs w:val="21"/>
                <w:shd w:val="clear" w:color="auto" w:fill="0A487D"/>
              </w:rPr>
              <w:t>Overall Pass Rate ABA (In-State)</w:t>
            </w:r>
          </w:p>
        </w:tc>
        <w:tc>
          <w:tcPr>
            <w:tcW w:w="1260" w:type="dxa"/>
            <w:tcBorders>
              <w:top w:val="single" w:sz="6" w:space="0" w:color="CCCCCC"/>
              <w:left w:val="single" w:sz="6" w:space="0" w:color="CCCCCC"/>
              <w:bottom w:val="single" w:sz="6" w:space="0" w:color="CCCCCC"/>
              <w:right w:val="single" w:sz="6" w:space="0" w:color="CCCCCC"/>
            </w:tcBorders>
            <w:shd w:val="clear" w:color="auto" w:fill="0A487D"/>
            <w:tcMar>
              <w:top w:w="43" w:type="dxa"/>
              <w:left w:w="29" w:type="dxa"/>
              <w:bottom w:w="29" w:type="dxa"/>
              <w:right w:w="29" w:type="dxa"/>
            </w:tcMar>
          </w:tcPr>
          <w:p w14:paraId="233AFA37" w14:textId="77777777" w:rsidR="00F56AC9" w:rsidRDefault="00F56AC9" w:rsidP="00F56AC9">
            <w:pPr>
              <w:pStyle w:val="normal0"/>
              <w:ind w:left="-140"/>
              <w:jc w:val="center"/>
              <w:rPr>
                <w:rFonts w:ascii="Calibri" w:eastAsia="Calibri" w:hAnsi="Calibri" w:cs="Calibri"/>
                <w:b/>
                <w:color w:val="FFFFFF"/>
                <w:sz w:val="21"/>
                <w:szCs w:val="21"/>
                <w:shd w:val="clear" w:color="auto" w:fill="0A487D"/>
              </w:rPr>
            </w:pPr>
            <w:r>
              <w:rPr>
                <w:rFonts w:ascii="Calibri" w:eastAsia="Calibri" w:hAnsi="Calibri" w:cs="Calibri"/>
                <w:b/>
                <w:color w:val="FFFFFF"/>
                <w:sz w:val="21"/>
                <w:szCs w:val="21"/>
                <w:shd w:val="clear" w:color="auto" w:fill="0A487D"/>
              </w:rPr>
              <w:t>Overall Pass Rate ABA (Non-CA)</w:t>
            </w:r>
          </w:p>
        </w:tc>
      </w:tr>
      <w:tr w:rsidR="00F56AC9" w14:paraId="692A79F8"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473DB2BA"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Oct-99</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4FE6E0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20</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4FD0B27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7</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45ADBC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35%</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CAEB17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4DA2CD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0F6360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082834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9F410F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33CA8F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r>
      <w:tr w:rsidR="00F56AC9" w14:paraId="3FFED9DB"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1D961D6D"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Jun-00</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2F39B8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34</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6A1E44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8</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BBF630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24%</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846679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001159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44A57CB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BAD9FC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ED7078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4A47CFE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r>
      <w:tr w:rsidR="00F56AC9" w14:paraId="67631E8C"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2EF88EB6"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Oct-00</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087A20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30</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E5FAC1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7</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759445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23%</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69EDB7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755A6B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BE98F7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4A3107D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607A87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ED5B3E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r>
      <w:tr w:rsidR="00F56AC9" w14:paraId="241BFE16"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6097D047"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Jun-01</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B1E117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103</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B906AE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38</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E62F37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37%</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5240A1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2A485C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CACE05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F2804B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D48A7A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753C79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r>
      <w:tr w:rsidR="00F56AC9" w14:paraId="518349EF"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60EF67DC"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Oct-01</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B7042E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87</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CC38BE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37</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4DB240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43%</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601741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0D03B1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F78219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EAEAE0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E57E1A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C7938C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r>
      <w:tr w:rsidR="00F56AC9" w14:paraId="2B70E9CF"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34B83F8D"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Jun-02</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B6AC30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172</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9C82C2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68</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F5364E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40%</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D52F8B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31C558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10AF0B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BC27FD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FB02F2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50CE9C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r>
      <w:tr w:rsidR="00F56AC9" w14:paraId="52F00AB2"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25C6695E"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Oct-02</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47C4F35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120</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9B859A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39</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054179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33%</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51AA18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9B27F9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FD4D63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32B9F9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B96AEA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EB8646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r>
      <w:tr w:rsidR="00F56AC9" w14:paraId="288E0673"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5DD73B9C"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Jun-03</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516AD8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198</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20D114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79</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A5CB1D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40%</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11ECE2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5D8B58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5B87DF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1C6487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ED7239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E7C7B2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r>
      <w:tr w:rsidR="00F56AC9" w14:paraId="52D320F7"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6B9A3DD8"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Oct-03</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743800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166</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393706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48</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A4CBDF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29%</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D1FB72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4C2C6B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F4D0E2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A24BB3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E2E3C8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ED4552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r>
      <w:tr w:rsidR="00F56AC9" w14:paraId="47288DA6"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08A48A3C"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Jun-04</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B57E5D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294</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619D60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97</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834B1B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33%</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892BE4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099985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F76C59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A87B06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286A12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1E1312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r>
      <w:tr w:rsidR="00F56AC9" w14:paraId="389F505B"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79CEEE45"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Oct-04</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297CC8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303</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48DE31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101</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24E660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33%</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4AC6DD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5FD8D8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4B2BE43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DDDE55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4B44DF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4420C7D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r>
      <w:tr w:rsidR="00F56AC9" w14:paraId="2E17928C"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52DA9750"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Jun-05</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6EBB34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352</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B487A4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108</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687384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31%</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C86D0C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B03A1E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568004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1DE7A7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F0CA0D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284074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r>
      <w:tr w:rsidR="00F56AC9" w14:paraId="5201CBA5"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595DCC57"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Oct-05</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E750A6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276</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B1C373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85</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47EAB6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31%</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A83068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F9D6C8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558BBE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82E40D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17B99A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DC38CE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r>
      <w:tr w:rsidR="00F56AC9" w14:paraId="006F1CFC"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29EE47D8"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Jun 06</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546E73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345</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C20CFD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96</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1D35BE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28%</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479884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56D0F8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3FADB2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9B6714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723E82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78F52F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r>
      <w:tr w:rsidR="00F56AC9" w14:paraId="4E309BBD"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41B7B30F"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Oct-06</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F5D132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263</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0B58AA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86</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F94F25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33%</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02122E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25%</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245068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D17761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27%</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81AAB3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11%</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227732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32%</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E78DFD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8%</w:t>
            </w:r>
          </w:p>
        </w:tc>
      </w:tr>
      <w:tr w:rsidR="00F56AC9" w14:paraId="71FBC1F6"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39D390EE"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Jun-07</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46BCA3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237</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638511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47</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98C3F1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20%</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45D3DB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18%</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81609C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080C3E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19%</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6E8FEE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3882A1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26%</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9C4123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14%</w:t>
            </w:r>
          </w:p>
        </w:tc>
      </w:tr>
      <w:tr w:rsidR="00F56AC9" w14:paraId="53CCE874"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624CEF7A"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Oct-07</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C8C17E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197</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57EBB8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51</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49EE3C5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26%</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38D6B7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19%</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3614F6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N/A</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72F4C8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19%</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C98911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15%</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4021CE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27%</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01BC12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0%</w:t>
            </w:r>
          </w:p>
        </w:tc>
      </w:tr>
      <w:tr w:rsidR="00F56AC9" w14:paraId="0DE71F69"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76FE7F55"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Jun-08</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C67CDE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241</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551D6B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82</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FA77AE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34%</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723E2B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26%</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6BE442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31%</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C4A522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27%</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A3F94C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20%</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43AE5D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25%</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428F48C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11%</w:t>
            </w:r>
          </w:p>
        </w:tc>
      </w:tr>
      <w:tr w:rsidR="00F56AC9" w14:paraId="65E49ECF"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76ACA5F4"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Oct-08</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867854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196</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671474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14</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2C7DE5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13%</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8A8580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15%</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D463B3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13%</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A5AA70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14%</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2C7005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7654EB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30%</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48AA4E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33%</w:t>
            </w:r>
          </w:p>
        </w:tc>
      </w:tr>
      <w:tr w:rsidR="00F56AC9" w14:paraId="75D12851"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0EAD5F31"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Jun-09</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C29952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226</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24C7F9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63</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BC6BB8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28%</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2164DA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22%</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CAD6D9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25%</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452DC3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22%</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9D68B4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18%</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6A9510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38%</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8970CC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13%</w:t>
            </w:r>
          </w:p>
        </w:tc>
      </w:tr>
      <w:tr w:rsidR="00F56AC9" w14:paraId="690D3336"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7404B451"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Oct-09</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386823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207</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A3F068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37</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EEAFF1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18%</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84964E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19%</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2B0F7A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16%</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A1A175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19%</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5FF262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10%</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866743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24%</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D852C9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0%</w:t>
            </w:r>
          </w:p>
        </w:tc>
      </w:tr>
      <w:tr w:rsidR="00F56AC9" w14:paraId="09D4C924"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3A7296F4"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Jun-10</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915DD8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247</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6E0DB3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59</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B47806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24%</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116206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25%</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8E5C46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23%</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1AC1A4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25%</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278E97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17%</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3A2362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37%</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103620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0%</w:t>
            </w:r>
          </w:p>
        </w:tc>
      </w:tr>
      <w:tr w:rsidR="00F56AC9" w14:paraId="6EB28717"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433523B3"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Oct-10</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8A757A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202</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6DA826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43</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7C9700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21%</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45DA8E0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20%</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C87C78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20%</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FFEAB9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20%</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808703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6.3%</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6C654C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26%</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1AE81B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w:t>
            </w:r>
          </w:p>
        </w:tc>
      </w:tr>
      <w:tr w:rsidR="00F56AC9" w14:paraId="0D616FF0"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51F5801B"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Jun-11</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240644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237</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B54A54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49</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4956782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21%</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54D443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19%</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03DF09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19%</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343435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19%</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67C52A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13%</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A7C957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44%</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87F796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0%</w:t>
            </w:r>
          </w:p>
        </w:tc>
      </w:tr>
      <w:tr w:rsidR="00F56AC9" w14:paraId="05D724FB"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6E1005E7"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Oct-11</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7BF663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196</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4C0B95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46</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092764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24%</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DD136F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19%</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E35CD2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24%</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10B8EC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21%</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3716B0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10%</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1245D6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21%</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B206BD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0%</w:t>
            </w:r>
          </w:p>
        </w:tc>
      </w:tr>
      <w:tr w:rsidR="00F56AC9" w14:paraId="0DBA73CD"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29B251EE"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Jun-12</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8FDD96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192</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D89F1E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40</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011E83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21%</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A06299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21%</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975AA9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22%</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21E59E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22%</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16C57E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13%</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474EFF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12%</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527AA3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0%</w:t>
            </w:r>
          </w:p>
        </w:tc>
      </w:tr>
      <w:tr w:rsidR="00F56AC9" w14:paraId="6090F5B8"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44F93559"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Oct-12</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78061D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163</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335312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22</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AAC18D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14%</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74197E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16%</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A6D07F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14%</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3D7EF3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16%</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E00F24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9%</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55CBF0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16%</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421952F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0%</w:t>
            </w:r>
          </w:p>
        </w:tc>
      </w:tr>
      <w:tr w:rsidR="00F56AC9" w14:paraId="33E11F91"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342F76D3"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Jun-13</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BEE547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189</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12B54F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49</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66650C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26%</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E34E69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24%</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E7EE69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25%</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561812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25%</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8A5967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16%</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389CAB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32%</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4831A70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0%</w:t>
            </w:r>
          </w:p>
        </w:tc>
      </w:tr>
      <w:tr w:rsidR="00F56AC9" w14:paraId="07A1FE7F"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5E84D2B8"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Oct-13</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894BCE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134</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D1FBE8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26</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5DC843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19%</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7C885D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19%</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2C3B04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20%</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84E2A1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20%</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9B2C60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4A648B9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25%</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E4BA91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0%</w:t>
            </w:r>
          </w:p>
        </w:tc>
      </w:tr>
      <w:tr w:rsidR="00F56AC9" w14:paraId="79BCD185"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6CACF147"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Jun-14</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41B111E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152</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41088DF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33</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03B9F7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22%</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A61647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23%</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556C5C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27%</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CED2D4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24%</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1EF0C3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9%</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AB41A3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22%</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A5E2BA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0%</w:t>
            </w:r>
          </w:p>
        </w:tc>
      </w:tr>
      <w:tr w:rsidR="00F56AC9" w14:paraId="79AF14A9"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5BBEDC31"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Oct-14</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44122DD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98</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874D25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27</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4B53F0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28%</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83F9B9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25%</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B41354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31%</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FA649A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28%</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9634EC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11%</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1D1DEF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20%</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B6480D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0%</w:t>
            </w:r>
          </w:p>
        </w:tc>
      </w:tr>
      <w:tr w:rsidR="00F56AC9" w14:paraId="2313B39D"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4CB89AD1"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Jun-15</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11834D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127</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8B0120A"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26</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5B1061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21%</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43436EF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17%</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D04753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21%</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F125C8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18%</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E74B02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9%</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D96FE5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0%</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4A7592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0%</w:t>
            </w:r>
          </w:p>
        </w:tc>
      </w:tr>
      <w:tr w:rsidR="00F56AC9" w14:paraId="049BBF72"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45DE5957"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Oct-15</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E16272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108</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2E83CF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20</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2777BB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19%</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CD1E6DD"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20%</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B92556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25%</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7E3DF5B"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21%</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BFC9F1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4%</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56F366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25%</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687D8F9"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0%</w:t>
            </w:r>
          </w:p>
        </w:tc>
      </w:tr>
      <w:tr w:rsidR="00F56AC9" w14:paraId="0575A9AE"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660C3CF9"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Jun-16</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E8BFE03"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61</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B9CA5F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21</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397A55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34%</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0BAF8FD8" w14:textId="77777777" w:rsidR="00F56AC9" w:rsidRDefault="00F56AC9" w:rsidP="00F56AC9">
            <w:pPr>
              <w:pStyle w:val="normal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24%</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692E07A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21%</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5E804EF"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18%</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111FCF2"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6%</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A21ABA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33%</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8C1FF8E"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0%</w:t>
            </w:r>
          </w:p>
        </w:tc>
      </w:tr>
      <w:tr w:rsidR="00F56AC9" w14:paraId="76AB84C3" w14:textId="77777777" w:rsidTr="00BA3476">
        <w:trPr>
          <w:trHeight w:hRule="exact" w:val="259"/>
        </w:trPr>
        <w:tc>
          <w:tcPr>
            <w:tcW w:w="675" w:type="dxa"/>
            <w:tcBorders>
              <w:top w:val="single" w:sz="6" w:space="0" w:color="CCCCCC"/>
              <w:left w:val="single" w:sz="6" w:space="0" w:color="CCCCCC"/>
              <w:bottom w:val="single" w:sz="6" w:space="0" w:color="CCCCCC"/>
              <w:right w:val="single" w:sz="6" w:space="0" w:color="CCCCCC"/>
            </w:tcBorders>
            <w:shd w:val="clear" w:color="auto" w:fill="F9F9F9"/>
            <w:tcMar>
              <w:top w:w="43" w:type="dxa"/>
              <w:left w:w="29" w:type="dxa"/>
              <w:bottom w:w="29" w:type="dxa"/>
              <w:right w:w="29" w:type="dxa"/>
            </w:tcMar>
          </w:tcPr>
          <w:p w14:paraId="0DFB2971" w14:textId="77777777" w:rsidR="00F56AC9" w:rsidRDefault="00F56AC9" w:rsidP="00F56AC9">
            <w:pPr>
              <w:pStyle w:val="normal0"/>
              <w:ind w:left="-140"/>
              <w:jc w:val="center"/>
              <w:rPr>
                <w:rFonts w:ascii="Calibri" w:eastAsia="Calibri" w:hAnsi="Calibri" w:cs="Calibri"/>
                <w:b/>
                <w:color w:val="333333"/>
                <w:sz w:val="18"/>
                <w:szCs w:val="18"/>
                <w:highlight w:val="white"/>
              </w:rPr>
            </w:pPr>
            <w:r>
              <w:rPr>
                <w:rFonts w:ascii="Calibri" w:eastAsia="Calibri" w:hAnsi="Calibri" w:cs="Calibri"/>
                <w:b/>
                <w:color w:val="333333"/>
                <w:sz w:val="18"/>
                <w:szCs w:val="18"/>
                <w:highlight w:val="white"/>
              </w:rPr>
              <w:t>Oct-16</w:t>
            </w:r>
          </w:p>
        </w:tc>
        <w:tc>
          <w:tcPr>
            <w:tcW w:w="91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7771947C"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51</w:t>
            </w:r>
          </w:p>
        </w:tc>
        <w:tc>
          <w:tcPr>
            <w:tcW w:w="82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5B5A6157"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27</w:t>
            </w:r>
          </w:p>
        </w:tc>
        <w:tc>
          <w:tcPr>
            <w:tcW w:w="99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5553008"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53%</w:t>
            </w:r>
          </w:p>
        </w:tc>
        <w:tc>
          <w:tcPr>
            <w:tcW w:w="945"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0206C30"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23%</w:t>
            </w:r>
          </w:p>
        </w:tc>
        <w:tc>
          <w:tcPr>
            <w:tcW w:w="1363"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6E339A4"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33%</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2627180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25%</w:t>
            </w:r>
          </w:p>
        </w:tc>
        <w:tc>
          <w:tcPr>
            <w:tcW w:w="135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44D0A685"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0%</w:t>
            </w:r>
          </w:p>
        </w:tc>
        <w:tc>
          <w:tcPr>
            <w:tcW w:w="117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13911316"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0%</w:t>
            </w:r>
          </w:p>
        </w:tc>
        <w:tc>
          <w:tcPr>
            <w:tcW w:w="1260" w:type="dxa"/>
            <w:tcBorders>
              <w:top w:val="single" w:sz="6" w:space="0" w:color="CCCCCC"/>
              <w:left w:val="single" w:sz="6" w:space="0" w:color="CCCCCC"/>
              <w:bottom w:val="single" w:sz="6" w:space="0" w:color="CCCCCC"/>
              <w:right w:val="single" w:sz="6" w:space="0" w:color="CCCCCC"/>
            </w:tcBorders>
            <w:tcMar>
              <w:top w:w="43" w:type="dxa"/>
              <w:left w:w="29" w:type="dxa"/>
              <w:bottom w:w="29" w:type="dxa"/>
              <w:right w:w="29" w:type="dxa"/>
            </w:tcMar>
          </w:tcPr>
          <w:p w14:paraId="3F95F381" w14:textId="77777777" w:rsidR="00F56AC9" w:rsidRDefault="00F56AC9" w:rsidP="00F56AC9">
            <w:pPr>
              <w:pStyle w:val="normal0"/>
              <w:ind w:left="-140"/>
              <w:jc w:val="center"/>
              <w:rPr>
                <w:rFonts w:ascii="Calibri" w:eastAsia="Calibri" w:hAnsi="Calibri" w:cs="Calibri"/>
                <w:color w:val="333333"/>
                <w:sz w:val="18"/>
                <w:szCs w:val="18"/>
                <w:highlight w:val="white"/>
              </w:rPr>
            </w:pPr>
            <w:r>
              <w:rPr>
                <w:rFonts w:ascii="Calibri" w:eastAsia="Calibri" w:hAnsi="Calibri" w:cs="Calibri"/>
                <w:color w:val="333333"/>
                <w:sz w:val="18"/>
                <w:szCs w:val="18"/>
                <w:highlight w:val="white"/>
              </w:rPr>
              <w:t>---</w:t>
            </w:r>
          </w:p>
        </w:tc>
      </w:tr>
    </w:tbl>
    <w:p w14:paraId="2D111212" w14:textId="77777777" w:rsidR="00F56AC9" w:rsidRDefault="00F56AC9" w:rsidP="00F56AC9">
      <w:pPr>
        <w:pStyle w:val="normal0"/>
        <w:spacing w:line="360" w:lineRule="auto"/>
        <w:rPr>
          <w:sz w:val="26"/>
          <w:szCs w:val="26"/>
        </w:rPr>
      </w:pPr>
    </w:p>
    <w:p w14:paraId="708C7851" w14:textId="53A731E1" w:rsidR="006726AA" w:rsidRDefault="006726AA">
      <w:pPr>
        <w:rPr>
          <w:sz w:val="26"/>
          <w:szCs w:val="26"/>
        </w:rPr>
      </w:pPr>
      <w:r>
        <w:rPr>
          <w:sz w:val="26"/>
          <w:szCs w:val="26"/>
        </w:rPr>
        <w:br w:type="page"/>
      </w:r>
    </w:p>
    <w:p w14:paraId="115C6190" w14:textId="2D3B0D70" w:rsidR="006726AA" w:rsidRPr="006726AA" w:rsidRDefault="006726AA" w:rsidP="006726AA">
      <w:pPr>
        <w:jc w:val="center"/>
        <w:rPr>
          <w:b/>
          <w:sz w:val="26"/>
          <w:szCs w:val="26"/>
        </w:rPr>
      </w:pPr>
      <w:r w:rsidRPr="006726AA">
        <w:rPr>
          <w:b/>
          <w:sz w:val="26"/>
          <w:szCs w:val="26"/>
        </w:rPr>
        <w:lastRenderedPageBreak/>
        <w:t xml:space="preserve">Appendix </w:t>
      </w:r>
      <w:r>
        <w:rPr>
          <w:b/>
          <w:sz w:val="26"/>
          <w:szCs w:val="26"/>
        </w:rPr>
        <w:t>D</w:t>
      </w:r>
      <w:r w:rsidRPr="006726AA">
        <w:rPr>
          <w:b/>
          <w:sz w:val="26"/>
          <w:szCs w:val="26"/>
        </w:rPr>
        <w:t xml:space="preserve"> – </w:t>
      </w:r>
      <w:r>
        <w:rPr>
          <w:b/>
          <w:sz w:val="26"/>
          <w:szCs w:val="26"/>
        </w:rPr>
        <w:t>CLS Compliance with ABA Accreditation Standards, Program of Legal Education</w:t>
      </w:r>
    </w:p>
    <w:p w14:paraId="63C904CF" w14:textId="77777777" w:rsidR="006726AA" w:rsidRDefault="006726AA" w:rsidP="006726AA">
      <w:pPr>
        <w:pStyle w:val="normal0"/>
        <w:widowControl/>
        <w:rPr>
          <w:rFonts w:ascii="Arial" w:eastAsia="Arial" w:hAnsi="Arial" w:cs="Arial"/>
          <w:sz w:val="20"/>
          <w:szCs w:val="20"/>
        </w:rPr>
      </w:pPr>
    </w:p>
    <w:tbl>
      <w:tblPr>
        <w:tblStyle w:val="a6"/>
        <w:tblW w:w="10840"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600" w:firstRow="0" w:lastRow="0" w:firstColumn="0" w:lastColumn="0" w:noHBand="1" w:noVBand="1"/>
      </w:tblPr>
      <w:tblGrid>
        <w:gridCol w:w="1300"/>
        <w:gridCol w:w="2520"/>
        <w:gridCol w:w="7020"/>
      </w:tblGrid>
      <w:tr w:rsidR="006726AA" w14:paraId="368A00BB" w14:textId="77777777" w:rsidTr="00445E22">
        <w:tc>
          <w:tcPr>
            <w:tcW w:w="13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31CA66F8" w14:textId="77777777" w:rsidR="006726AA" w:rsidRDefault="006726AA" w:rsidP="006726AA">
            <w:pPr>
              <w:pStyle w:val="normal0"/>
              <w:widowControl/>
              <w:rPr>
                <w:rFonts w:ascii="Calibri" w:eastAsia="Calibri" w:hAnsi="Calibri" w:cs="Calibri"/>
                <w:sz w:val="20"/>
                <w:szCs w:val="20"/>
              </w:rPr>
            </w:pPr>
            <w:r>
              <w:rPr>
                <w:rFonts w:ascii="Calibri" w:eastAsia="Calibri" w:hAnsi="Calibri" w:cs="Calibri"/>
                <w:b/>
                <w:sz w:val="20"/>
                <w:szCs w:val="20"/>
              </w:rPr>
              <w:t>Standard No.</w:t>
            </w:r>
          </w:p>
        </w:tc>
        <w:tc>
          <w:tcPr>
            <w:tcW w:w="2520" w:type="dxa"/>
            <w:tcBorders>
              <w:bottom w:val="single" w:sz="6" w:space="0" w:color="000000"/>
              <w:right w:val="single" w:sz="6" w:space="0" w:color="000000"/>
            </w:tcBorders>
            <w:tcMar>
              <w:top w:w="40" w:type="dxa"/>
              <w:left w:w="40" w:type="dxa"/>
              <w:bottom w:w="40" w:type="dxa"/>
              <w:right w:w="40" w:type="dxa"/>
            </w:tcMar>
            <w:vAlign w:val="bottom"/>
          </w:tcPr>
          <w:p w14:paraId="3CDD15E8" w14:textId="77777777" w:rsidR="006726AA" w:rsidRDefault="006726AA" w:rsidP="006726AA">
            <w:pPr>
              <w:pStyle w:val="normal0"/>
              <w:widowControl/>
              <w:rPr>
                <w:rFonts w:ascii="Calibri" w:eastAsia="Calibri" w:hAnsi="Calibri" w:cs="Calibri"/>
                <w:b/>
                <w:sz w:val="20"/>
                <w:szCs w:val="20"/>
              </w:rPr>
            </w:pPr>
            <w:r>
              <w:rPr>
                <w:rFonts w:ascii="Calibri" w:eastAsia="Calibri" w:hAnsi="Calibri" w:cs="Calibri"/>
                <w:b/>
                <w:sz w:val="20"/>
                <w:szCs w:val="20"/>
              </w:rPr>
              <w:t>Summary of Standard</w:t>
            </w:r>
          </w:p>
        </w:tc>
        <w:tc>
          <w:tcPr>
            <w:tcW w:w="7020" w:type="dxa"/>
            <w:tcBorders>
              <w:bottom w:val="single" w:sz="6" w:space="0" w:color="000000"/>
              <w:right w:val="single" w:sz="6" w:space="0" w:color="000000"/>
            </w:tcBorders>
            <w:tcMar>
              <w:top w:w="40" w:type="dxa"/>
              <w:left w:w="40" w:type="dxa"/>
              <w:bottom w:w="40" w:type="dxa"/>
              <w:right w:w="40" w:type="dxa"/>
            </w:tcMar>
            <w:vAlign w:val="bottom"/>
          </w:tcPr>
          <w:p w14:paraId="089E28A5" w14:textId="77777777" w:rsidR="006726AA" w:rsidRDefault="006726AA" w:rsidP="006726AA">
            <w:pPr>
              <w:pStyle w:val="normal0"/>
              <w:widowControl/>
              <w:rPr>
                <w:rFonts w:ascii="Calibri" w:eastAsia="Calibri" w:hAnsi="Calibri" w:cs="Calibri"/>
                <w:b/>
                <w:sz w:val="20"/>
                <w:szCs w:val="20"/>
              </w:rPr>
            </w:pPr>
            <w:r>
              <w:rPr>
                <w:rFonts w:ascii="Calibri" w:eastAsia="Calibri" w:hAnsi="Calibri" w:cs="Calibri"/>
                <w:b/>
                <w:sz w:val="20"/>
                <w:szCs w:val="20"/>
              </w:rPr>
              <w:t>Summary of CLS Compliance Status</w:t>
            </w:r>
          </w:p>
        </w:tc>
      </w:tr>
      <w:tr w:rsidR="006726AA" w14:paraId="3CBDFAA3" w14:textId="77777777" w:rsidTr="00445E22">
        <w:tc>
          <w:tcPr>
            <w:tcW w:w="13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674AE803" w14:textId="77777777" w:rsidR="006726AA" w:rsidRDefault="006726AA" w:rsidP="006726AA">
            <w:pPr>
              <w:pStyle w:val="normal0"/>
              <w:widowControl/>
              <w:rPr>
                <w:rFonts w:ascii="Calibri" w:eastAsia="Calibri" w:hAnsi="Calibri" w:cs="Calibri"/>
                <w:sz w:val="20"/>
                <w:szCs w:val="20"/>
              </w:rPr>
            </w:pPr>
            <w:r>
              <w:rPr>
                <w:rFonts w:ascii="Calibri" w:eastAsia="Calibri" w:hAnsi="Calibri" w:cs="Calibri"/>
                <w:sz w:val="20"/>
                <w:szCs w:val="20"/>
              </w:rPr>
              <w:t>301 - Objectives of Program of Legal Education</w:t>
            </w:r>
          </w:p>
        </w:tc>
        <w:tc>
          <w:tcPr>
            <w:tcW w:w="2520" w:type="dxa"/>
            <w:tcBorders>
              <w:bottom w:val="single" w:sz="6" w:space="0" w:color="000000"/>
              <w:right w:val="single" w:sz="6" w:space="0" w:color="000000"/>
            </w:tcBorders>
            <w:tcMar>
              <w:top w:w="40" w:type="dxa"/>
              <w:left w:w="40" w:type="dxa"/>
              <w:bottom w:w="40" w:type="dxa"/>
              <w:right w:w="40" w:type="dxa"/>
            </w:tcMar>
          </w:tcPr>
          <w:p w14:paraId="3FB3B260" w14:textId="77777777" w:rsidR="006726AA" w:rsidRDefault="006726AA" w:rsidP="006726AA">
            <w:pPr>
              <w:pStyle w:val="normal0"/>
              <w:widowControl/>
              <w:rPr>
                <w:rFonts w:ascii="Calibri" w:eastAsia="Calibri" w:hAnsi="Calibri" w:cs="Calibri"/>
                <w:sz w:val="20"/>
                <w:szCs w:val="20"/>
              </w:rPr>
            </w:pPr>
            <w:r>
              <w:rPr>
                <w:rFonts w:ascii="Calibri" w:eastAsia="Calibri" w:hAnsi="Calibri" w:cs="Calibri"/>
                <w:sz w:val="20"/>
                <w:szCs w:val="20"/>
              </w:rPr>
              <w:t>A law school shall maintain a rigorous program of legal education that prepares its students, upon graduation, for admission to the bar and for effective, ethical, and responsible participation as members of the legal profession.</w:t>
            </w:r>
          </w:p>
          <w:p w14:paraId="6BCEED4E" w14:textId="77777777" w:rsidR="006726AA" w:rsidRDefault="006726AA" w:rsidP="006726AA">
            <w:pPr>
              <w:pStyle w:val="normal0"/>
              <w:widowControl/>
              <w:rPr>
                <w:rFonts w:ascii="Calibri" w:eastAsia="Calibri" w:hAnsi="Calibri" w:cs="Calibri"/>
                <w:sz w:val="20"/>
                <w:szCs w:val="20"/>
              </w:rPr>
            </w:pPr>
          </w:p>
          <w:p w14:paraId="7C72C0C5" w14:textId="77777777" w:rsidR="006726AA" w:rsidRDefault="006726AA" w:rsidP="006726AA">
            <w:pPr>
              <w:pStyle w:val="normal0"/>
              <w:widowControl/>
              <w:rPr>
                <w:rFonts w:ascii="Calibri" w:eastAsia="Calibri" w:hAnsi="Calibri" w:cs="Calibri"/>
                <w:sz w:val="20"/>
                <w:szCs w:val="20"/>
              </w:rPr>
            </w:pPr>
          </w:p>
        </w:tc>
        <w:tc>
          <w:tcPr>
            <w:tcW w:w="7020" w:type="dxa"/>
            <w:tcBorders>
              <w:bottom w:val="single" w:sz="6" w:space="0" w:color="000000"/>
              <w:right w:val="single" w:sz="6" w:space="0" w:color="000000"/>
            </w:tcBorders>
            <w:tcMar>
              <w:top w:w="40" w:type="dxa"/>
              <w:left w:w="40" w:type="dxa"/>
              <w:bottom w:w="40" w:type="dxa"/>
              <w:right w:w="40" w:type="dxa"/>
            </w:tcMar>
          </w:tcPr>
          <w:p w14:paraId="614C0739" w14:textId="0C193CDF" w:rsidR="006726AA" w:rsidRDefault="006726AA" w:rsidP="008276C4">
            <w:pPr>
              <w:pStyle w:val="normal0"/>
              <w:widowControl/>
              <w:rPr>
                <w:rFonts w:ascii="Calibri" w:eastAsia="Calibri" w:hAnsi="Calibri" w:cs="Calibri"/>
                <w:sz w:val="20"/>
                <w:szCs w:val="20"/>
              </w:rPr>
            </w:pPr>
            <w:r>
              <w:rPr>
                <w:rFonts w:ascii="Calibri" w:eastAsia="Calibri" w:hAnsi="Calibri" w:cs="Calibri"/>
                <w:sz w:val="20"/>
                <w:szCs w:val="20"/>
              </w:rPr>
              <w:t>CLS requires students to complete 92 semester credit units and maintain a cumulative GPA of 2.0 (“C”). JD studen</w:t>
            </w:r>
            <w:r w:rsidR="00445E22">
              <w:rPr>
                <w:rFonts w:ascii="Calibri" w:eastAsia="Calibri" w:hAnsi="Calibri" w:cs="Calibri"/>
                <w:sz w:val="20"/>
                <w:szCs w:val="20"/>
              </w:rPr>
              <w:t xml:space="preserve">ts with below a 1.7 after </w:t>
            </w:r>
            <w:r>
              <w:rPr>
                <w:rFonts w:ascii="Calibri" w:eastAsia="Calibri" w:hAnsi="Calibri" w:cs="Calibri"/>
                <w:sz w:val="20"/>
                <w:szCs w:val="20"/>
              </w:rPr>
              <w:t xml:space="preserve">first semester are disqualified. JD students must take and pass </w:t>
            </w:r>
            <w:r w:rsidR="002A6D6B">
              <w:rPr>
                <w:rFonts w:ascii="Calibri" w:eastAsia="Calibri" w:hAnsi="Calibri" w:cs="Calibri"/>
                <w:sz w:val="20"/>
                <w:szCs w:val="20"/>
              </w:rPr>
              <w:t xml:space="preserve">the </w:t>
            </w:r>
            <w:r>
              <w:rPr>
                <w:rFonts w:ascii="Calibri" w:eastAsia="Calibri" w:hAnsi="Calibri" w:cs="Calibri"/>
                <w:sz w:val="20"/>
                <w:szCs w:val="20"/>
              </w:rPr>
              <w:t xml:space="preserve">FYLSE. Professors hold </w:t>
            </w:r>
            <w:r w:rsidR="008276C4">
              <w:rPr>
                <w:rFonts w:ascii="Calibri" w:eastAsia="Calibri" w:hAnsi="Calibri" w:cs="Calibri"/>
                <w:sz w:val="20"/>
                <w:szCs w:val="20"/>
              </w:rPr>
              <w:t xml:space="preserve">frequent </w:t>
            </w:r>
            <w:r>
              <w:rPr>
                <w:rFonts w:ascii="Calibri" w:eastAsia="Calibri" w:hAnsi="Calibri" w:cs="Calibri"/>
                <w:sz w:val="20"/>
                <w:szCs w:val="20"/>
              </w:rPr>
              <w:t>calibration sessions to ensure their grading standards are consistent</w:t>
            </w:r>
            <w:r w:rsidR="00445E22">
              <w:rPr>
                <w:rFonts w:ascii="Calibri" w:eastAsia="Calibri" w:hAnsi="Calibri" w:cs="Calibri"/>
                <w:sz w:val="20"/>
                <w:szCs w:val="20"/>
              </w:rPr>
              <w:t xml:space="preserve"> with those used</w:t>
            </w:r>
            <w:r>
              <w:rPr>
                <w:rFonts w:ascii="Calibri" w:eastAsia="Calibri" w:hAnsi="Calibri" w:cs="Calibri"/>
                <w:sz w:val="20"/>
                <w:szCs w:val="20"/>
              </w:rPr>
              <w:t xml:space="preserve"> on the FYLSE and California Bar Exam. Students </w:t>
            </w:r>
            <w:r w:rsidR="002A6D6B">
              <w:rPr>
                <w:rFonts w:ascii="Calibri" w:eastAsia="Calibri" w:hAnsi="Calibri" w:cs="Calibri"/>
                <w:sz w:val="20"/>
                <w:szCs w:val="20"/>
              </w:rPr>
              <w:t>must attend 80% of</w:t>
            </w:r>
            <w:r>
              <w:rPr>
                <w:rFonts w:ascii="Calibri" w:eastAsia="Calibri" w:hAnsi="Calibri" w:cs="Calibri"/>
                <w:sz w:val="20"/>
                <w:szCs w:val="20"/>
              </w:rPr>
              <w:t xml:space="preserve"> lectures</w:t>
            </w:r>
            <w:r w:rsidR="002A6D6B">
              <w:rPr>
                <w:rFonts w:ascii="Calibri" w:eastAsia="Calibri" w:hAnsi="Calibri" w:cs="Calibri"/>
                <w:sz w:val="20"/>
                <w:szCs w:val="20"/>
              </w:rPr>
              <w:t xml:space="preserve"> live or through archive, and most assignments are gated (must be completed to move forward)</w:t>
            </w:r>
            <w:r>
              <w:rPr>
                <w:rFonts w:ascii="Calibri" w:eastAsia="Calibri" w:hAnsi="Calibri" w:cs="Calibri"/>
                <w:sz w:val="20"/>
                <w:szCs w:val="20"/>
              </w:rPr>
              <w:t>. The requ</w:t>
            </w:r>
            <w:r w:rsidR="002A6D6B">
              <w:rPr>
                <w:rFonts w:ascii="Calibri" w:eastAsia="Calibri" w:hAnsi="Calibri" w:cs="Calibri"/>
                <w:sz w:val="20"/>
                <w:szCs w:val="20"/>
              </w:rPr>
              <w:t xml:space="preserve">ired curriculum includes all </w:t>
            </w:r>
            <w:r>
              <w:rPr>
                <w:rFonts w:ascii="Calibri" w:eastAsia="Calibri" w:hAnsi="Calibri" w:cs="Calibri"/>
                <w:sz w:val="20"/>
                <w:szCs w:val="20"/>
              </w:rPr>
              <w:t>MBE-tested subjects and other subjects tested on the Califo</w:t>
            </w:r>
            <w:r w:rsidR="00F56AC9">
              <w:rPr>
                <w:rFonts w:ascii="Calibri" w:eastAsia="Calibri" w:hAnsi="Calibri" w:cs="Calibri"/>
                <w:sz w:val="20"/>
                <w:szCs w:val="20"/>
              </w:rPr>
              <w:t>rnia bar exam</w:t>
            </w:r>
            <w:r w:rsidR="005A66F5">
              <w:rPr>
                <w:rFonts w:ascii="Calibri" w:eastAsia="Calibri" w:hAnsi="Calibri" w:cs="Calibri"/>
                <w:sz w:val="20"/>
                <w:szCs w:val="20"/>
              </w:rPr>
              <w:t>—</w:t>
            </w:r>
            <w:r w:rsidR="00F56AC9">
              <w:rPr>
                <w:rFonts w:ascii="Calibri" w:eastAsia="Calibri" w:hAnsi="Calibri" w:cs="Calibri"/>
                <w:sz w:val="20"/>
                <w:szCs w:val="20"/>
              </w:rPr>
              <w:t>12 courses total</w:t>
            </w:r>
            <w:r>
              <w:rPr>
                <w:rFonts w:ascii="Calibri" w:eastAsia="Calibri" w:hAnsi="Calibri" w:cs="Calibri"/>
                <w:sz w:val="20"/>
                <w:szCs w:val="20"/>
              </w:rPr>
              <w:t xml:space="preserve">ing 66 units. CLS </w:t>
            </w:r>
            <w:r w:rsidR="008276C4">
              <w:rPr>
                <w:rFonts w:ascii="Calibri" w:eastAsia="Calibri" w:hAnsi="Calibri" w:cs="Calibri"/>
                <w:sz w:val="20"/>
                <w:szCs w:val="20"/>
              </w:rPr>
              <w:t xml:space="preserve">also </w:t>
            </w:r>
            <w:r w:rsidR="002A6D6B">
              <w:rPr>
                <w:rFonts w:ascii="Calibri" w:eastAsia="Calibri" w:hAnsi="Calibri" w:cs="Calibri"/>
                <w:sz w:val="20"/>
                <w:szCs w:val="20"/>
              </w:rPr>
              <w:t>requires</w:t>
            </w:r>
            <w:r>
              <w:rPr>
                <w:rFonts w:ascii="Calibri" w:eastAsia="Calibri" w:hAnsi="Calibri" w:cs="Calibri"/>
                <w:sz w:val="20"/>
                <w:szCs w:val="20"/>
              </w:rPr>
              <w:t xml:space="preserve"> JD students to take a 4-unit skills course in </w:t>
            </w:r>
            <w:r w:rsidR="002A6D6B">
              <w:rPr>
                <w:rFonts w:ascii="Calibri" w:eastAsia="Calibri" w:hAnsi="Calibri" w:cs="Calibri"/>
                <w:sz w:val="20"/>
                <w:szCs w:val="20"/>
              </w:rPr>
              <w:t>1L</w:t>
            </w:r>
            <w:r>
              <w:rPr>
                <w:rFonts w:ascii="Calibri" w:eastAsia="Calibri" w:hAnsi="Calibri" w:cs="Calibri"/>
                <w:sz w:val="20"/>
                <w:szCs w:val="20"/>
              </w:rPr>
              <w:t xml:space="preserve">; a 4-unit course in legal writing and analysis and a 2-unit </w:t>
            </w:r>
            <w:r w:rsidR="00445E22">
              <w:rPr>
                <w:rFonts w:ascii="Calibri" w:eastAsia="Calibri" w:hAnsi="Calibri" w:cs="Calibri"/>
                <w:sz w:val="20"/>
                <w:szCs w:val="20"/>
              </w:rPr>
              <w:t xml:space="preserve">legal research </w:t>
            </w:r>
            <w:r>
              <w:rPr>
                <w:rFonts w:ascii="Calibri" w:eastAsia="Calibri" w:hAnsi="Calibri" w:cs="Calibri"/>
                <w:sz w:val="20"/>
                <w:szCs w:val="20"/>
              </w:rPr>
              <w:t>course in 2L; and</w:t>
            </w:r>
            <w:r w:rsidR="008276C4">
              <w:rPr>
                <w:rFonts w:ascii="Calibri" w:eastAsia="Calibri" w:hAnsi="Calibri" w:cs="Calibri"/>
                <w:sz w:val="20"/>
                <w:szCs w:val="20"/>
              </w:rPr>
              <w:t>, in 3L,</w:t>
            </w:r>
            <w:r>
              <w:rPr>
                <w:rFonts w:ascii="Calibri" w:eastAsia="Calibri" w:hAnsi="Calibri" w:cs="Calibri"/>
                <w:sz w:val="20"/>
                <w:szCs w:val="20"/>
              </w:rPr>
              <w:t xml:space="preserve"> a 2-unit Professional Responsibility</w:t>
            </w:r>
            <w:r w:rsidR="008276C4">
              <w:rPr>
                <w:rFonts w:ascii="Calibri" w:eastAsia="Calibri" w:hAnsi="Calibri" w:cs="Calibri"/>
                <w:sz w:val="20"/>
                <w:szCs w:val="20"/>
              </w:rPr>
              <w:t xml:space="preserve"> course</w:t>
            </w:r>
            <w:r>
              <w:rPr>
                <w:rFonts w:ascii="Calibri" w:eastAsia="Calibri" w:hAnsi="Calibri" w:cs="Calibri"/>
                <w:sz w:val="20"/>
                <w:szCs w:val="20"/>
              </w:rPr>
              <w:t>, as well as 2-unit Future of Law Practice,</w:t>
            </w:r>
            <w:r w:rsidR="00445E22">
              <w:rPr>
                <w:rFonts w:ascii="Calibri" w:eastAsia="Calibri" w:hAnsi="Calibri" w:cs="Calibri"/>
                <w:sz w:val="20"/>
                <w:szCs w:val="20"/>
              </w:rPr>
              <w:t xml:space="preserve"> which addresses </w:t>
            </w:r>
            <w:r>
              <w:rPr>
                <w:rFonts w:ascii="Calibri" w:eastAsia="Calibri" w:hAnsi="Calibri" w:cs="Calibri"/>
                <w:sz w:val="20"/>
                <w:szCs w:val="20"/>
              </w:rPr>
              <w:t xml:space="preserve">ethical, sociological, technological, and </w:t>
            </w:r>
            <w:r w:rsidR="002A6D6B">
              <w:rPr>
                <w:rFonts w:ascii="Calibri" w:eastAsia="Calibri" w:hAnsi="Calibri" w:cs="Calibri"/>
                <w:sz w:val="20"/>
                <w:szCs w:val="20"/>
              </w:rPr>
              <w:t>economic</w:t>
            </w:r>
            <w:r>
              <w:rPr>
                <w:rFonts w:ascii="Calibri" w:eastAsia="Calibri" w:hAnsi="Calibri" w:cs="Calibri"/>
                <w:sz w:val="20"/>
                <w:szCs w:val="20"/>
              </w:rPr>
              <w:t xml:space="preserve"> changes affecting the profession. CLS offers a variety of electives, including externships and a moot court team, </w:t>
            </w:r>
            <w:r w:rsidR="00445E22">
              <w:rPr>
                <w:rFonts w:ascii="Calibri" w:eastAsia="Calibri" w:hAnsi="Calibri" w:cs="Calibri"/>
                <w:sz w:val="20"/>
                <w:szCs w:val="20"/>
              </w:rPr>
              <w:t>to offer</w:t>
            </w:r>
            <w:r>
              <w:rPr>
                <w:rFonts w:ascii="Calibri" w:eastAsia="Calibri" w:hAnsi="Calibri" w:cs="Calibri"/>
                <w:sz w:val="20"/>
                <w:szCs w:val="20"/>
              </w:rPr>
              <w:t xml:space="preserve"> exper</w:t>
            </w:r>
            <w:r w:rsidR="002A6D6B">
              <w:rPr>
                <w:rFonts w:ascii="Calibri" w:eastAsia="Calibri" w:hAnsi="Calibri" w:cs="Calibri"/>
                <w:sz w:val="20"/>
                <w:szCs w:val="20"/>
              </w:rPr>
              <w:t xml:space="preserve">ience in practice settings and </w:t>
            </w:r>
            <w:r>
              <w:rPr>
                <w:rFonts w:ascii="Calibri" w:eastAsia="Calibri" w:hAnsi="Calibri" w:cs="Calibri"/>
                <w:sz w:val="20"/>
                <w:szCs w:val="20"/>
              </w:rPr>
              <w:t xml:space="preserve">study in areas of specialization. </w:t>
            </w:r>
          </w:p>
        </w:tc>
      </w:tr>
      <w:tr w:rsidR="006726AA" w14:paraId="18BC43C8" w14:textId="77777777" w:rsidTr="00445E22">
        <w:tc>
          <w:tcPr>
            <w:tcW w:w="13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5F450C64" w14:textId="77777777" w:rsidR="006726AA" w:rsidRDefault="006726AA" w:rsidP="006726AA">
            <w:pPr>
              <w:pStyle w:val="normal0"/>
              <w:widowControl/>
              <w:rPr>
                <w:rFonts w:ascii="Calibri" w:eastAsia="Calibri" w:hAnsi="Calibri" w:cs="Calibri"/>
                <w:sz w:val="20"/>
                <w:szCs w:val="20"/>
              </w:rPr>
            </w:pPr>
            <w:r>
              <w:rPr>
                <w:rFonts w:ascii="Calibri" w:eastAsia="Calibri" w:hAnsi="Calibri" w:cs="Calibri"/>
                <w:sz w:val="20"/>
                <w:szCs w:val="20"/>
              </w:rPr>
              <w:t>302 - Learning Outcomes</w:t>
            </w:r>
          </w:p>
        </w:tc>
        <w:tc>
          <w:tcPr>
            <w:tcW w:w="2520" w:type="dxa"/>
            <w:tcBorders>
              <w:bottom w:val="single" w:sz="6" w:space="0" w:color="000000"/>
              <w:right w:val="single" w:sz="6" w:space="0" w:color="000000"/>
            </w:tcBorders>
            <w:tcMar>
              <w:top w:w="40" w:type="dxa"/>
              <w:left w:w="40" w:type="dxa"/>
              <w:bottom w:w="40" w:type="dxa"/>
              <w:right w:w="40" w:type="dxa"/>
            </w:tcMar>
          </w:tcPr>
          <w:p w14:paraId="76F9359C" w14:textId="77777777" w:rsidR="006726AA" w:rsidRDefault="006726AA" w:rsidP="006726AA">
            <w:pPr>
              <w:pStyle w:val="normal0"/>
              <w:widowControl/>
              <w:rPr>
                <w:rFonts w:ascii="Calibri" w:eastAsia="Calibri" w:hAnsi="Calibri" w:cs="Calibri"/>
                <w:sz w:val="20"/>
                <w:szCs w:val="20"/>
              </w:rPr>
            </w:pPr>
            <w:r>
              <w:rPr>
                <w:rFonts w:ascii="Calibri" w:eastAsia="Calibri" w:hAnsi="Calibri" w:cs="Calibri"/>
                <w:sz w:val="20"/>
                <w:szCs w:val="20"/>
              </w:rPr>
              <w:t>Law school shall have published learning outcomes that include: understanding of substantive and procedural law, legal analysis, reasoning, research, problem solving, written and oral communication, professionalism, and ethics.</w:t>
            </w:r>
          </w:p>
        </w:tc>
        <w:tc>
          <w:tcPr>
            <w:tcW w:w="7020" w:type="dxa"/>
            <w:tcBorders>
              <w:bottom w:val="single" w:sz="6" w:space="0" w:color="000000"/>
              <w:right w:val="single" w:sz="6" w:space="0" w:color="000000"/>
            </w:tcBorders>
            <w:tcMar>
              <w:top w:w="40" w:type="dxa"/>
              <w:left w:w="40" w:type="dxa"/>
              <w:bottom w:w="40" w:type="dxa"/>
              <w:right w:w="40" w:type="dxa"/>
            </w:tcMar>
          </w:tcPr>
          <w:p w14:paraId="4D6437C4" w14:textId="392CA933" w:rsidR="006726AA" w:rsidRDefault="006726AA" w:rsidP="00445E22">
            <w:pPr>
              <w:pStyle w:val="normal0"/>
              <w:widowControl/>
              <w:rPr>
                <w:rFonts w:ascii="Calibri" w:eastAsia="Calibri" w:hAnsi="Calibri" w:cs="Calibri"/>
                <w:sz w:val="20"/>
                <w:szCs w:val="20"/>
              </w:rPr>
            </w:pPr>
            <w:r>
              <w:rPr>
                <w:rFonts w:ascii="Calibri" w:eastAsia="Calibri" w:hAnsi="Calibri" w:cs="Calibri"/>
                <w:sz w:val="20"/>
                <w:szCs w:val="20"/>
              </w:rPr>
              <w:t xml:space="preserve">CLS has 7 </w:t>
            </w:r>
            <w:r w:rsidR="002A6D6B">
              <w:rPr>
                <w:rFonts w:ascii="Calibri" w:eastAsia="Calibri" w:hAnsi="Calibri" w:cs="Calibri"/>
                <w:sz w:val="20"/>
                <w:szCs w:val="20"/>
              </w:rPr>
              <w:t>program level</w:t>
            </w:r>
            <w:r>
              <w:rPr>
                <w:rFonts w:ascii="Calibri" w:eastAsia="Calibri" w:hAnsi="Calibri" w:cs="Calibri"/>
                <w:sz w:val="20"/>
                <w:szCs w:val="20"/>
              </w:rPr>
              <w:t xml:space="preserve"> outcomes: (1) Understand the U.S. legal system and the role of law in society; (2) Formulate legal solutions to factual situations; (3) Communicate clearly and effectively in writing and orally; (4) Perform the skills essential to the practice of law; (5) Apply the knowledge and skills tested on the California FYLSE and bar exam; (6) Recognize and resolve dilemmas in an ethical manner, and (7) Act professionally and consistently with professional obligations to the community. The faculty have developed course level outcomes for each required course, and have "mapped" them to the program level outcomes. </w:t>
            </w:r>
            <w:r w:rsidR="00445E22">
              <w:rPr>
                <w:rFonts w:ascii="Calibri" w:eastAsia="Calibri" w:hAnsi="Calibri" w:cs="Calibri"/>
                <w:sz w:val="20"/>
                <w:szCs w:val="20"/>
              </w:rPr>
              <w:t>Each</w:t>
            </w:r>
            <w:r>
              <w:rPr>
                <w:rFonts w:ascii="Calibri" w:eastAsia="Calibri" w:hAnsi="Calibri" w:cs="Calibri"/>
                <w:sz w:val="20"/>
                <w:szCs w:val="20"/>
              </w:rPr>
              <w:t xml:space="preserve"> course level outcome must be assessed at least once through a course level assessment</w:t>
            </w:r>
            <w:r w:rsidR="00445E22">
              <w:rPr>
                <w:rFonts w:ascii="Calibri" w:eastAsia="Calibri" w:hAnsi="Calibri" w:cs="Calibri"/>
                <w:sz w:val="20"/>
                <w:szCs w:val="20"/>
              </w:rPr>
              <w:t>.</w:t>
            </w:r>
          </w:p>
        </w:tc>
      </w:tr>
      <w:tr w:rsidR="006726AA" w14:paraId="34A49917" w14:textId="77777777" w:rsidTr="00445E22">
        <w:tc>
          <w:tcPr>
            <w:tcW w:w="13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09810083" w14:textId="77777777" w:rsidR="006726AA" w:rsidRDefault="006726AA" w:rsidP="006726AA">
            <w:pPr>
              <w:pStyle w:val="normal0"/>
              <w:widowControl/>
              <w:rPr>
                <w:rFonts w:ascii="Calibri" w:eastAsia="Calibri" w:hAnsi="Calibri" w:cs="Calibri"/>
                <w:sz w:val="20"/>
                <w:szCs w:val="20"/>
              </w:rPr>
            </w:pPr>
            <w:r>
              <w:rPr>
                <w:rFonts w:ascii="Calibri" w:eastAsia="Calibri" w:hAnsi="Calibri" w:cs="Calibri"/>
                <w:sz w:val="20"/>
                <w:szCs w:val="20"/>
              </w:rPr>
              <w:t>303 - Curriculum</w:t>
            </w:r>
          </w:p>
        </w:tc>
        <w:tc>
          <w:tcPr>
            <w:tcW w:w="2520" w:type="dxa"/>
            <w:tcBorders>
              <w:bottom w:val="single" w:sz="6" w:space="0" w:color="000000"/>
              <w:right w:val="single" w:sz="6" w:space="0" w:color="000000"/>
            </w:tcBorders>
            <w:tcMar>
              <w:top w:w="40" w:type="dxa"/>
              <w:left w:w="40" w:type="dxa"/>
              <w:bottom w:w="40" w:type="dxa"/>
              <w:right w:w="40" w:type="dxa"/>
            </w:tcMar>
          </w:tcPr>
          <w:p w14:paraId="34FD658D" w14:textId="77777777" w:rsidR="006726AA" w:rsidRDefault="006726AA" w:rsidP="006726AA">
            <w:pPr>
              <w:pStyle w:val="normal0"/>
              <w:widowControl/>
              <w:rPr>
                <w:rFonts w:ascii="Calibri" w:eastAsia="Calibri" w:hAnsi="Calibri" w:cs="Calibri"/>
                <w:sz w:val="20"/>
                <w:szCs w:val="20"/>
              </w:rPr>
            </w:pPr>
            <w:r>
              <w:rPr>
                <w:rFonts w:ascii="Calibri" w:eastAsia="Calibri" w:hAnsi="Calibri" w:cs="Calibri"/>
                <w:sz w:val="20"/>
                <w:szCs w:val="20"/>
              </w:rPr>
              <w:t>A law school shall offer a curriculum that requires each student to complete: two credit hours of professional responsibility, one first year and one upper division writing course supervised by faculty, and six credit hours of an experiential course. The law school shall also provide substantial opportunities for law clinic, field placements, and pro bono/public service opportunities.</w:t>
            </w:r>
          </w:p>
        </w:tc>
        <w:tc>
          <w:tcPr>
            <w:tcW w:w="7020" w:type="dxa"/>
            <w:tcBorders>
              <w:bottom w:val="single" w:sz="6" w:space="0" w:color="000000"/>
              <w:right w:val="single" w:sz="6" w:space="0" w:color="000000"/>
            </w:tcBorders>
            <w:tcMar>
              <w:top w:w="40" w:type="dxa"/>
              <w:left w:w="40" w:type="dxa"/>
              <w:bottom w:w="40" w:type="dxa"/>
              <w:right w:w="40" w:type="dxa"/>
            </w:tcMar>
          </w:tcPr>
          <w:p w14:paraId="782DA265" w14:textId="642F38EF" w:rsidR="006726AA" w:rsidRDefault="006726AA" w:rsidP="006726AA">
            <w:pPr>
              <w:pStyle w:val="normal0"/>
              <w:widowControl/>
              <w:rPr>
                <w:rFonts w:ascii="Calibri" w:eastAsia="Calibri" w:hAnsi="Calibri" w:cs="Calibri"/>
                <w:sz w:val="20"/>
                <w:szCs w:val="20"/>
              </w:rPr>
            </w:pPr>
            <w:r>
              <w:rPr>
                <w:rFonts w:ascii="Calibri" w:eastAsia="Calibri" w:hAnsi="Calibri" w:cs="Calibri"/>
                <w:sz w:val="20"/>
                <w:szCs w:val="20"/>
              </w:rPr>
              <w:t>For professional responsibility, legal research, and legal writing courses, see 301.</w:t>
            </w:r>
          </w:p>
          <w:p w14:paraId="09BBE42C" w14:textId="77777777" w:rsidR="006726AA" w:rsidRDefault="006726AA" w:rsidP="006726AA">
            <w:pPr>
              <w:pStyle w:val="normal0"/>
              <w:widowControl/>
              <w:rPr>
                <w:rFonts w:ascii="Calibri" w:eastAsia="Calibri" w:hAnsi="Calibri" w:cs="Calibri"/>
                <w:sz w:val="20"/>
                <w:szCs w:val="20"/>
              </w:rPr>
            </w:pPr>
          </w:p>
          <w:p w14:paraId="082D199F" w14:textId="02A82609" w:rsidR="006726AA" w:rsidRDefault="006726AA" w:rsidP="006726AA">
            <w:pPr>
              <w:pStyle w:val="normal0"/>
              <w:widowControl/>
              <w:rPr>
                <w:rFonts w:ascii="Calibri" w:eastAsia="Calibri" w:hAnsi="Calibri" w:cs="Calibri"/>
                <w:sz w:val="20"/>
                <w:szCs w:val="20"/>
              </w:rPr>
            </w:pPr>
            <w:r>
              <w:rPr>
                <w:rFonts w:ascii="Calibri" w:eastAsia="Calibri" w:hAnsi="Calibri" w:cs="Calibri"/>
                <w:b/>
                <w:sz w:val="20"/>
                <w:szCs w:val="20"/>
              </w:rPr>
              <w:t>Experiential Courses</w:t>
            </w:r>
            <w:r>
              <w:rPr>
                <w:rFonts w:ascii="Calibri" w:eastAsia="Calibri" w:hAnsi="Calibri" w:cs="Calibri"/>
                <w:sz w:val="20"/>
                <w:szCs w:val="20"/>
              </w:rPr>
              <w:t xml:space="preserve">: Moving forward, all </w:t>
            </w:r>
            <w:r w:rsidR="002A6D6B">
              <w:rPr>
                <w:rFonts w:ascii="Calibri" w:eastAsia="Calibri" w:hAnsi="Calibri" w:cs="Calibri"/>
                <w:sz w:val="20"/>
                <w:szCs w:val="20"/>
              </w:rPr>
              <w:t xml:space="preserve">JD </w:t>
            </w:r>
            <w:r>
              <w:rPr>
                <w:rFonts w:ascii="Calibri" w:eastAsia="Calibri" w:hAnsi="Calibri" w:cs="Calibri"/>
                <w:sz w:val="20"/>
                <w:szCs w:val="20"/>
              </w:rPr>
              <w:t>students will take at least 15 units in experiential courses in the required curriculum</w:t>
            </w:r>
            <w:r w:rsidR="002A6D6B">
              <w:rPr>
                <w:rFonts w:ascii="Calibri" w:eastAsia="Calibri" w:hAnsi="Calibri" w:cs="Calibri"/>
                <w:sz w:val="20"/>
                <w:szCs w:val="20"/>
              </w:rPr>
              <w:t>, including a Family Law Practice course in 4L</w:t>
            </w:r>
            <w:r>
              <w:rPr>
                <w:rFonts w:ascii="Calibri" w:eastAsia="Calibri" w:hAnsi="Calibri" w:cs="Calibri"/>
                <w:sz w:val="20"/>
                <w:szCs w:val="20"/>
              </w:rPr>
              <w:t xml:space="preserve">. CLS also offers a variety of elective courses that are experiential in nature, including Contract Drafting, ADR and Technology, and Patent Litigation. </w:t>
            </w:r>
          </w:p>
          <w:p w14:paraId="453C8DA0" w14:textId="77777777" w:rsidR="006726AA" w:rsidRDefault="006726AA" w:rsidP="006726AA">
            <w:pPr>
              <w:pStyle w:val="normal0"/>
              <w:widowControl/>
              <w:rPr>
                <w:rFonts w:ascii="Calibri" w:eastAsia="Calibri" w:hAnsi="Calibri" w:cs="Calibri"/>
                <w:sz w:val="20"/>
                <w:szCs w:val="20"/>
              </w:rPr>
            </w:pPr>
          </w:p>
          <w:p w14:paraId="3F121B0D" w14:textId="3AD013FA" w:rsidR="006726AA" w:rsidRDefault="006726AA" w:rsidP="00445E22">
            <w:pPr>
              <w:pStyle w:val="normal0"/>
              <w:widowControl/>
              <w:rPr>
                <w:rFonts w:ascii="Calibri" w:eastAsia="Calibri" w:hAnsi="Calibri" w:cs="Calibri"/>
                <w:sz w:val="20"/>
                <w:szCs w:val="20"/>
              </w:rPr>
            </w:pPr>
            <w:r>
              <w:rPr>
                <w:rFonts w:ascii="Calibri" w:eastAsia="Calibri" w:hAnsi="Calibri" w:cs="Calibri"/>
                <w:b/>
                <w:sz w:val="20"/>
                <w:szCs w:val="20"/>
              </w:rPr>
              <w:t>Clinics, Filed Placements, Pro Bono/Public Service</w:t>
            </w:r>
            <w:r w:rsidR="00BA3476">
              <w:rPr>
                <w:rFonts w:ascii="Calibri" w:eastAsia="Calibri" w:hAnsi="Calibri" w:cs="Calibri"/>
                <w:sz w:val="20"/>
                <w:szCs w:val="20"/>
              </w:rPr>
              <w:t xml:space="preserve">: CLS offers </w:t>
            </w:r>
            <w:r>
              <w:rPr>
                <w:rFonts w:ascii="Calibri" w:eastAsia="Calibri" w:hAnsi="Calibri" w:cs="Calibri"/>
                <w:sz w:val="20"/>
                <w:szCs w:val="20"/>
              </w:rPr>
              <w:t xml:space="preserve">field placements to upper-division JD students in the Legal Education Experience Program (LEEP). Because students are geographically dispersed, many locate their own placements. CLS undertakes to locate appropriate placements for students, and is utilizing its network of alumni to help assist in this regard. CLS is </w:t>
            </w:r>
            <w:r w:rsidR="00445E22">
              <w:rPr>
                <w:rFonts w:ascii="Calibri" w:eastAsia="Calibri" w:hAnsi="Calibri" w:cs="Calibri"/>
                <w:sz w:val="20"/>
                <w:szCs w:val="20"/>
              </w:rPr>
              <w:t>developing a program</w:t>
            </w:r>
            <w:r>
              <w:rPr>
                <w:rFonts w:ascii="Calibri" w:eastAsia="Calibri" w:hAnsi="Calibri" w:cs="Calibri"/>
                <w:sz w:val="20"/>
                <w:szCs w:val="20"/>
              </w:rPr>
              <w:t xml:space="preserve"> with the Legal Aid Society of Orange County (LASOC) to allow participation in live or remote pro bono and low bono opportunities by CLS students and graduates.</w:t>
            </w:r>
          </w:p>
        </w:tc>
      </w:tr>
      <w:tr w:rsidR="006726AA" w14:paraId="34927C16" w14:textId="77777777" w:rsidTr="00445E22">
        <w:tc>
          <w:tcPr>
            <w:tcW w:w="13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2991D941" w14:textId="77777777" w:rsidR="006726AA" w:rsidRDefault="006726AA" w:rsidP="006726AA">
            <w:pPr>
              <w:pStyle w:val="normal0"/>
              <w:widowControl/>
              <w:rPr>
                <w:rFonts w:ascii="Calibri" w:eastAsia="Calibri" w:hAnsi="Calibri" w:cs="Calibri"/>
                <w:sz w:val="20"/>
                <w:szCs w:val="20"/>
              </w:rPr>
            </w:pPr>
            <w:r>
              <w:rPr>
                <w:rFonts w:ascii="Calibri" w:eastAsia="Calibri" w:hAnsi="Calibri" w:cs="Calibri"/>
                <w:sz w:val="20"/>
                <w:szCs w:val="20"/>
              </w:rPr>
              <w:t>304 - Simulation Courses, Law Clinics and Field Placements</w:t>
            </w:r>
          </w:p>
        </w:tc>
        <w:tc>
          <w:tcPr>
            <w:tcW w:w="2520" w:type="dxa"/>
            <w:tcBorders>
              <w:bottom w:val="single" w:sz="6" w:space="0" w:color="000000"/>
              <w:right w:val="single" w:sz="6" w:space="0" w:color="000000"/>
            </w:tcBorders>
            <w:tcMar>
              <w:top w:w="40" w:type="dxa"/>
              <w:left w:w="40" w:type="dxa"/>
              <w:bottom w:w="40" w:type="dxa"/>
              <w:right w:w="40" w:type="dxa"/>
            </w:tcMar>
          </w:tcPr>
          <w:p w14:paraId="5B485A8B" w14:textId="4CAEE799" w:rsidR="006726AA" w:rsidRDefault="006726AA" w:rsidP="00AC7F42">
            <w:pPr>
              <w:pStyle w:val="normal0"/>
              <w:widowControl/>
              <w:rPr>
                <w:rFonts w:ascii="Calibri" w:eastAsia="Calibri" w:hAnsi="Calibri" w:cs="Calibri"/>
                <w:sz w:val="20"/>
                <w:szCs w:val="20"/>
              </w:rPr>
            </w:pPr>
            <w:r>
              <w:rPr>
                <w:rFonts w:ascii="Calibri" w:eastAsia="Calibri" w:hAnsi="Calibri" w:cs="Calibri"/>
                <w:sz w:val="20"/>
                <w:szCs w:val="20"/>
              </w:rPr>
              <w:t>A simulation course does not involve an actual client but a reasonably similar experience, a law clinic involves representing an actual client, and a field placement is reasonably similar to the experience of a lawyer. All three experiences must have supervision and students receive credit.</w:t>
            </w:r>
          </w:p>
        </w:tc>
        <w:tc>
          <w:tcPr>
            <w:tcW w:w="7020" w:type="dxa"/>
            <w:tcBorders>
              <w:bottom w:val="single" w:sz="6" w:space="0" w:color="000000"/>
              <w:right w:val="single" w:sz="6" w:space="0" w:color="000000"/>
            </w:tcBorders>
            <w:tcMar>
              <w:top w:w="40" w:type="dxa"/>
              <w:left w:w="40" w:type="dxa"/>
              <w:bottom w:w="40" w:type="dxa"/>
              <w:right w:w="40" w:type="dxa"/>
            </w:tcMar>
          </w:tcPr>
          <w:p w14:paraId="01C66EBA" w14:textId="486EE633" w:rsidR="006726AA" w:rsidRDefault="006726AA" w:rsidP="00403773">
            <w:pPr>
              <w:pStyle w:val="normal0"/>
              <w:widowControl/>
              <w:rPr>
                <w:rFonts w:ascii="Calibri" w:eastAsia="Calibri" w:hAnsi="Calibri" w:cs="Calibri"/>
                <w:sz w:val="20"/>
                <w:szCs w:val="20"/>
              </w:rPr>
            </w:pPr>
            <w:r>
              <w:rPr>
                <w:rFonts w:ascii="Calibri" w:eastAsia="Calibri" w:hAnsi="Calibri" w:cs="Calibri"/>
                <w:sz w:val="20"/>
                <w:szCs w:val="20"/>
              </w:rPr>
              <w:t xml:space="preserve">All online simulation courses are conducted through the LMS under the direction and supervision of a faculty member, and students receive credit for such courses. Through LEEP, CLS offers exposure to clients and </w:t>
            </w:r>
            <w:r w:rsidR="00403773">
              <w:rPr>
                <w:rFonts w:ascii="Calibri" w:eastAsia="Calibri" w:hAnsi="Calibri" w:cs="Calibri"/>
                <w:sz w:val="20"/>
                <w:szCs w:val="20"/>
              </w:rPr>
              <w:t>a professional legal practice environment</w:t>
            </w:r>
            <w:r>
              <w:rPr>
                <w:rFonts w:ascii="Calibri" w:eastAsia="Calibri" w:hAnsi="Calibri" w:cs="Calibri"/>
                <w:sz w:val="20"/>
                <w:szCs w:val="20"/>
              </w:rPr>
              <w:t xml:space="preserve">. Students receive 4 credits and have to complete 160 hours over a </w:t>
            </w:r>
            <w:r w:rsidR="00E72D7C">
              <w:rPr>
                <w:rFonts w:ascii="Calibri" w:eastAsia="Calibri" w:hAnsi="Calibri" w:cs="Calibri"/>
                <w:sz w:val="20"/>
                <w:szCs w:val="20"/>
              </w:rPr>
              <w:t>6-month</w:t>
            </w:r>
            <w:r>
              <w:rPr>
                <w:rFonts w:ascii="Calibri" w:eastAsia="Calibri" w:hAnsi="Calibri" w:cs="Calibri"/>
                <w:sz w:val="20"/>
                <w:szCs w:val="20"/>
              </w:rPr>
              <w:t xml:space="preserve"> term</w:t>
            </w:r>
            <w:r w:rsidR="005A66F5">
              <w:rPr>
                <w:rFonts w:ascii="Calibri" w:eastAsia="Calibri" w:hAnsi="Calibri" w:cs="Calibri"/>
                <w:sz w:val="20"/>
                <w:szCs w:val="20"/>
              </w:rPr>
              <w:t>—</w:t>
            </w:r>
            <w:r>
              <w:rPr>
                <w:rFonts w:ascii="Calibri" w:eastAsia="Calibri" w:hAnsi="Calibri" w:cs="Calibri"/>
                <w:sz w:val="20"/>
                <w:szCs w:val="20"/>
              </w:rPr>
              <w:t>80 hours of the practical training placement and 80 hours of classroom time that includes instruction, homework, and maintaining journal hours. In addition to the practical hours under a supervised professional, the class is supervised by a full-time faculty member who teaches students practical ethics, professionalism, and confidentiality, reviews journal entries, and reviews two papers that students have to write relating to their work.</w:t>
            </w:r>
          </w:p>
        </w:tc>
      </w:tr>
      <w:tr w:rsidR="006726AA" w14:paraId="69E0E62E" w14:textId="77777777" w:rsidTr="00445E22">
        <w:tc>
          <w:tcPr>
            <w:tcW w:w="13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72AF1967" w14:textId="77777777" w:rsidR="006726AA" w:rsidRDefault="006726AA" w:rsidP="006726AA">
            <w:pPr>
              <w:pStyle w:val="normal0"/>
              <w:widowControl/>
              <w:rPr>
                <w:rFonts w:ascii="Calibri" w:eastAsia="Calibri" w:hAnsi="Calibri" w:cs="Calibri"/>
                <w:sz w:val="20"/>
                <w:szCs w:val="20"/>
              </w:rPr>
            </w:pPr>
            <w:r>
              <w:rPr>
                <w:rFonts w:ascii="Calibri" w:eastAsia="Calibri" w:hAnsi="Calibri" w:cs="Calibri"/>
                <w:sz w:val="20"/>
                <w:szCs w:val="20"/>
              </w:rPr>
              <w:t>305 - Other Academic Study</w:t>
            </w:r>
          </w:p>
        </w:tc>
        <w:tc>
          <w:tcPr>
            <w:tcW w:w="2520" w:type="dxa"/>
            <w:tcBorders>
              <w:bottom w:val="single" w:sz="6" w:space="0" w:color="000000"/>
              <w:right w:val="single" w:sz="6" w:space="0" w:color="000000"/>
            </w:tcBorders>
            <w:tcMar>
              <w:top w:w="40" w:type="dxa"/>
              <w:left w:w="40" w:type="dxa"/>
              <w:bottom w:w="40" w:type="dxa"/>
              <w:right w:w="40" w:type="dxa"/>
            </w:tcMar>
          </w:tcPr>
          <w:p w14:paraId="426E8B37" w14:textId="79EEDFF0" w:rsidR="006726AA" w:rsidRDefault="006726AA" w:rsidP="00680A50">
            <w:pPr>
              <w:pStyle w:val="normal0"/>
              <w:widowControl/>
              <w:rPr>
                <w:rFonts w:ascii="Calibri" w:eastAsia="Calibri" w:hAnsi="Calibri" w:cs="Calibri"/>
                <w:sz w:val="20"/>
                <w:szCs w:val="20"/>
              </w:rPr>
            </w:pPr>
            <w:r>
              <w:rPr>
                <w:rFonts w:ascii="Calibri" w:eastAsia="Calibri" w:hAnsi="Calibri" w:cs="Calibri"/>
                <w:sz w:val="20"/>
                <w:szCs w:val="20"/>
              </w:rPr>
              <w:t xml:space="preserve">A law school may grant credit for courses that involve student participation in studies or activities in a </w:t>
            </w:r>
            <w:r>
              <w:rPr>
                <w:rFonts w:ascii="Calibri" w:eastAsia="Calibri" w:hAnsi="Calibri" w:cs="Calibri"/>
                <w:sz w:val="20"/>
                <w:szCs w:val="20"/>
              </w:rPr>
              <w:lastRenderedPageBreak/>
              <w:t>format that does not involve attendance at regularly scheduled class sessions, including, but not limited to, moot court, law review, and directed research. Must have faculty supervision and students receive credit.</w:t>
            </w:r>
          </w:p>
        </w:tc>
        <w:tc>
          <w:tcPr>
            <w:tcW w:w="7020" w:type="dxa"/>
            <w:tcBorders>
              <w:bottom w:val="single" w:sz="6" w:space="0" w:color="000000"/>
              <w:right w:val="single" w:sz="6" w:space="0" w:color="000000"/>
            </w:tcBorders>
            <w:tcMar>
              <w:top w:w="40" w:type="dxa"/>
              <w:left w:w="40" w:type="dxa"/>
              <w:bottom w:w="40" w:type="dxa"/>
              <w:right w:w="40" w:type="dxa"/>
            </w:tcMar>
          </w:tcPr>
          <w:p w14:paraId="25DF8E21" w14:textId="5377D6F6" w:rsidR="006726AA" w:rsidRDefault="006726AA" w:rsidP="006726AA">
            <w:pPr>
              <w:pStyle w:val="normal0"/>
              <w:widowControl/>
              <w:rPr>
                <w:rFonts w:ascii="Calibri" w:eastAsia="Calibri" w:hAnsi="Calibri" w:cs="Calibri"/>
                <w:sz w:val="20"/>
                <w:szCs w:val="20"/>
              </w:rPr>
            </w:pPr>
            <w:r>
              <w:rPr>
                <w:rFonts w:ascii="Calibri" w:eastAsia="Calibri" w:hAnsi="Calibri" w:cs="Calibri"/>
                <w:sz w:val="20"/>
                <w:szCs w:val="20"/>
              </w:rPr>
              <w:lastRenderedPageBreak/>
              <w:t xml:space="preserve">CLS allows credit for participating in moot court competitions under the supervision of a designed faculty advisor. Participation is only open to 3L or 4L students who meet minimum </w:t>
            </w:r>
            <w:r w:rsidR="00403773">
              <w:rPr>
                <w:rFonts w:ascii="Calibri" w:eastAsia="Calibri" w:hAnsi="Calibri" w:cs="Calibri"/>
                <w:sz w:val="20"/>
                <w:szCs w:val="20"/>
              </w:rPr>
              <w:t>legal writing</w:t>
            </w:r>
            <w:r>
              <w:rPr>
                <w:rFonts w:ascii="Calibri" w:eastAsia="Calibri" w:hAnsi="Calibri" w:cs="Calibri"/>
                <w:sz w:val="20"/>
                <w:szCs w:val="20"/>
              </w:rPr>
              <w:t xml:space="preserve"> and overall GPA requirements. Competition members are chosen by the faculty advisor after an interview process. Students receive a letter </w:t>
            </w:r>
            <w:r>
              <w:rPr>
                <w:rFonts w:ascii="Calibri" w:eastAsia="Calibri" w:hAnsi="Calibri" w:cs="Calibri"/>
                <w:sz w:val="20"/>
                <w:szCs w:val="20"/>
              </w:rPr>
              <w:lastRenderedPageBreak/>
              <w:t>grade based on their participation, and receive four units of credit. Moot court is also designated as an honors program on a student’s transcript.</w:t>
            </w:r>
          </w:p>
          <w:p w14:paraId="0C5C56F7" w14:textId="77777777" w:rsidR="006726AA" w:rsidRDefault="006726AA" w:rsidP="006726AA">
            <w:pPr>
              <w:pStyle w:val="normal0"/>
              <w:widowControl/>
              <w:rPr>
                <w:rFonts w:ascii="Calibri" w:eastAsia="Calibri" w:hAnsi="Calibri" w:cs="Calibri"/>
                <w:sz w:val="20"/>
                <w:szCs w:val="20"/>
              </w:rPr>
            </w:pPr>
          </w:p>
          <w:p w14:paraId="4D810670" w14:textId="1B9F6BDC" w:rsidR="006726AA" w:rsidRDefault="006726AA" w:rsidP="006726AA">
            <w:pPr>
              <w:pStyle w:val="normal0"/>
              <w:widowControl/>
              <w:rPr>
                <w:rFonts w:ascii="Calibri" w:eastAsia="Calibri" w:hAnsi="Calibri" w:cs="Calibri"/>
                <w:sz w:val="20"/>
                <w:szCs w:val="20"/>
              </w:rPr>
            </w:pPr>
            <w:r>
              <w:rPr>
                <w:rFonts w:ascii="Calibri" w:eastAsia="Calibri" w:hAnsi="Calibri" w:cs="Calibri"/>
                <w:sz w:val="20"/>
                <w:szCs w:val="20"/>
              </w:rPr>
              <w:t xml:space="preserve">CLS also provides opportunities for students to earn credit under the supervision of a faculty member through an Independent Study. Students must have at least a 3.0 CGPA to participate and have passed their 3rd(year). Students may choose to take the Independent Study course </w:t>
            </w:r>
            <w:r w:rsidR="00E72D7C">
              <w:rPr>
                <w:rFonts w:ascii="Calibri" w:eastAsia="Calibri" w:hAnsi="Calibri" w:cs="Calibri"/>
                <w:sz w:val="20"/>
                <w:szCs w:val="20"/>
              </w:rPr>
              <w:t>for 2</w:t>
            </w:r>
            <w:r>
              <w:rPr>
                <w:rFonts w:ascii="Calibri" w:eastAsia="Calibri" w:hAnsi="Calibri" w:cs="Calibri"/>
                <w:sz w:val="20"/>
                <w:szCs w:val="20"/>
              </w:rPr>
              <w:t>, 3 or 4 credits. Each credit requires approximately 40 hours of student work.</w:t>
            </w:r>
          </w:p>
        </w:tc>
      </w:tr>
      <w:tr w:rsidR="006726AA" w14:paraId="03464BA6" w14:textId="77777777" w:rsidTr="00445E22">
        <w:tc>
          <w:tcPr>
            <w:tcW w:w="13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73EB5756" w14:textId="77777777" w:rsidR="006726AA" w:rsidRDefault="006726AA" w:rsidP="006726AA">
            <w:pPr>
              <w:pStyle w:val="normal0"/>
              <w:widowControl/>
              <w:rPr>
                <w:rFonts w:ascii="Calibri" w:eastAsia="Calibri" w:hAnsi="Calibri" w:cs="Calibri"/>
                <w:sz w:val="20"/>
                <w:szCs w:val="20"/>
              </w:rPr>
            </w:pPr>
            <w:r>
              <w:rPr>
                <w:rFonts w:ascii="Calibri" w:eastAsia="Calibri" w:hAnsi="Calibri" w:cs="Calibri"/>
                <w:sz w:val="20"/>
                <w:szCs w:val="20"/>
              </w:rPr>
              <w:lastRenderedPageBreak/>
              <w:t>306 - Distance Education</w:t>
            </w:r>
          </w:p>
        </w:tc>
        <w:tc>
          <w:tcPr>
            <w:tcW w:w="2520" w:type="dxa"/>
            <w:tcBorders>
              <w:bottom w:val="single" w:sz="6" w:space="0" w:color="000000"/>
              <w:right w:val="single" w:sz="6" w:space="0" w:color="000000"/>
            </w:tcBorders>
            <w:tcMar>
              <w:top w:w="40" w:type="dxa"/>
              <w:left w:w="40" w:type="dxa"/>
              <w:bottom w:w="40" w:type="dxa"/>
              <w:right w:w="40" w:type="dxa"/>
            </w:tcMar>
          </w:tcPr>
          <w:p w14:paraId="26827C46" w14:textId="42461098" w:rsidR="006726AA" w:rsidRDefault="006726AA" w:rsidP="00680A50">
            <w:pPr>
              <w:pStyle w:val="normal0"/>
              <w:widowControl/>
              <w:rPr>
                <w:rFonts w:ascii="Calibri" w:eastAsia="Calibri" w:hAnsi="Calibri" w:cs="Calibri"/>
                <w:sz w:val="20"/>
                <w:szCs w:val="20"/>
              </w:rPr>
            </w:pPr>
            <w:r>
              <w:rPr>
                <w:rFonts w:ascii="Calibri" w:eastAsia="Calibri" w:hAnsi="Calibri" w:cs="Calibri"/>
                <w:sz w:val="20"/>
                <w:szCs w:val="20"/>
              </w:rPr>
              <w:t>A law school may offer a distance education credit if: (1) there is opportunity for regular and substantive interaction between faculty member and student and among students; (2) there is regular monitoring of student effort by the faculty member and opportunity for communication about that effort; and (3) the learning outcomes for the course are consistent with Standard 302. The law school should have the technological capability to provide distance education credit. A law school shall</w:t>
            </w:r>
            <w:r w:rsidR="00445E22">
              <w:rPr>
                <w:rFonts w:ascii="Calibri" w:eastAsia="Calibri" w:hAnsi="Calibri" w:cs="Calibri"/>
                <w:sz w:val="20"/>
                <w:szCs w:val="20"/>
              </w:rPr>
              <w:t>:</w:t>
            </w:r>
            <w:r>
              <w:rPr>
                <w:rFonts w:ascii="Calibri" w:eastAsia="Calibri" w:hAnsi="Calibri" w:cs="Calibri"/>
                <w:sz w:val="20"/>
                <w:szCs w:val="20"/>
              </w:rPr>
              <w:t xml:space="preserve"> not grant a student more than a total of 15 credit hours toward the </w:t>
            </w:r>
            <w:r w:rsidR="00AC7F42">
              <w:rPr>
                <w:rFonts w:ascii="Calibri" w:eastAsia="Calibri" w:hAnsi="Calibri" w:cs="Calibri"/>
                <w:sz w:val="20"/>
                <w:szCs w:val="20"/>
              </w:rPr>
              <w:t>JD</w:t>
            </w:r>
            <w:r>
              <w:rPr>
                <w:rFonts w:ascii="Calibri" w:eastAsia="Calibri" w:hAnsi="Calibri" w:cs="Calibri"/>
                <w:sz w:val="20"/>
                <w:szCs w:val="20"/>
              </w:rPr>
              <w:t xml:space="preserve"> degree for courses qualifying under this Standard</w:t>
            </w:r>
            <w:r w:rsidR="00445E22">
              <w:rPr>
                <w:rFonts w:ascii="Calibri" w:eastAsia="Calibri" w:hAnsi="Calibri" w:cs="Calibri"/>
                <w:sz w:val="20"/>
                <w:szCs w:val="20"/>
              </w:rPr>
              <w:t>;</w:t>
            </w:r>
            <w:r>
              <w:rPr>
                <w:rFonts w:ascii="Calibri" w:eastAsia="Calibri" w:hAnsi="Calibri" w:cs="Calibri"/>
                <w:sz w:val="20"/>
                <w:szCs w:val="20"/>
              </w:rPr>
              <w:t xml:space="preserve"> not enroll a student in courses qualifying for credit under this Standard until that student has completed instruction equivalent to 28 credit hours toward the </w:t>
            </w:r>
            <w:r w:rsidR="00AC7F42">
              <w:rPr>
                <w:rFonts w:ascii="Calibri" w:eastAsia="Calibri" w:hAnsi="Calibri" w:cs="Calibri"/>
                <w:sz w:val="20"/>
                <w:szCs w:val="20"/>
              </w:rPr>
              <w:t>JD</w:t>
            </w:r>
            <w:r>
              <w:rPr>
                <w:rFonts w:ascii="Calibri" w:eastAsia="Calibri" w:hAnsi="Calibri" w:cs="Calibri"/>
                <w:sz w:val="20"/>
                <w:szCs w:val="20"/>
              </w:rPr>
              <w:t xml:space="preserve"> degree</w:t>
            </w:r>
            <w:r w:rsidR="00445E22">
              <w:rPr>
                <w:rFonts w:ascii="Calibri" w:eastAsia="Calibri" w:hAnsi="Calibri" w:cs="Calibri"/>
                <w:sz w:val="20"/>
                <w:szCs w:val="20"/>
              </w:rPr>
              <w:t xml:space="preserve">; and </w:t>
            </w:r>
            <w:r>
              <w:rPr>
                <w:rFonts w:ascii="Calibri" w:eastAsia="Calibri" w:hAnsi="Calibri" w:cs="Calibri"/>
                <w:sz w:val="20"/>
                <w:szCs w:val="20"/>
              </w:rPr>
              <w:t xml:space="preserve">establish an effective process for verifying the identity of students taking distance education courses and that also protects student privacy. </w:t>
            </w:r>
          </w:p>
        </w:tc>
        <w:tc>
          <w:tcPr>
            <w:tcW w:w="7020" w:type="dxa"/>
            <w:tcBorders>
              <w:bottom w:val="single" w:sz="6" w:space="0" w:color="000000"/>
              <w:right w:val="single" w:sz="6" w:space="0" w:color="000000"/>
            </w:tcBorders>
            <w:tcMar>
              <w:top w:w="40" w:type="dxa"/>
              <w:left w:w="40" w:type="dxa"/>
              <w:bottom w:w="40" w:type="dxa"/>
              <w:right w:w="40" w:type="dxa"/>
            </w:tcMar>
          </w:tcPr>
          <w:p w14:paraId="76E650FC" w14:textId="77777777" w:rsidR="006726AA" w:rsidRDefault="006726AA" w:rsidP="006726AA">
            <w:pPr>
              <w:pStyle w:val="normal0"/>
              <w:widowControl/>
              <w:rPr>
                <w:rFonts w:ascii="Calibri" w:eastAsia="Calibri" w:hAnsi="Calibri" w:cs="Calibri"/>
                <w:sz w:val="20"/>
                <w:szCs w:val="20"/>
              </w:rPr>
            </w:pPr>
            <w:r>
              <w:rPr>
                <w:rFonts w:ascii="Calibri" w:eastAsia="Calibri" w:hAnsi="Calibri" w:cs="Calibri"/>
                <w:sz w:val="20"/>
                <w:szCs w:val="20"/>
              </w:rPr>
              <w:t>To the extent that the Standard limits the amount of credit than can be earned through distance education to 15 credits after the first year, CLS does not comply because CLS delivers 100% of its program of legal education online. CLS complies with this Standard to the extent it sets requirements for the quality of and processes surrounding distance education credit.</w:t>
            </w:r>
          </w:p>
          <w:p w14:paraId="7CBDBF4A" w14:textId="77777777" w:rsidR="006726AA" w:rsidRDefault="006726AA" w:rsidP="006726AA">
            <w:pPr>
              <w:pStyle w:val="normal0"/>
              <w:widowControl/>
              <w:rPr>
                <w:rFonts w:ascii="Calibri" w:eastAsia="Calibri" w:hAnsi="Calibri" w:cs="Calibri"/>
                <w:sz w:val="20"/>
                <w:szCs w:val="20"/>
              </w:rPr>
            </w:pPr>
          </w:p>
          <w:p w14:paraId="166081E1" w14:textId="377E70DC" w:rsidR="006726AA" w:rsidRDefault="006726AA" w:rsidP="006726AA">
            <w:pPr>
              <w:pStyle w:val="normal0"/>
              <w:widowControl/>
              <w:rPr>
                <w:rFonts w:ascii="Calibri" w:eastAsia="Calibri" w:hAnsi="Calibri" w:cs="Calibri"/>
                <w:sz w:val="20"/>
                <w:szCs w:val="20"/>
              </w:rPr>
            </w:pPr>
            <w:r>
              <w:rPr>
                <w:rFonts w:ascii="Calibri" w:eastAsia="Calibri" w:hAnsi="Calibri" w:cs="Calibri"/>
                <w:sz w:val="20"/>
                <w:szCs w:val="20"/>
              </w:rPr>
              <w:t>The entire CLS curriculum is distance learning and it provides for regular and substantive interaction between faculty and students. The Learning Management System (LMS) platform allows students to access all course materials (other than textbooks), video lectures, quizzes, interactive exercises, and live lectures. Students also use the platform to upload essay assignments for grading, participate in discussion boards, and track their course progress and posted grades. The live online classes, which enable two-way real-time discussions, can accommodate not only lecture but also what is effectively Socratic dialogue, with professors posing questions to students who respond via audio or text messages; discussion of previously assigned cases; solving of problems assigned before or during class; simulated oral arguments; or student presentations. CLS requires that students attend at least 80 percent of live classes, which generally occur once or twice a week, or watch archives for those in which they cannot participate synchronously (which are also available for those who simply wish to review the material). Less assertive students who may be intimidated by speaking up in a room full of peers are more likely to participate robustly online.</w:t>
            </w:r>
          </w:p>
          <w:p w14:paraId="0F63624B" w14:textId="77777777" w:rsidR="006726AA" w:rsidRDefault="006726AA" w:rsidP="006726AA">
            <w:pPr>
              <w:pStyle w:val="normal0"/>
              <w:widowControl/>
              <w:rPr>
                <w:rFonts w:ascii="Calibri" w:eastAsia="Calibri" w:hAnsi="Calibri" w:cs="Calibri"/>
                <w:sz w:val="20"/>
                <w:szCs w:val="20"/>
              </w:rPr>
            </w:pPr>
          </w:p>
          <w:p w14:paraId="72BE8AA5" w14:textId="443DB6D4" w:rsidR="006726AA" w:rsidRDefault="006726AA" w:rsidP="006726AA">
            <w:pPr>
              <w:pStyle w:val="normal0"/>
              <w:widowControl/>
              <w:rPr>
                <w:rFonts w:ascii="Calibri" w:eastAsia="Calibri" w:hAnsi="Calibri" w:cs="Calibri"/>
                <w:sz w:val="20"/>
                <w:szCs w:val="20"/>
              </w:rPr>
            </w:pPr>
            <w:r>
              <w:rPr>
                <w:rFonts w:ascii="Calibri" w:eastAsia="Calibri" w:hAnsi="Calibri" w:cs="Calibri"/>
                <w:sz w:val="20"/>
                <w:szCs w:val="20"/>
              </w:rPr>
              <w:t>For the most part, doctrinal courses at CLS utilize the same casebooks used in ABA schools across the country. The reading load is substantial, and students are frequently tested on their understanding of the material, in both multiple choice quiz and classic law school “issue spotter” essay formats.</w:t>
            </w:r>
          </w:p>
          <w:p w14:paraId="12D9CD03" w14:textId="77777777" w:rsidR="006726AA" w:rsidRDefault="006726AA" w:rsidP="006726AA">
            <w:pPr>
              <w:pStyle w:val="normal0"/>
              <w:widowControl/>
              <w:rPr>
                <w:rFonts w:ascii="Calibri" w:eastAsia="Calibri" w:hAnsi="Calibri" w:cs="Calibri"/>
                <w:sz w:val="20"/>
                <w:szCs w:val="20"/>
              </w:rPr>
            </w:pPr>
          </w:p>
          <w:p w14:paraId="6F7808E1" w14:textId="14F781FF" w:rsidR="006726AA" w:rsidRDefault="006726AA" w:rsidP="006726AA">
            <w:pPr>
              <w:pStyle w:val="normal0"/>
              <w:widowControl/>
              <w:rPr>
                <w:rFonts w:ascii="Calibri" w:eastAsia="Calibri" w:hAnsi="Calibri" w:cs="Calibri"/>
                <w:sz w:val="20"/>
                <w:szCs w:val="20"/>
              </w:rPr>
            </w:pPr>
            <w:r>
              <w:rPr>
                <w:rFonts w:ascii="Calibri" w:eastAsia="Calibri" w:hAnsi="Calibri" w:cs="Calibri"/>
                <w:sz w:val="20"/>
                <w:szCs w:val="20"/>
              </w:rPr>
              <w:t>Learning outcomes for courses are consistent with Standard 302, per the above. CLS has more than adequate technological capability to provide distance education credit. The KU Student Records department and every other department within CLS or KU that interfaces with students is trained and prepared to deal with distance education learning.</w:t>
            </w:r>
          </w:p>
          <w:p w14:paraId="6AF99141" w14:textId="77777777" w:rsidR="006726AA" w:rsidRDefault="006726AA" w:rsidP="006726AA">
            <w:pPr>
              <w:pStyle w:val="normal0"/>
              <w:widowControl/>
              <w:rPr>
                <w:rFonts w:ascii="Calibri" w:eastAsia="Calibri" w:hAnsi="Calibri" w:cs="Calibri"/>
                <w:sz w:val="20"/>
                <w:szCs w:val="20"/>
              </w:rPr>
            </w:pPr>
          </w:p>
        </w:tc>
      </w:tr>
      <w:tr w:rsidR="006726AA" w14:paraId="3DCC6953" w14:textId="77777777" w:rsidTr="00445E22">
        <w:tc>
          <w:tcPr>
            <w:tcW w:w="13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3AD0DB79" w14:textId="77777777" w:rsidR="006726AA" w:rsidRDefault="006726AA" w:rsidP="006726AA">
            <w:pPr>
              <w:pStyle w:val="normal0"/>
              <w:widowControl/>
              <w:rPr>
                <w:rFonts w:ascii="Calibri" w:eastAsia="Calibri" w:hAnsi="Calibri" w:cs="Calibri"/>
                <w:sz w:val="20"/>
                <w:szCs w:val="20"/>
              </w:rPr>
            </w:pPr>
            <w:r>
              <w:rPr>
                <w:rFonts w:ascii="Calibri" w:eastAsia="Calibri" w:hAnsi="Calibri" w:cs="Calibri"/>
                <w:sz w:val="20"/>
                <w:szCs w:val="20"/>
              </w:rPr>
              <w:t>307 - Studies, Activities, and Field Placements Outside of the United States</w:t>
            </w:r>
          </w:p>
        </w:tc>
        <w:tc>
          <w:tcPr>
            <w:tcW w:w="2520" w:type="dxa"/>
            <w:tcBorders>
              <w:bottom w:val="single" w:sz="6" w:space="0" w:color="000000"/>
              <w:right w:val="single" w:sz="6" w:space="0" w:color="000000"/>
            </w:tcBorders>
            <w:tcMar>
              <w:top w:w="40" w:type="dxa"/>
              <w:left w:w="40" w:type="dxa"/>
              <w:bottom w:w="40" w:type="dxa"/>
              <w:right w:w="40" w:type="dxa"/>
            </w:tcMar>
          </w:tcPr>
          <w:p w14:paraId="79808553" w14:textId="77777777" w:rsidR="006726AA" w:rsidRDefault="006726AA" w:rsidP="006726AA">
            <w:pPr>
              <w:pStyle w:val="normal0"/>
              <w:widowControl/>
              <w:rPr>
                <w:rFonts w:ascii="Calibri" w:eastAsia="Calibri" w:hAnsi="Calibri" w:cs="Calibri"/>
                <w:sz w:val="20"/>
                <w:szCs w:val="20"/>
              </w:rPr>
            </w:pPr>
            <w:r>
              <w:rPr>
                <w:rFonts w:ascii="Calibri" w:eastAsia="Calibri" w:hAnsi="Calibri" w:cs="Calibri"/>
                <w:sz w:val="20"/>
                <w:szCs w:val="20"/>
              </w:rPr>
              <w:t>N/A</w:t>
            </w:r>
          </w:p>
        </w:tc>
        <w:tc>
          <w:tcPr>
            <w:tcW w:w="7020" w:type="dxa"/>
            <w:tcBorders>
              <w:bottom w:val="single" w:sz="6" w:space="0" w:color="000000"/>
              <w:right w:val="single" w:sz="6" w:space="0" w:color="000000"/>
            </w:tcBorders>
            <w:tcMar>
              <w:top w:w="40" w:type="dxa"/>
              <w:left w:w="40" w:type="dxa"/>
              <w:bottom w:w="40" w:type="dxa"/>
              <w:right w:w="40" w:type="dxa"/>
            </w:tcMar>
          </w:tcPr>
          <w:p w14:paraId="5287C639" w14:textId="77777777" w:rsidR="006726AA" w:rsidRDefault="006726AA" w:rsidP="006726AA">
            <w:pPr>
              <w:pStyle w:val="normal0"/>
              <w:widowControl/>
              <w:rPr>
                <w:rFonts w:ascii="Calibri" w:eastAsia="Calibri" w:hAnsi="Calibri" w:cs="Calibri"/>
                <w:sz w:val="20"/>
                <w:szCs w:val="20"/>
              </w:rPr>
            </w:pPr>
            <w:r>
              <w:rPr>
                <w:rFonts w:ascii="Calibri" w:eastAsia="Calibri" w:hAnsi="Calibri" w:cs="Calibri"/>
                <w:sz w:val="20"/>
                <w:szCs w:val="20"/>
              </w:rPr>
              <w:t>CLS does not provide international credit.</w:t>
            </w:r>
          </w:p>
        </w:tc>
      </w:tr>
      <w:tr w:rsidR="006726AA" w14:paraId="5FD9C72B" w14:textId="77777777" w:rsidTr="00445E22">
        <w:tc>
          <w:tcPr>
            <w:tcW w:w="13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65F16F37" w14:textId="77777777" w:rsidR="006726AA" w:rsidRDefault="006726AA" w:rsidP="006726AA">
            <w:pPr>
              <w:pStyle w:val="normal0"/>
              <w:widowControl/>
              <w:rPr>
                <w:rFonts w:ascii="Calibri" w:eastAsia="Calibri" w:hAnsi="Calibri" w:cs="Calibri"/>
                <w:sz w:val="20"/>
                <w:szCs w:val="20"/>
              </w:rPr>
            </w:pPr>
            <w:r>
              <w:rPr>
                <w:rFonts w:ascii="Calibri" w:eastAsia="Calibri" w:hAnsi="Calibri" w:cs="Calibri"/>
                <w:sz w:val="20"/>
                <w:szCs w:val="20"/>
              </w:rPr>
              <w:t>308 - Academic Standards</w:t>
            </w:r>
          </w:p>
        </w:tc>
        <w:tc>
          <w:tcPr>
            <w:tcW w:w="2520" w:type="dxa"/>
            <w:tcBorders>
              <w:bottom w:val="single" w:sz="6" w:space="0" w:color="000000"/>
              <w:right w:val="single" w:sz="6" w:space="0" w:color="000000"/>
            </w:tcBorders>
            <w:tcMar>
              <w:top w:w="40" w:type="dxa"/>
              <w:left w:w="40" w:type="dxa"/>
              <w:bottom w:w="40" w:type="dxa"/>
              <w:right w:w="40" w:type="dxa"/>
            </w:tcMar>
          </w:tcPr>
          <w:p w14:paraId="7A44778E" w14:textId="77777777" w:rsidR="006726AA" w:rsidRDefault="006726AA" w:rsidP="006726AA">
            <w:pPr>
              <w:pStyle w:val="normal0"/>
              <w:widowControl/>
              <w:rPr>
                <w:rFonts w:ascii="Calibri" w:eastAsia="Calibri" w:hAnsi="Calibri" w:cs="Calibri"/>
                <w:sz w:val="20"/>
                <w:szCs w:val="20"/>
              </w:rPr>
            </w:pPr>
            <w:r>
              <w:rPr>
                <w:rFonts w:ascii="Calibri" w:eastAsia="Calibri" w:hAnsi="Calibri" w:cs="Calibri"/>
                <w:sz w:val="20"/>
                <w:szCs w:val="20"/>
              </w:rPr>
              <w:t xml:space="preserve">A law school shall adopt, publish, and adhere to sound academic standards, including those for regular class attendance, good standing, academic integrity, graduation, and dismissal. A law school shall also have </w:t>
            </w:r>
            <w:r>
              <w:rPr>
                <w:rFonts w:ascii="Calibri" w:eastAsia="Calibri" w:hAnsi="Calibri" w:cs="Calibri"/>
                <w:sz w:val="20"/>
                <w:szCs w:val="20"/>
              </w:rPr>
              <w:lastRenderedPageBreak/>
              <w:t>written due process policies with regard to taking any action that adversely affects the good standing or graduation of a student.</w:t>
            </w:r>
          </w:p>
        </w:tc>
        <w:tc>
          <w:tcPr>
            <w:tcW w:w="7020" w:type="dxa"/>
            <w:tcBorders>
              <w:bottom w:val="single" w:sz="6" w:space="0" w:color="000000"/>
              <w:right w:val="single" w:sz="6" w:space="0" w:color="000000"/>
            </w:tcBorders>
            <w:tcMar>
              <w:top w:w="40" w:type="dxa"/>
              <w:left w:w="40" w:type="dxa"/>
              <w:bottom w:w="40" w:type="dxa"/>
              <w:right w:w="40" w:type="dxa"/>
            </w:tcMar>
          </w:tcPr>
          <w:p w14:paraId="2FAB75FA" w14:textId="669CAB0B" w:rsidR="006726AA" w:rsidRDefault="006726AA" w:rsidP="00445E22">
            <w:pPr>
              <w:pStyle w:val="normal0"/>
              <w:widowControl/>
              <w:rPr>
                <w:rFonts w:ascii="Calibri" w:eastAsia="Calibri" w:hAnsi="Calibri" w:cs="Calibri"/>
                <w:sz w:val="20"/>
                <w:szCs w:val="20"/>
              </w:rPr>
            </w:pPr>
            <w:r>
              <w:rPr>
                <w:rFonts w:ascii="Calibri" w:eastAsia="Calibri" w:hAnsi="Calibri" w:cs="Calibri"/>
                <w:sz w:val="20"/>
                <w:szCs w:val="20"/>
              </w:rPr>
              <w:lastRenderedPageBreak/>
              <w:t xml:space="preserve">CLS has adopted, published and adheres to policies regarding each of these. Among other things, </w:t>
            </w:r>
            <w:r w:rsidR="00445E22">
              <w:rPr>
                <w:rFonts w:ascii="Calibri" w:eastAsia="Calibri" w:hAnsi="Calibri" w:cs="Calibri"/>
                <w:sz w:val="20"/>
                <w:szCs w:val="20"/>
              </w:rPr>
              <w:t xml:space="preserve">JD </w:t>
            </w:r>
            <w:r>
              <w:rPr>
                <w:rFonts w:ascii="Calibri" w:eastAsia="Calibri" w:hAnsi="Calibri" w:cs="Calibri"/>
                <w:sz w:val="20"/>
                <w:szCs w:val="20"/>
              </w:rPr>
              <w:t>students must attend at least 80 percent of classes in order to be eligible to sit for the final exam. Students who do not register attendance with sufficient frequency will be withdrawn, and “gating” ensures that students complete assignments and activities to</w:t>
            </w:r>
            <w:r w:rsidR="002A6D6B">
              <w:rPr>
                <w:rFonts w:ascii="Calibri" w:eastAsia="Calibri" w:hAnsi="Calibri" w:cs="Calibri"/>
                <w:sz w:val="20"/>
                <w:szCs w:val="20"/>
              </w:rPr>
              <w:t xml:space="preserve"> move forward </w:t>
            </w:r>
            <w:r w:rsidR="00445E22">
              <w:rPr>
                <w:rFonts w:ascii="Calibri" w:eastAsia="Calibri" w:hAnsi="Calibri" w:cs="Calibri"/>
                <w:sz w:val="20"/>
                <w:szCs w:val="20"/>
              </w:rPr>
              <w:t>in</w:t>
            </w:r>
            <w:r w:rsidR="002A6D6B">
              <w:rPr>
                <w:rFonts w:ascii="Calibri" w:eastAsia="Calibri" w:hAnsi="Calibri" w:cs="Calibri"/>
                <w:sz w:val="20"/>
                <w:szCs w:val="20"/>
              </w:rPr>
              <w:t xml:space="preserve"> courses. </w:t>
            </w:r>
            <w:r>
              <w:rPr>
                <w:rFonts w:ascii="Calibri" w:eastAsia="Calibri" w:hAnsi="Calibri" w:cs="Calibri"/>
                <w:sz w:val="20"/>
                <w:szCs w:val="20"/>
              </w:rPr>
              <w:t>Students must maintain a 2.0 CGPA, pass the FYLSE after 1L, and earn 22 credits towards graduation each year in order to move on to the next year.</w:t>
            </w:r>
            <w:r w:rsidR="00F04CA5">
              <w:rPr>
                <w:rFonts w:ascii="Calibri" w:eastAsia="Calibri" w:hAnsi="Calibri" w:cs="Calibri"/>
                <w:sz w:val="20"/>
                <w:szCs w:val="20"/>
              </w:rPr>
              <w:t xml:space="preserve"> </w:t>
            </w:r>
            <w:r w:rsidR="00445E22">
              <w:rPr>
                <w:rFonts w:ascii="Calibri" w:eastAsia="Calibri" w:hAnsi="Calibri" w:cs="Calibri"/>
                <w:sz w:val="20"/>
                <w:szCs w:val="20"/>
              </w:rPr>
              <w:t>Students must</w:t>
            </w:r>
            <w:r>
              <w:rPr>
                <w:rFonts w:ascii="Calibri" w:eastAsia="Calibri" w:hAnsi="Calibri" w:cs="Calibri"/>
                <w:sz w:val="20"/>
                <w:szCs w:val="20"/>
              </w:rPr>
              <w:t xml:space="preserve"> conduct themselves at all times in accordance with the professional standards and conduct expected of attorneys and </w:t>
            </w:r>
            <w:r>
              <w:rPr>
                <w:rFonts w:ascii="Calibri" w:eastAsia="Calibri" w:hAnsi="Calibri" w:cs="Calibri"/>
                <w:sz w:val="20"/>
                <w:szCs w:val="20"/>
              </w:rPr>
              <w:lastRenderedPageBreak/>
              <w:t>future attorneys. Students must complete at least 92 credit hours within the time frame required by the State Bar of California within 5 years of passing the FYLSE</w:t>
            </w:r>
            <w:r w:rsidR="002A6D6B">
              <w:rPr>
                <w:rFonts w:ascii="Calibri" w:eastAsia="Calibri" w:hAnsi="Calibri" w:cs="Calibri"/>
                <w:sz w:val="20"/>
                <w:szCs w:val="20"/>
              </w:rPr>
              <w:t xml:space="preserve">, </w:t>
            </w:r>
            <w:r w:rsidR="00E72D7C">
              <w:rPr>
                <w:rFonts w:ascii="Calibri" w:eastAsia="Calibri" w:hAnsi="Calibri" w:cs="Calibri"/>
                <w:sz w:val="20"/>
                <w:szCs w:val="20"/>
              </w:rPr>
              <w:t>and must</w:t>
            </w:r>
            <w:r>
              <w:rPr>
                <w:rFonts w:ascii="Calibri" w:eastAsia="Calibri" w:hAnsi="Calibri" w:cs="Calibri"/>
                <w:sz w:val="20"/>
                <w:szCs w:val="20"/>
              </w:rPr>
              <w:t xml:space="preserve"> be in good financial standing to graduate. Students may petition for an exception to or waiver of the School policies including seeking an exception to policies related to academic standing, disqualification, and advancement.</w:t>
            </w:r>
          </w:p>
        </w:tc>
      </w:tr>
      <w:tr w:rsidR="006726AA" w14:paraId="4A41074B" w14:textId="77777777" w:rsidTr="00445E22">
        <w:tc>
          <w:tcPr>
            <w:tcW w:w="13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40BAA42C" w14:textId="77777777" w:rsidR="006726AA" w:rsidRDefault="006726AA" w:rsidP="006726AA">
            <w:pPr>
              <w:pStyle w:val="normal0"/>
              <w:widowControl/>
              <w:rPr>
                <w:rFonts w:ascii="Calibri" w:eastAsia="Calibri" w:hAnsi="Calibri" w:cs="Calibri"/>
                <w:sz w:val="20"/>
                <w:szCs w:val="20"/>
              </w:rPr>
            </w:pPr>
            <w:r>
              <w:rPr>
                <w:rFonts w:ascii="Calibri" w:eastAsia="Calibri" w:hAnsi="Calibri" w:cs="Calibri"/>
                <w:sz w:val="20"/>
                <w:szCs w:val="20"/>
              </w:rPr>
              <w:lastRenderedPageBreak/>
              <w:t>309 - Academic Advising and Support</w:t>
            </w:r>
          </w:p>
        </w:tc>
        <w:tc>
          <w:tcPr>
            <w:tcW w:w="2520" w:type="dxa"/>
            <w:tcBorders>
              <w:bottom w:val="single" w:sz="6" w:space="0" w:color="000000"/>
              <w:right w:val="single" w:sz="6" w:space="0" w:color="000000"/>
            </w:tcBorders>
            <w:tcMar>
              <w:top w:w="40" w:type="dxa"/>
              <w:left w:w="40" w:type="dxa"/>
              <w:bottom w:w="40" w:type="dxa"/>
              <w:right w:w="40" w:type="dxa"/>
            </w:tcMar>
          </w:tcPr>
          <w:p w14:paraId="533906DF" w14:textId="04199BB0" w:rsidR="006726AA" w:rsidRDefault="006726AA" w:rsidP="00AC7F42">
            <w:pPr>
              <w:pStyle w:val="normal0"/>
              <w:widowControl/>
              <w:rPr>
                <w:rFonts w:ascii="Calibri" w:eastAsia="Calibri" w:hAnsi="Calibri" w:cs="Calibri"/>
                <w:sz w:val="20"/>
                <w:szCs w:val="20"/>
              </w:rPr>
            </w:pPr>
            <w:r>
              <w:rPr>
                <w:rFonts w:ascii="Calibri" w:eastAsia="Calibri" w:hAnsi="Calibri" w:cs="Calibri"/>
                <w:sz w:val="20"/>
                <w:szCs w:val="20"/>
              </w:rPr>
              <w:t>A law school shall</w:t>
            </w:r>
            <w:r w:rsidR="00AC7F42">
              <w:rPr>
                <w:rFonts w:ascii="Calibri" w:eastAsia="Calibri" w:hAnsi="Calibri" w:cs="Calibri"/>
                <w:sz w:val="20"/>
                <w:szCs w:val="20"/>
              </w:rPr>
              <w:t>:</w:t>
            </w:r>
            <w:r>
              <w:rPr>
                <w:rFonts w:ascii="Calibri" w:eastAsia="Calibri" w:hAnsi="Calibri" w:cs="Calibri"/>
                <w:sz w:val="20"/>
                <w:szCs w:val="20"/>
              </w:rPr>
              <w:t xml:space="preserve"> provide academic advising for students that communicates effectively the school’s academic standards and graduation requirements, and provides guidance on course selection</w:t>
            </w:r>
            <w:r w:rsidR="00AC7F42">
              <w:rPr>
                <w:rFonts w:ascii="Calibri" w:eastAsia="Calibri" w:hAnsi="Calibri" w:cs="Calibri"/>
                <w:sz w:val="20"/>
                <w:szCs w:val="20"/>
              </w:rPr>
              <w:t>; and</w:t>
            </w:r>
            <w:r>
              <w:rPr>
                <w:rFonts w:ascii="Calibri" w:eastAsia="Calibri" w:hAnsi="Calibri" w:cs="Calibri"/>
                <w:sz w:val="20"/>
                <w:szCs w:val="20"/>
              </w:rPr>
              <w:t xml:space="preserve"> provide academic support designed to afford students a reasonable opportunity to complete the program of legal education, graduate, and become members of the legal profession.</w:t>
            </w:r>
          </w:p>
        </w:tc>
        <w:tc>
          <w:tcPr>
            <w:tcW w:w="7020" w:type="dxa"/>
            <w:tcBorders>
              <w:bottom w:val="single" w:sz="6" w:space="0" w:color="000000"/>
              <w:right w:val="single" w:sz="6" w:space="0" w:color="000000"/>
            </w:tcBorders>
            <w:shd w:val="clear" w:color="auto" w:fill="FFFFFF"/>
            <w:tcMar>
              <w:top w:w="40" w:type="dxa"/>
              <w:left w:w="40" w:type="dxa"/>
              <w:bottom w:w="40" w:type="dxa"/>
              <w:right w:w="40" w:type="dxa"/>
            </w:tcMar>
          </w:tcPr>
          <w:p w14:paraId="4DC97F83" w14:textId="3E78F7BD" w:rsidR="006726AA" w:rsidRDefault="00E53D22" w:rsidP="006726AA">
            <w:pPr>
              <w:pStyle w:val="normal0"/>
              <w:widowControl/>
              <w:rPr>
                <w:rFonts w:ascii="Calibri" w:eastAsia="Calibri" w:hAnsi="Calibri" w:cs="Calibri"/>
                <w:sz w:val="20"/>
                <w:szCs w:val="20"/>
                <w:highlight w:val="white"/>
              </w:rPr>
            </w:pPr>
            <w:r>
              <w:rPr>
                <w:rFonts w:ascii="Calibri" w:eastAsia="Calibri" w:hAnsi="Calibri" w:cs="Calibri"/>
                <w:b/>
                <w:sz w:val="20"/>
                <w:szCs w:val="20"/>
                <w:highlight w:val="white"/>
              </w:rPr>
              <w:t>Pre-Start</w:t>
            </w:r>
            <w:r w:rsidR="006726AA">
              <w:rPr>
                <w:rFonts w:ascii="Calibri" w:eastAsia="Calibri" w:hAnsi="Calibri" w:cs="Calibri"/>
                <w:sz w:val="20"/>
                <w:szCs w:val="20"/>
                <w:highlight w:val="white"/>
              </w:rPr>
              <w:t>: CLS offers a "Fundamentals" program, which introduces students to the</w:t>
            </w:r>
            <w:r>
              <w:rPr>
                <w:rFonts w:ascii="Calibri" w:eastAsia="Calibri" w:hAnsi="Calibri" w:cs="Calibri"/>
                <w:sz w:val="20"/>
                <w:szCs w:val="20"/>
                <w:highlight w:val="white"/>
              </w:rPr>
              <w:t xml:space="preserve"> online learning environment as well as</w:t>
            </w:r>
            <w:r w:rsidR="006726AA">
              <w:rPr>
                <w:rFonts w:ascii="Calibri" w:eastAsia="Calibri" w:hAnsi="Calibri" w:cs="Calibri"/>
                <w:sz w:val="20"/>
                <w:szCs w:val="20"/>
                <w:highlight w:val="white"/>
              </w:rPr>
              <w:t xml:space="preserve"> foundational knowledge and skills.</w:t>
            </w:r>
          </w:p>
          <w:p w14:paraId="462DB103" w14:textId="77777777" w:rsidR="006726AA" w:rsidRDefault="006726AA" w:rsidP="006726AA">
            <w:pPr>
              <w:pStyle w:val="normal0"/>
              <w:widowControl/>
              <w:rPr>
                <w:rFonts w:ascii="Calibri" w:eastAsia="Calibri" w:hAnsi="Calibri" w:cs="Calibri"/>
                <w:sz w:val="20"/>
                <w:szCs w:val="20"/>
                <w:highlight w:val="white"/>
              </w:rPr>
            </w:pPr>
          </w:p>
          <w:p w14:paraId="61EC938F" w14:textId="60426B68" w:rsidR="006726AA" w:rsidRDefault="006726AA" w:rsidP="006726AA">
            <w:pPr>
              <w:pStyle w:val="normal0"/>
              <w:widowControl/>
              <w:rPr>
                <w:rFonts w:ascii="Calibri" w:eastAsia="Calibri" w:hAnsi="Calibri" w:cs="Calibri"/>
                <w:sz w:val="20"/>
                <w:szCs w:val="20"/>
                <w:highlight w:val="white"/>
              </w:rPr>
            </w:pPr>
            <w:r>
              <w:rPr>
                <w:rFonts w:ascii="Calibri" w:eastAsia="Calibri" w:hAnsi="Calibri" w:cs="Calibri"/>
                <w:b/>
                <w:sz w:val="20"/>
                <w:szCs w:val="20"/>
                <w:highlight w:val="white"/>
              </w:rPr>
              <w:t>Academic Resource Center (ARC)</w:t>
            </w:r>
            <w:r>
              <w:rPr>
                <w:rFonts w:ascii="Calibri" w:eastAsia="Calibri" w:hAnsi="Calibri" w:cs="Calibri"/>
                <w:sz w:val="20"/>
                <w:szCs w:val="20"/>
                <w:highlight w:val="white"/>
              </w:rPr>
              <w:t xml:space="preserve">: This includes "Start on Skills" (SOS), CLS's early intervention </w:t>
            </w:r>
            <w:r w:rsidR="002A6D6B">
              <w:rPr>
                <w:rFonts w:ascii="Calibri" w:eastAsia="Calibri" w:hAnsi="Calibri" w:cs="Calibri"/>
                <w:sz w:val="20"/>
                <w:szCs w:val="20"/>
                <w:highlight w:val="white"/>
              </w:rPr>
              <w:t>practice exercises</w:t>
            </w:r>
            <w:r w:rsidR="00E53D22">
              <w:rPr>
                <w:rFonts w:ascii="Calibri" w:eastAsia="Calibri" w:hAnsi="Calibri" w:cs="Calibri"/>
                <w:sz w:val="20"/>
                <w:szCs w:val="20"/>
                <w:highlight w:val="white"/>
              </w:rPr>
              <w:t>, and a</w:t>
            </w:r>
            <w:r>
              <w:rPr>
                <w:rFonts w:ascii="Calibri" w:eastAsia="Calibri" w:hAnsi="Calibri" w:cs="Calibri"/>
                <w:sz w:val="20"/>
                <w:szCs w:val="20"/>
                <w:highlight w:val="white"/>
              </w:rPr>
              <w:t xml:space="preserve"> more advanced "Concord Essay Outreach" (CEO) program</w:t>
            </w:r>
            <w:r w:rsidR="00E53D22">
              <w:rPr>
                <w:rFonts w:ascii="Calibri" w:eastAsia="Calibri" w:hAnsi="Calibri" w:cs="Calibri"/>
                <w:sz w:val="20"/>
                <w:szCs w:val="20"/>
                <w:highlight w:val="white"/>
              </w:rPr>
              <w:t xml:space="preserve"> to enhance </w:t>
            </w:r>
            <w:r>
              <w:rPr>
                <w:rFonts w:ascii="Calibri" w:eastAsia="Calibri" w:hAnsi="Calibri" w:cs="Calibri"/>
                <w:sz w:val="20"/>
                <w:szCs w:val="20"/>
                <w:highlight w:val="white"/>
              </w:rPr>
              <w:t>fact-analysis, issue-identificat</w:t>
            </w:r>
            <w:r w:rsidR="00E53D22">
              <w:rPr>
                <w:rFonts w:ascii="Calibri" w:eastAsia="Calibri" w:hAnsi="Calibri" w:cs="Calibri"/>
                <w:sz w:val="20"/>
                <w:szCs w:val="20"/>
                <w:highlight w:val="white"/>
              </w:rPr>
              <w:t>ion, and essay writing</w:t>
            </w:r>
            <w:r>
              <w:rPr>
                <w:rFonts w:ascii="Calibri" w:eastAsia="Calibri" w:hAnsi="Calibri" w:cs="Calibri"/>
                <w:sz w:val="20"/>
                <w:szCs w:val="20"/>
                <w:highlight w:val="white"/>
              </w:rPr>
              <w:t>.</w:t>
            </w:r>
          </w:p>
          <w:p w14:paraId="4BE5BC20" w14:textId="77777777" w:rsidR="006726AA" w:rsidRDefault="006726AA" w:rsidP="006726AA">
            <w:pPr>
              <w:pStyle w:val="normal0"/>
              <w:widowControl/>
              <w:rPr>
                <w:rFonts w:ascii="Calibri" w:eastAsia="Calibri" w:hAnsi="Calibri" w:cs="Calibri"/>
                <w:sz w:val="20"/>
                <w:szCs w:val="20"/>
                <w:highlight w:val="white"/>
              </w:rPr>
            </w:pPr>
          </w:p>
          <w:p w14:paraId="476EF609" w14:textId="7B9D1B54" w:rsidR="006726AA" w:rsidRDefault="006726AA" w:rsidP="006726AA">
            <w:pPr>
              <w:pStyle w:val="normal0"/>
              <w:widowControl/>
              <w:rPr>
                <w:rFonts w:ascii="Calibri" w:eastAsia="Calibri" w:hAnsi="Calibri" w:cs="Calibri"/>
                <w:sz w:val="20"/>
                <w:szCs w:val="20"/>
                <w:highlight w:val="white"/>
              </w:rPr>
            </w:pPr>
            <w:r>
              <w:rPr>
                <w:rFonts w:ascii="Calibri" w:eastAsia="Calibri" w:hAnsi="Calibri" w:cs="Calibri"/>
                <w:b/>
                <w:sz w:val="20"/>
                <w:szCs w:val="20"/>
                <w:highlight w:val="white"/>
              </w:rPr>
              <w:t>Academic Advising</w:t>
            </w:r>
            <w:r>
              <w:rPr>
                <w:rFonts w:ascii="Calibri" w:eastAsia="Calibri" w:hAnsi="Calibri" w:cs="Calibri"/>
                <w:sz w:val="20"/>
                <w:szCs w:val="20"/>
                <w:highlight w:val="white"/>
              </w:rPr>
              <w:t>: CLS has two full-time Assistant Deans of Students, both of whom hold ABA-based JDs, and one of whom also teaches courses in skills and ethics. They assist with academic support and advising. CLS also utilizes KU’s Educational Advising team to address administrative questions regarding registration, scheduling, etc.</w:t>
            </w:r>
          </w:p>
          <w:p w14:paraId="06E18C04" w14:textId="77777777" w:rsidR="006726AA" w:rsidRDefault="006726AA" w:rsidP="006726AA">
            <w:pPr>
              <w:pStyle w:val="normal0"/>
              <w:widowControl/>
              <w:rPr>
                <w:rFonts w:ascii="Calibri" w:eastAsia="Calibri" w:hAnsi="Calibri" w:cs="Calibri"/>
                <w:sz w:val="20"/>
                <w:szCs w:val="20"/>
                <w:highlight w:val="white"/>
              </w:rPr>
            </w:pPr>
          </w:p>
          <w:p w14:paraId="15C539A4" w14:textId="1F2882B1" w:rsidR="006726AA" w:rsidRDefault="006726AA" w:rsidP="00E53D22">
            <w:pPr>
              <w:pStyle w:val="normal0"/>
              <w:widowControl/>
              <w:rPr>
                <w:rFonts w:ascii="Calibri" w:eastAsia="Calibri" w:hAnsi="Calibri" w:cs="Calibri"/>
                <w:sz w:val="20"/>
                <w:szCs w:val="20"/>
                <w:highlight w:val="white"/>
              </w:rPr>
            </w:pPr>
            <w:r>
              <w:rPr>
                <w:rFonts w:ascii="Calibri" w:eastAsia="Calibri" w:hAnsi="Calibri" w:cs="Calibri"/>
                <w:b/>
                <w:sz w:val="20"/>
                <w:szCs w:val="20"/>
                <w:highlight w:val="white"/>
              </w:rPr>
              <w:t>Career Services</w:t>
            </w:r>
            <w:r>
              <w:rPr>
                <w:rFonts w:ascii="Calibri" w:eastAsia="Calibri" w:hAnsi="Calibri" w:cs="Calibri"/>
                <w:sz w:val="20"/>
                <w:szCs w:val="20"/>
                <w:highlight w:val="white"/>
              </w:rPr>
              <w:t xml:space="preserve">: The KU Career Services department </w:t>
            </w:r>
            <w:r w:rsidR="00E53D22">
              <w:rPr>
                <w:rFonts w:ascii="Calibri" w:eastAsia="Calibri" w:hAnsi="Calibri" w:cs="Calibri"/>
                <w:sz w:val="20"/>
                <w:szCs w:val="20"/>
                <w:highlight w:val="white"/>
              </w:rPr>
              <w:t>provides in-class and recorded</w:t>
            </w:r>
            <w:r>
              <w:rPr>
                <w:rFonts w:ascii="Calibri" w:eastAsia="Calibri" w:hAnsi="Calibri" w:cs="Calibri"/>
                <w:sz w:val="20"/>
                <w:szCs w:val="20"/>
                <w:highlight w:val="white"/>
              </w:rPr>
              <w:t xml:space="preserve"> touch points throughout the four years</w:t>
            </w:r>
            <w:r w:rsidR="00E53D22">
              <w:rPr>
                <w:rFonts w:ascii="Calibri" w:eastAsia="Calibri" w:hAnsi="Calibri" w:cs="Calibri"/>
                <w:sz w:val="20"/>
                <w:szCs w:val="20"/>
                <w:highlight w:val="white"/>
              </w:rPr>
              <w:t>;</w:t>
            </w:r>
            <w:r w:rsidR="00403773">
              <w:rPr>
                <w:rFonts w:ascii="Calibri" w:eastAsia="Calibri" w:hAnsi="Calibri" w:cs="Calibri"/>
                <w:sz w:val="20"/>
                <w:szCs w:val="20"/>
                <w:highlight w:val="white"/>
              </w:rPr>
              <w:t xml:space="preserve"> one-on</w:t>
            </w:r>
            <w:r>
              <w:rPr>
                <w:rFonts w:ascii="Calibri" w:eastAsia="Calibri" w:hAnsi="Calibri" w:cs="Calibri"/>
                <w:sz w:val="20"/>
                <w:szCs w:val="20"/>
                <w:highlight w:val="white"/>
              </w:rPr>
              <w:t>-one counseling, job search guidance, and a</w:t>
            </w:r>
            <w:r w:rsidR="002A6D6B">
              <w:rPr>
                <w:rFonts w:ascii="Calibri" w:eastAsia="Calibri" w:hAnsi="Calibri" w:cs="Calibri"/>
                <w:sz w:val="20"/>
                <w:szCs w:val="20"/>
                <w:highlight w:val="white"/>
              </w:rPr>
              <w:t xml:space="preserve">pplication review; and </w:t>
            </w:r>
            <w:r w:rsidR="00403773">
              <w:rPr>
                <w:rFonts w:ascii="Calibri" w:eastAsia="Calibri" w:hAnsi="Calibri" w:cs="Calibri"/>
                <w:sz w:val="20"/>
                <w:szCs w:val="20"/>
                <w:highlight w:val="white"/>
              </w:rPr>
              <w:t>resume</w:t>
            </w:r>
            <w:r>
              <w:rPr>
                <w:rFonts w:ascii="Calibri" w:eastAsia="Calibri" w:hAnsi="Calibri" w:cs="Calibri"/>
                <w:sz w:val="20"/>
                <w:szCs w:val="20"/>
                <w:highlight w:val="white"/>
              </w:rPr>
              <w:t>s, interviewing, and networking</w:t>
            </w:r>
            <w:r w:rsidR="00E53D22">
              <w:rPr>
                <w:rFonts w:ascii="Calibri" w:eastAsia="Calibri" w:hAnsi="Calibri" w:cs="Calibri"/>
                <w:sz w:val="20"/>
                <w:szCs w:val="20"/>
                <w:highlight w:val="white"/>
              </w:rPr>
              <w:t xml:space="preserve"> guide</w:t>
            </w:r>
            <w:r w:rsidR="00403773">
              <w:rPr>
                <w:rFonts w:ascii="Calibri" w:eastAsia="Calibri" w:hAnsi="Calibri" w:cs="Calibri"/>
                <w:sz w:val="20"/>
                <w:szCs w:val="20"/>
                <w:highlight w:val="white"/>
              </w:rPr>
              <w:t>s</w:t>
            </w:r>
            <w:r>
              <w:rPr>
                <w:rFonts w:ascii="Calibri" w:eastAsia="Calibri" w:hAnsi="Calibri" w:cs="Calibri"/>
                <w:sz w:val="20"/>
                <w:szCs w:val="20"/>
                <w:highlight w:val="white"/>
              </w:rPr>
              <w:t xml:space="preserve">. </w:t>
            </w:r>
          </w:p>
        </w:tc>
      </w:tr>
      <w:tr w:rsidR="006726AA" w14:paraId="200EC9EF" w14:textId="77777777" w:rsidTr="00445E22">
        <w:tc>
          <w:tcPr>
            <w:tcW w:w="13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3BC1A35C" w14:textId="77777777" w:rsidR="006726AA" w:rsidRDefault="006726AA" w:rsidP="006726AA">
            <w:pPr>
              <w:pStyle w:val="normal0"/>
              <w:widowControl/>
              <w:rPr>
                <w:rFonts w:ascii="Calibri" w:eastAsia="Calibri" w:hAnsi="Calibri" w:cs="Calibri"/>
                <w:sz w:val="20"/>
                <w:szCs w:val="20"/>
              </w:rPr>
            </w:pPr>
            <w:r>
              <w:rPr>
                <w:rFonts w:ascii="Calibri" w:eastAsia="Calibri" w:hAnsi="Calibri" w:cs="Calibri"/>
                <w:sz w:val="20"/>
                <w:szCs w:val="20"/>
              </w:rPr>
              <w:t>310 - Determination of Credit Hours for Coursework</w:t>
            </w:r>
          </w:p>
        </w:tc>
        <w:tc>
          <w:tcPr>
            <w:tcW w:w="2520" w:type="dxa"/>
            <w:tcBorders>
              <w:bottom w:val="single" w:sz="6" w:space="0" w:color="000000"/>
              <w:right w:val="single" w:sz="6" w:space="0" w:color="000000"/>
            </w:tcBorders>
            <w:tcMar>
              <w:top w:w="40" w:type="dxa"/>
              <w:left w:w="40" w:type="dxa"/>
              <w:bottom w:w="40" w:type="dxa"/>
              <w:right w:w="40" w:type="dxa"/>
            </w:tcMar>
          </w:tcPr>
          <w:p w14:paraId="0EA4D578" w14:textId="423B2E0B" w:rsidR="006726AA" w:rsidRDefault="006726AA" w:rsidP="00680A50">
            <w:pPr>
              <w:pStyle w:val="normal0"/>
              <w:widowControl/>
              <w:rPr>
                <w:rFonts w:ascii="Calibri" w:eastAsia="Calibri" w:hAnsi="Calibri" w:cs="Calibri"/>
                <w:sz w:val="20"/>
                <w:szCs w:val="20"/>
              </w:rPr>
            </w:pPr>
            <w:r>
              <w:rPr>
                <w:rFonts w:ascii="Calibri" w:eastAsia="Calibri" w:hAnsi="Calibri" w:cs="Calibri"/>
                <w:sz w:val="20"/>
                <w:szCs w:val="20"/>
              </w:rPr>
              <w:t xml:space="preserve">A </w:t>
            </w:r>
            <w:r w:rsidR="00680A50">
              <w:rPr>
                <w:rFonts w:ascii="Calibri" w:eastAsia="Calibri" w:hAnsi="Calibri" w:cs="Calibri"/>
                <w:sz w:val="20"/>
                <w:szCs w:val="20"/>
              </w:rPr>
              <w:t>law school shall adopt, publish</w:t>
            </w:r>
            <w:r>
              <w:rPr>
                <w:rFonts w:ascii="Calibri" w:eastAsia="Calibri" w:hAnsi="Calibri" w:cs="Calibri"/>
                <w:sz w:val="20"/>
                <w:szCs w:val="20"/>
              </w:rPr>
              <w:t xml:space="preserve"> and adhere to written policies an</w:t>
            </w:r>
            <w:r w:rsidR="00680A50">
              <w:rPr>
                <w:rFonts w:ascii="Calibri" w:eastAsia="Calibri" w:hAnsi="Calibri" w:cs="Calibri"/>
                <w:sz w:val="20"/>
                <w:szCs w:val="20"/>
              </w:rPr>
              <w:t>d procedures for determining</w:t>
            </w:r>
            <w:r>
              <w:rPr>
                <w:rFonts w:ascii="Calibri" w:eastAsia="Calibri" w:hAnsi="Calibri" w:cs="Calibri"/>
                <w:sz w:val="20"/>
                <w:szCs w:val="20"/>
              </w:rPr>
              <w:t xml:space="preserve"> credit hours </w:t>
            </w:r>
            <w:r w:rsidR="00680A50">
              <w:rPr>
                <w:rFonts w:ascii="Calibri" w:eastAsia="Calibri" w:hAnsi="Calibri" w:cs="Calibri"/>
                <w:sz w:val="20"/>
                <w:szCs w:val="20"/>
              </w:rPr>
              <w:t>it awards for coursework. A credit</w:t>
            </w:r>
            <w:r>
              <w:rPr>
                <w:rFonts w:ascii="Calibri" w:eastAsia="Calibri" w:hAnsi="Calibri" w:cs="Calibri"/>
                <w:sz w:val="20"/>
                <w:szCs w:val="20"/>
              </w:rPr>
              <w:t xml:space="preserve"> is no less than </w:t>
            </w:r>
            <w:r w:rsidR="00680A50">
              <w:rPr>
                <w:rFonts w:ascii="Calibri" w:eastAsia="Calibri" w:hAnsi="Calibri" w:cs="Calibri"/>
                <w:sz w:val="20"/>
                <w:szCs w:val="20"/>
              </w:rPr>
              <w:t>1 hour classroom time and 2</w:t>
            </w:r>
            <w:r>
              <w:rPr>
                <w:rFonts w:ascii="Calibri" w:eastAsia="Calibri" w:hAnsi="Calibri" w:cs="Calibri"/>
                <w:sz w:val="20"/>
                <w:szCs w:val="20"/>
              </w:rPr>
              <w:t xml:space="preserve"> hours outside work for </w:t>
            </w:r>
            <w:r w:rsidR="00680A50">
              <w:rPr>
                <w:rFonts w:ascii="Calibri" w:eastAsia="Calibri" w:hAnsi="Calibri" w:cs="Calibri"/>
                <w:sz w:val="20"/>
                <w:szCs w:val="20"/>
              </w:rPr>
              <w:t>15</w:t>
            </w:r>
            <w:r>
              <w:rPr>
                <w:rFonts w:ascii="Calibri" w:eastAsia="Calibri" w:hAnsi="Calibri" w:cs="Calibri"/>
                <w:sz w:val="20"/>
                <w:szCs w:val="20"/>
              </w:rPr>
              <w:t xml:space="preserve"> weeks</w:t>
            </w:r>
            <w:r w:rsidR="00680A50">
              <w:rPr>
                <w:rFonts w:ascii="Calibri" w:eastAsia="Calibri" w:hAnsi="Calibri" w:cs="Calibri"/>
                <w:sz w:val="20"/>
                <w:szCs w:val="20"/>
              </w:rPr>
              <w:t>,</w:t>
            </w:r>
            <w:r>
              <w:rPr>
                <w:rFonts w:ascii="Calibri" w:eastAsia="Calibri" w:hAnsi="Calibri" w:cs="Calibri"/>
                <w:sz w:val="20"/>
                <w:szCs w:val="20"/>
              </w:rPr>
              <w:t xml:space="preserve"> or equivalent time for </w:t>
            </w:r>
            <w:r w:rsidR="00680A50">
              <w:rPr>
                <w:rFonts w:ascii="Calibri" w:eastAsia="Calibri" w:hAnsi="Calibri" w:cs="Calibri"/>
                <w:sz w:val="20"/>
                <w:szCs w:val="20"/>
              </w:rPr>
              <w:t xml:space="preserve">clinic, </w:t>
            </w:r>
            <w:r>
              <w:rPr>
                <w:rFonts w:ascii="Calibri" w:eastAsia="Calibri" w:hAnsi="Calibri" w:cs="Calibri"/>
                <w:sz w:val="20"/>
                <w:szCs w:val="20"/>
              </w:rPr>
              <w:t xml:space="preserve">simulation, </w:t>
            </w:r>
            <w:r w:rsidR="00680A50">
              <w:rPr>
                <w:rFonts w:ascii="Calibri" w:eastAsia="Calibri" w:hAnsi="Calibri" w:cs="Calibri"/>
                <w:sz w:val="20"/>
                <w:szCs w:val="20"/>
              </w:rPr>
              <w:t>externship</w:t>
            </w:r>
            <w:r>
              <w:rPr>
                <w:rFonts w:ascii="Calibri" w:eastAsia="Calibri" w:hAnsi="Calibri" w:cs="Calibri"/>
                <w:sz w:val="20"/>
                <w:szCs w:val="20"/>
              </w:rPr>
              <w:t>, etc.</w:t>
            </w:r>
          </w:p>
        </w:tc>
        <w:tc>
          <w:tcPr>
            <w:tcW w:w="7020" w:type="dxa"/>
            <w:tcBorders>
              <w:bottom w:val="single" w:sz="6" w:space="0" w:color="000000"/>
              <w:right w:val="single" w:sz="6" w:space="0" w:color="000000"/>
            </w:tcBorders>
            <w:tcMar>
              <w:top w:w="40" w:type="dxa"/>
              <w:left w:w="40" w:type="dxa"/>
              <w:bottom w:w="40" w:type="dxa"/>
              <w:right w:w="40" w:type="dxa"/>
            </w:tcMar>
          </w:tcPr>
          <w:p w14:paraId="649E1649" w14:textId="6C7BA855" w:rsidR="006726AA" w:rsidRDefault="006726AA" w:rsidP="006726AA">
            <w:pPr>
              <w:pStyle w:val="normal0"/>
              <w:widowControl/>
              <w:rPr>
                <w:rFonts w:ascii="Calibri" w:eastAsia="Calibri" w:hAnsi="Calibri" w:cs="Calibri"/>
                <w:sz w:val="20"/>
                <w:szCs w:val="20"/>
              </w:rPr>
            </w:pPr>
            <w:r>
              <w:rPr>
                <w:rFonts w:ascii="Calibri" w:eastAsia="Calibri" w:hAnsi="Calibri" w:cs="Calibri"/>
                <w:sz w:val="20"/>
                <w:szCs w:val="20"/>
              </w:rPr>
              <w:t xml:space="preserve">CLS requires 45 hours of student work for every credit awarded, surpassing the Department of Education 30-hour-per credit requirement. Courses are designed to provide two hours of preparation (“out of class” work) to one hour of academic engagement (“in class” work). Thus, of the 45 hours per credit, at least 15 must be "in class" hours. In some instances, the learning management system (LMS) captures or limits the actual time spent. In any event, students are required to contemporaneously verify time spent on study and preparation activities. </w:t>
            </w:r>
            <w:r w:rsidR="00E53D22">
              <w:rPr>
                <w:rFonts w:ascii="Calibri" w:eastAsia="Calibri" w:hAnsi="Calibri" w:cs="Calibri"/>
                <w:sz w:val="20"/>
                <w:szCs w:val="20"/>
              </w:rPr>
              <w:t>All CLS policies are published in its catalog and publicly available on its website.</w:t>
            </w:r>
          </w:p>
          <w:p w14:paraId="1FC9E97B" w14:textId="77777777" w:rsidR="006726AA" w:rsidRDefault="006726AA" w:rsidP="006726AA">
            <w:pPr>
              <w:pStyle w:val="normal0"/>
              <w:widowControl/>
              <w:rPr>
                <w:rFonts w:ascii="Calibri" w:eastAsia="Calibri" w:hAnsi="Calibri" w:cs="Calibri"/>
                <w:sz w:val="20"/>
                <w:szCs w:val="20"/>
              </w:rPr>
            </w:pPr>
          </w:p>
        </w:tc>
      </w:tr>
      <w:tr w:rsidR="006726AA" w14:paraId="59DB598A" w14:textId="77777777" w:rsidTr="00445E22">
        <w:tc>
          <w:tcPr>
            <w:tcW w:w="13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72659CC7" w14:textId="77777777" w:rsidR="006726AA" w:rsidRDefault="006726AA" w:rsidP="006726AA">
            <w:pPr>
              <w:pStyle w:val="normal0"/>
              <w:widowControl/>
              <w:rPr>
                <w:rFonts w:ascii="Calibri" w:eastAsia="Calibri" w:hAnsi="Calibri" w:cs="Calibri"/>
                <w:sz w:val="20"/>
                <w:szCs w:val="20"/>
              </w:rPr>
            </w:pPr>
            <w:r>
              <w:rPr>
                <w:rFonts w:ascii="Calibri" w:eastAsia="Calibri" w:hAnsi="Calibri" w:cs="Calibri"/>
                <w:sz w:val="20"/>
                <w:szCs w:val="20"/>
              </w:rPr>
              <w:t>311 - Academic Program and Academic Calendar</w:t>
            </w:r>
          </w:p>
        </w:tc>
        <w:tc>
          <w:tcPr>
            <w:tcW w:w="2520" w:type="dxa"/>
            <w:tcBorders>
              <w:bottom w:val="single" w:sz="6" w:space="0" w:color="000000"/>
              <w:right w:val="single" w:sz="6" w:space="0" w:color="000000"/>
            </w:tcBorders>
            <w:tcMar>
              <w:top w:w="40" w:type="dxa"/>
              <w:left w:w="40" w:type="dxa"/>
              <w:bottom w:w="40" w:type="dxa"/>
              <w:right w:w="40" w:type="dxa"/>
            </w:tcMar>
          </w:tcPr>
          <w:p w14:paraId="3F3C7F05" w14:textId="24894C6F" w:rsidR="006726AA" w:rsidRDefault="006726AA" w:rsidP="00680A50">
            <w:pPr>
              <w:pStyle w:val="normal0"/>
              <w:widowControl/>
              <w:rPr>
                <w:rFonts w:ascii="Calibri" w:eastAsia="Calibri" w:hAnsi="Calibri" w:cs="Calibri"/>
                <w:sz w:val="20"/>
                <w:szCs w:val="20"/>
              </w:rPr>
            </w:pPr>
            <w:r>
              <w:rPr>
                <w:rFonts w:ascii="Calibri" w:eastAsia="Calibri" w:hAnsi="Calibri" w:cs="Calibri"/>
                <w:sz w:val="20"/>
                <w:szCs w:val="20"/>
              </w:rPr>
              <w:t>A law school shall</w:t>
            </w:r>
            <w:r w:rsidR="00AC7F42">
              <w:rPr>
                <w:rFonts w:ascii="Calibri" w:eastAsia="Calibri" w:hAnsi="Calibri" w:cs="Calibri"/>
                <w:sz w:val="20"/>
                <w:szCs w:val="20"/>
              </w:rPr>
              <w:t>:</w:t>
            </w:r>
            <w:r>
              <w:rPr>
                <w:rFonts w:ascii="Calibri" w:eastAsia="Calibri" w:hAnsi="Calibri" w:cs="Calibri"/>
                <w:sz w:val="20"/>
                <w:szCs w:val="20"/>
              </w:rPr>
              <w:t xml:space="preserve"> provide at least 83 credit hours for graduation with 64 in regular classroom attendance classes</w:t>
            </w:r>
            <w:r w:rsidR="00AC7F42">
              <w:rPr>
                <w:rFonts w:ascii="Calibri" w:eastAsia="Calibri" w:hAnsi="Calibri" w:cs="Calibri"/>
                <w:sz w:val="20"/>
                <w:szCs w:val="20"/>
              </w:rPr>
              <w:t>; and</w:t>
            </w:r>
            <w:r>
              <w:rPr>
                <w:rFonts w:ascii="Calibri" w:eastAsia="Calibri" w:hAnsi="Calibri" w:cs="Calibri"/>
                <w:sz w:val="20"/>
                <w:szCs w:val="20"/>
              </w:rPr>
              <w:t xml:space="preserve"> require tha</w:t>
            </w:r>
            <w:r w:rsidR="00AC7F42">
              <w:rPr>
                <w:rFonts w:ascii="Calibri" w:eastAsia="Calibri" w:hAnsi="Calibri" w:cs="Calibri"/>
                <w:sz w:val="20"/>
                <w:szCs w:val="20"/>
              </w:rPr>
              <w:t>t the course of study for the JD be completed no earlier than 24</w:t>
            </w:r>
            <w:r>
              <w:rPr>
                <w:rFonts w:ascii="Calibri" w:eastAsia="Calibri" w:hAnsi="Calibri" w:cs="Calibri"/>
                <w:sz w:val="20"/>
                <w:szCs w:val="20"/>
              </w:rPr>
              <w:t xml:space="preserve"> and no later than 84 months, except in extraordinary circumstances. Students cannot enroll in more than 20% of total credit</w:t>
            </w:r>
            <w:r w:rsidR="00680A50">
              <w:rPr>
                <w:rFonts w:ascii="Calibri" w:eastAsia="Calibri" w:hAnsi="Calibri" w:cs="Calibri"/>
                <w:sz w:val="20"/>
                <w:szCs w:val="20"/>
              </w:rPr>
              <w:t>s</w:t>
            </w:r>
            <w:r>
              <w:rPr>
                <w:rFonts w:ascii="Calibri" w:eastAsia="Calibri" w:hAnsi="Calibri" w:cs="Calibri"/>
                <w:sz w:val="20"/>
                <w:szCs w:val="20"/>
              </w:rPr>
              <w:t xml:space="preserve"> per term, an</w:t>
            </w:r>
            <w:r w:rsidR="00AC7F42">
              <w:rPr>
                <w:rFonts w:ascii="Calibri" w:eastAsia="Calibri" w:hAnsi="Calibri" w:cs="Calibri"/>
                <w:sz w:val="20"/>
                <w:szCs w:val="20"/>
              </w:rPr>
              <w:t>d cannot receive credit for pre-</w:t>
            </w:r>
            <w:r>
              <w:rPr>
                <w:rFonts w:ascii="Calibri" w:eastAsia="Calibri" w:hAnsi="Calibri" w:cs="Calibri"/>
                <w:sz w:val="20"/>
                <w:szCs w:val="20"/>
              </w:rPr>
              <w:t>admission work.</w:t>
            </w:r>
          </w:p>
        </w:tc>
        <w:tc>
          <w:tcPr>
            <w:tcW w:w="7020" w:type="dxa"/>
            <w:tcBorders>
              <w:bottom w:val="single" w:sz="6" w:space="0" w:color="000000"/>
              <w:right w:val="single" w:sz="6" w:space="0" w:color="000000"/>
            </w:tcBorders>
            <w:shd w:val="clear" w:color="auto" w:fill="FFFFFF"/>
            <w:tcMar>
              <w:top w:w="40" w:type="dxa"/>
              <w:left w:w="40" w:type="dxa"/>
              <w:bottom w:w="40" w:type="dxa"/>
              <w:right w:w="40" w:type="dxa"/>
            </w:tcMar>
          </w:tcPr>
          <w:p w14:paraId="0EE1BF0E" w14:textId="77777777" w:rsidR="006726AA" w:rsidRDefault="006726AA" w:rsidP="006726AA">
            <w:pPr>
              <w:pStyle w:val="normal0"/>
              <w:widowControl/>
              <w:rPr>
                <w:rFonts w:ascii="Calibri" w:eastAsia="Calibri" w:hAnsi="Calibri" w:cs="Calibri"/>
                <w:sz w:val="20"/>
                <w:szCs w:val="20"/>
                <w:highlight w:val="white"/>
              </w:rPr>
            </w:pPr>
            <w:r>
              <w:rPr>
                <w:rFonts w:ascii="Calibri" w:eastAsia="Calibri" w:hAnsi="Calibri" w:cs="Calibri"/>
                <w:sz w:val="20"/>
                <w:szCs w:val="20"/>
              </w:rPr>
              <w:t>CLS requires 92 credits to graduate from its JD program. At 45 hours per credit, that is 4140 total hours (92 x 45) required. The ABA standard requires a minimum of 83 credits to graduate x 15 hours per credit, or 1245 per year. Assuming a standard three-year program, this is a required total of 3,735 (1245 x 3) hours required. CLS goes beyond the required ABA standard for credit hours by 400 more hours.</w:t>
            </w:r>
          </w:p>
          <w:p w14:paraId="056B4692" w14:textId="77777777" w:rsidR="006726AA" w:rsidRDefault="006726AA" w:rsidP="006726AA">
            <w:pPr>
              <w:pStyle w:val="normal0"/>
              <w:widowControl/>
              <w:rPr>
                <w:rFonts w:ascii="Calibri" w:eastAsia="Calibri" w:hAnsi="Calibri" w:cs="Calibri"/>
                <w:sz w:val="20"/>
                <w:szCs w:val="20"/>
                <w:highlight w:val="white"/>
              </w:rPr>
            </w:pPr>
          </w:p>
          <w:p w14:paraId="7F7EF147" w14:textId="0150955E" w:rsidR="006726AA" w:rsidRDefault="006726AA" w:rsidP="006726AA">
            <w:pPr>
              <w:pStyle w:val="normal0"/>
              <w:widowControl/>
              <w:rPr>
                <w:rFonts w:ascii="Calibri" w:eastAsia="Calibri" w:hAnsi="Calibri" w:cs="Calibri"/>
                <w:sz w:val="20"/>
                <w:szCs w:val="20"/>
                <w:highlight w:val="white"/>
              </w:rPr>
            </w:pPr>
            <w:r>
              <w:rPr>
                <w:rFonts w:ascii="Calibri" w:eastAsia="Calibri" w:hAnsi="Calibri" w:cs="Calibri"/>
                <w:sz w:val="20"/>
                <w:szCs w:val="20"/>
                <w:highlight w:val="white"/>
              </w:rPr>
              <w:t xml:space="preserve">CLS follows the State Bar of California guidelines for unaccredited registered law schools, which provide that JD students cannot complete their studies in less than 48 months. The CLS JD curriculum is a </w:t>
            </w:r>
            <w:r w:rsidR="00E72D7C">
              <w:rPr>
                <w:rFonts w:ascii="Calibri" w:eastAsia="Calibri" w:hAnsi="Calibri" w:cs="Calibri"/>
                <w:sz w:val="20"/>
                <w:szCs w:val="20"/>
                <w:highlight w:val="white"/>
              </w:rPr>
              <w:t>92-credit</w:t>
            </w:r>
            <w:r>
              <w:rPr>
                <w:rFonts w:ascii="Calibri" w:eastAsia="Calibri" w:hAnsi="Calibri" w:cs="Calibri"/>
                <w:sz w:val="20"/>
                <w:szCs w:val="20"/>
                <w:highlight w:val="white"/>
              </w:rPr>
              <w:t xml:space="preserve"> program, with 84 credits in required </w:t>
            </w:r>
            <w:r w:rsidR="00680A50">
              <w:rPr>
                <w:rFonts w:ascii="Calibri" w:eastAsia="Calibri" w:hAnsi="Calibri" w:cs="Calibri"/>
                <w:sz w:val="20"/>
                <w:szCs w:val="20"/>
                <w:highlight w:val="white"/>
              </w:rPr>
              <w:t xml:space="preserve">regular </w:t>
            </w:r>
            <w:r>
              <w:rPr>
                <w:rFonts w:ascii="Calibri" w:eastAsia="Calibri" w:hAnsi="Calibri" w:cs="Calibri"/>
                <w:sz w:val="20"/>
                <w:szCs w:val="20"/>
                <w:highlight w:val="white"/>
              </w:rPr>
              <w:t>coursework. Students do not take more than 24 credits a year, which is equivalent to 12 credits per ABA semester, and less than 20% of the total credit hours earned.</w:t>
            </w:r>
            <w:r w:rsidR="00AC7F42">
              <w:rPr>
                <w:rFonts w:ascii="Calibri" w:eastAsia="Calibri" w:hAnsi="Calibri" w:cs="Calibri"/>
                <w:sz w:val="20"/>
                <w:szCs w:val="20"/>
                <w:highlight w:val="white"/>
              </w:rPr>
              <w:t xml:space="preserve"> Students cannot receive credit for pre-admission work.</w:t>
            </w:r>
          </w:p>
          <w:p w14:paraId="43FB315F" w14:textId="77777777" w:rsidR="006726AA" w:rsidRDefault="006726AA" w:rsidP="006726AA">
            <w:pPr>
              <w:pStyle w:val="normal0"/>
              <w:widowControl/>
              <w:rPr>
                <w:rFonts w:ascii="Calibri" w:eastAsia="Calibri" w:hAnsi="Calibri" w:cs="Calibri"/>
                <w:sz w:val="20"/>
                <w:szCs w:val="20"/>
                <w:highlight w:val="white"/>
              </w:rPr>
            </w:pPr>
          </w:p>
          <w:p w14:paraId="16A1D7AA" w14:textId="77777777" w:rsidR="006726AA" w:rsidRDefault="006726AA" w:rsidP="006726AA">
            <w:pPr>
              <w:pStyle w:val="normal0"/>
              <w:widowControl/>
              <w:rPr>
                <w:rFonts w:ascii="Calibri" w:eastAsia="Calibri" w:hAnsi="Calibri" w:cs="Calibri"/>
                <w:sz w:val="20"/>
                <w:szCs w:val="20"/>
                <w:highlight w:val="white"/>
              </w:rPr>
            </w:pPr>
          </w:p>
        </w:tc>
      </w:tr>
      <w:tr w:rsidR="006726AA" w14:paraId="595F876F" w14:textId="77777777" w:rsidTr="00445E22">
        <w:tc>
          <w:tcPr>
            <w:tcW w:w="13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4F06F998" w14:textId="77777777" w:rsidR="006726AA" w:rsidRDefault="006726AA" w:rsidP="006726AA">
            <w:pPr>
              <w:pStyle w:val="normal0"/>
              <w:widowControl/>
              <w:rPr>
                <w:rFonts w:ascii="Calibri" w:eastAsia="Calibri" w:hAnsi="Calibri" w:cs="Calibri"/>
                <w:sz w:val="20"/>
                <w:szCs w:val="20"/>
              </w:rPr>
            </w:pPr>
            <w:r>
              <w:rPr>
                <w:rFonts w:ascii="Calibri" w:eastAsia="Calibri" w:hAnsi="Calibri" w:cs="Calibri"/>
                <w:sz w:val="20"/>
                <w:szCs w:val="20"/>
              </w:rPr>
              <w:t>312 - Reasonably Comparable Opportunities</w:t>
            </w:r>
          </w:p>
        </w:tc>
        <w:tc>
          <w:tcPr>
            <w:tcW w:w="2520" w:type="dxa"/>
            <w:tcBorders>
              <w:bottom w:val="single" w:sz="6" w:space="0" w:color="000000"/>
              <w:right w:val="single" w:sz="6" w:space="0" w:color="000000"/>
            </w:tcBorders>
            <w:tcMar>
              <w:top w:w="40" w:type="dxa"/>
              <w:left w:w="40" w:type="dxa"/>
              <w:bottom w:w="40" w:type="dxa"/>
              <w:right w:w="40" w:type="dxa"/>
            </w:tcMar>
          </w:tcPr>
          <w:p w14:paraId="59A21CBA" w14:textId="28178855" w:rsidR="006726AA" w:rsidRDefault="006726AA" w:rsidP="00AC7F42">
            <w:pPr>
              <w:pStyle w:val="normal0"/>
              <w:widowControl/>
              <w:rPr>
                <w:rFonts w:ascii="Calibri" w:eastAsia="Calibri" w:hAnsi="Calibri" w:cs="Calibri"/>
                <w:sz w:val="20"/>
                <w:szCs w:val="20"/>
              </w:rPr>
            </w:pPr>
            <w:r>
              <w:rPr>
                <w:rFonts w:ascii="Calibri" w:eastAsia="Calibri" w:hAnsi="Calibri" w:cs="Calibri"/>
                <w:sz w:val="20"/>
                <w:szCs w:val="20"/>
              </w:rPr>
              <w:t>A law school providing more than one enrollment or scheduling option shall ensure that all students have reasonably comparable opportunities for access to the law school’s program of legal education, courses taught by full-time faculty, student services, co-curricular programs,</w:t>
            </w:r>
            <w:r w:rsidR="00AC7F42">
              <w:rPr>
                <w:rFonts w:ascii="Calibri" w:eastAsia="Calibri" w:hAnsi="Calibri" w:cs="Calibri"/>
                <w:sz w:val="20"/>
                <w:szCs w:val="20"/>
              </w:rPr>
              <w:t xml:space="preserve"> and </w:t>
            </w:r>
            <w:r w:rsidR="00AC7F42">
              <w:rPr>
                <w:rFonts w:ascii="Calibri" w:eastAsia="Calibri" w:hAnsi="Calibri" w:cs="Calibri"/>
                <w:sz w:val="20"/>
                <w:szCs w:val="20"/>
              </w:rPr>
              <w:lastRenderedPageBreak/>
              <w:t>other educational benefits</w:t>
            </w:r>
            <w:r>
              <w:rPr>
                <w:rFonts w:ascii="Calibri" w:eastAsia="Calibri" w:hAnsi="Calibri" w:cs="Calibri"/>
                <w:sz w:val="20"/>
                <w:szCs w:val="20"/>
              </w:rPr>
              <w:t>.</w:t>
            </w:r>
          </w:p>
        </w:tc>
        <w:tc>
          <w:tcPr>
            <w:tcW w:w="7020" w:type="dxa"/>
            <w:tcBorders>
              <w:bottom w:val="single" w:sz="6" w:space="0" w:color="000000"/>
              <w:right w:val="single" w:sz="6" w:space="0" w:color="000000"/>
            </w:tcBorders>
            <w:tcMar>
              <w:top w:w="40" w:type="dxa"/>
              <w:left w:w="40" w:type="dxa"/>
              <w:bottom w:w="40" w:type="dxa"/>
              <w:right w:w="40" w:type="dxa"/>
            </w:tcMar>
          </w:tcPr>
          <w:p w14:paraId="3B34E39D" w14:textId="29D8F1BF" w:rsidR="006726AA" w:rsidRDefault="00403773" w:rsidP="006726AA">
            <w:pPr>
              <w:pStyle w:val="normal0"/>
              <w:widowControl/>
              <w:rPr>
                <w:rFonts w:ascii="Calibri" w:eastAsia="Calibri" w:hAnsi="Calibri" w:cs="Calibri"/>
                <w:sz w:val="20"/>
                <w:szCs w:val="20"/>
              </w:rPr>
            </w:pPr>
            <w:r>
              <w:rPr>
                <w:rFonts w:ascii="Calibri" w:eastAsia="Calibri" w:hAnsi="Calibri" w:cs="Calibri"/>
                <w:sz w:val="20"/>
                <w:szCs w:val="20"/>
              </w:rPr>
              <w:lastRenderedPageBreak/>
              <w:t>CLS only has part-</w:t>
            </w:r>
            <w:r w:rsidR="006726AA">
              <w:rPr>
                <w:rFonts w:ascii="Calibri" w:eastAsia="Calibri" w:hAnsi="Calibri" w:cs="Calibri"/>
                <w:sz w:val="20"/>
                <w:szCs w:val="20"/>
              </w:rPr>
              <w:t>time students, thus it has only one program. While CLS has offered between two and four enrollment start dates per year, the curriculum, faculty, and resources are identical for each. Access to law advisors, student services, career services, financial aid services, and educational benefits for the part time program are identical no matter when a student starts.</w:t>
            </w:r>
          </w:p>
          <w:p w14:paraId="770CC1EB" w14:textId="77777777" w:rsidR="006726AA" w:rsidRDefault="006726AA" w:rsidP="006726AA">
            <w:pPr>
              <w:pStyle w:val="normal0"/>
              <w:widowControl/>
              <w:rPr>
                <w:rFonts w:ascii="Calibri" w:eastAsia="Calibri" w:hAnsi="Calibri" w:cs="Calibri"/>
                <w:sz w:val="20"/>
                <w:szCs w:val="20"/>
              </w:rPr>
            </w:pPr>
          </w:p>
          <w:p w14:paraId="03D339DD" w14:textId="2BCFC68A" w:rsidR="006726AA" w:rsidRDefault="006726AA" w:rsidP="006726AA">
            <w:pPr>
              <w:pStyle w:val="normal0"/>
              <w:widowControl/>
              <w:rPr>
                <w:rFonts w:ascii="Calibri" w:eastAsia="Calibri" w:hAnsi="Calibri" w:cs="Calibri"/>
                <w:sz w:val="20"/>
                <w:szCs w:val="20"/>
              </w:rPr>
            </w:pPr>
            <w:r>
              <w:rPr>
                <w:rFonts w:ascii="Calibri" w:eastAsia="Calibri" w:hAnsi="Calibri" w:cs="Calibri"/>
                <w:sz w:val="20"/>
                <w:szCs w:val="20"/>
              </w:rPr>
              <w:t>Students in a given term start are enrolled in “sections,” so as to ensure a balance of class size, and to enable a cohort of students to share the same professors and get to know each other. Sections sizes are generally capped at 60 students per doctrinal course, 45 students per first-year skills course, and 30 students per upper-division writing courses and electives. Many courses</w:t>
            </w:r>
            <w:r w:rsidR="005A66F5">
              <w:rPr>
                <w:rFonts w:ascii="Calibri" w:eastAsia="Calibri" w:hAnsi="Calibri" w:cs="Calibri"/>
                <w:sz w:val="20"/>
                <w:szCs w:val="20"/>
              </w:rPr>
              <w:t>—</w:t>
            </w:r>
            <w:r>
              <w:rPr>
                <w:rFonts w:ascii="Calibri" w:eastAsia="Calibri" w:hAnsi="Calibri" w:cs="Calibri"/>
                <w:sz w:val="20"/>
                <w:szCs w:val="20"/>
              </w:rPr>
              <w:t xml:space="preserve">particularly experiential electives like </w:t>
            </w:r>
            <w:r>
              <w:rPr>
                <w:rFonts w:ascii="Calibri" w:eastAsia="Calibri" w:hAnsi="Calibri" w:cs="Calibri"/>
                <w:sz w:val="20"/>
                <w:szCs w:val="20"/>
              </w:rPr>
              <w:lastRenderedPageBreak/>
              <w:t>oral argumentation or patent drafting</w:t>
            </w:r>
            <w:r w:rsidR="005A66F5">
              <w:rPr>
                <w:rFonts w:ascii="Calibri" w:eastAsia="Calibri" w:hAnsi="Calibri" w:cs="Calibri"/>
                <w:sz w:val="20"/>
                <w:szCs w:val="20"/>
              </w:rPr>
              <w:t>—</w:t>
            </w:r>
            <w:r>
              <w:rPr>
                <w:rFonts w:ascii="Calibri" w:eastAsia="Calibri" w:hAnsi="Calibri" w:cs="Calibri"/>
                <w:sz w:val="20"/>
                <w:szCs w:val="20"/>
              </w:rPr>
              <w:t>have a dozen students or fewer.</w:t>
            </w:r>
          </w:p>
        </w:tc>
      </w:tr>
      <w:tr w:rsidR="006726AA" w14:paraId="44115B38" w14:textId="77777777" w:rsidTr="00445E22">
        <w:tc>
          <w:tcPr>
            <w:tcW w:w="13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40DB9759" w14:textId="77777777" w:rsidR="006726AA" w:rsidRDefault="006726AA" w:rsidP="006726AA">
            <w:pPr>
              <w:pStyle w:val="normal0"/>
              <w:widowControl/>
              <w:rPr>
                <w:rFonts w:ascii="Calibri" w:eastAsia="Calibri" w:hAnsi="Calibri" w:cs="Calibri"/>
                <w:sz w:val="20"/>
                <w:szCs w:val="20"/>
              </w:rPr>
            </w:pPr>
            <w:r>
              <w:rPr>
                <w:rFonts w:ascii="Calibri" w:eastAsia="Calibri" w:hAnsi="Calibri" w:cs="Calibri"/>
                <w:sz w:val="20"/>
                <w:szCs w:val="20"/>
              </w:rPr>
              <w:lastRenderedPageBreak/>
              <w:t>313 - Degree Programs in Addition to JD</w:t>
            </w:r>
          </w:p>
        </w:tc>
        <w:tc>
          <w:tcPr>
            <w:tcW w:w="2520" w:type="dxa"/>
            <w:tcBorders>
              <w:bottom w:val="single" w:sz="6" w:space="0" w:color="000000"/>
              <w:right w:val="single" w:sz="6" w:space="0" w:color="000000"/>
            </w:tcBorders>
            <w:tcMar>
              <w:top w:w="40" w:type="dxa"/>
              <w:left w:w="40" w:type="dxa"/>
              <w:bottom w:w="40" w:type="dxa"/>
              <w:right w:w="40" w:type="dxa"/>
            </w:tcMar>
          </w:tcPr>
          <w:p w14:paraId="434A0BFF" w14:textId="77777777" w:rsidR="006726AA" w:rsidRDefault="006726AA" w:rsidP="006726AA">
            <w:pPr>
              <w:pStyle w:val="normal0"/>
              <w:widowControl/>
              <w:rPr>
                <w:rFonts w:ascii="Calibri" w:eastAsia="Calibri" w:hAnsi="Calibri" w:cs="Calibri"/>
                <w:sz w:val="20"/>
                <w:szCs w:val="20"/>
              </w:rPr>
            </w:pPr>
            <w:r>
              <w:rPr>
                <w:rFonts w:ascii="Calibri" w:eastAsia="Calibri" w:hAnsi="Calibri" w:cs="Calibri"/>
                <w:sz w:val="20"/>
                <w:szCs w:val="20"/>
              </w:rPr>
              <w:t>A law school cannot offer other degrees unless the law school is fully approved, the alternate degree is approved by Council, and the alternate degree program will not interfere with compliance of standards to carry out the JD legal education.</w:t>
            </w:r>
          </w:p>
        </w:tc>
        <w:tc>
          <w:tcPr>
            <w:tcW w:w="7020" w:type="dxa"/>
            <w:tcBorders>
              <w:bottom w:val="single" w:sz="6" w:space="0" w:color="000000"/>
              <w:right w:val="single" w:sz="6" w:space="0" w:color="000000"/>
            </w:tcBorders>
            <w:tcMar>
              <w:top w:w="40" w:type="dxa"/>
              <w:left w:w="40" w:type="dxa"/>
              <w:bottom w:w="40" w:type="dxa"/>
              <w:right w:w="40" w:type="dxa"/>
            </w:tcMar>
          </w:tcPr>
          <w:p w14:paraId="0ABB073D" w14:textId="77777777" w:rsidR="006726AA" w:rsidRDefault="006726AA" w:rsidP="006726AA">
            <w:pPr>
              <w:pStyle w:val="normal0"/>
              <w:widowControl/>
              <w:rPr>
                <w:rFonts w:ascii="Calibri" w:eastAsia="Calibri" w:hAnsi="Calibri" w:cs="Calibri"/>
                <w:sz w:val="20"/>
                <w:szCs w:val="20"/>
              </w:rPr>
            </w:pPr>
            <w:r>
              <w:rPr>
                <w:rFonts w:ascii="Calibri" w:eastAsia="Calibri" w:hAnsi="Calibri" w:cs="Calibri"/>
                <w:sz w:val="20"/>
                <w:szCs w:val="20"/>
              </w:rPr>
              <w:t>In addition to its four-year JD degree designed to entitle students to sit for the California Bar Exam, CLS also offers a three-year Executive Juris Doctor (EJD) program, which does not provide a path to licensure. The EJD program has been approved by the State Bar of California and the classes that CLS offers are nearly identical for both the JD and EJD students. Admissions policies and processes for EJD students are not identical but are similar to those for JD students, and some students transfer from the JD program to the EJD program during their course of study. The EJD program in no way interferences with CLS' ability to carry out its program of legal education for its JD students.</w:t>
            </w:r>
          </w:p>
        </w:tc>
      </w:tr>
      <w:tr w:rsidR="006726AA" w14:paraId="0EE2213F" w14:textId="77777777" w:rsidTr="00445E22">
        <w:tc>
          <w:tcPr>
            <w:tcW w:w="13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68E545B0" w14:textId="77777777" w:rsidR="006726AA" w:rsidRDefault="006726AA" w:rsidP="006726AA">
            <w:pPr>
              <w:pStyle w:val="normal0"/>
              <w:widowControl/>
              <w:rPr>
                <w:rFonts w:ascii="Calibri" w:eastAsia="Calibri" w:hAnsi="Calibri" w:cs="Calibri"/>
                <w:sz w:val="20"/>
                <w:szCs w:val="20"/>
              </w:rPr>
            </w:pPr>
            <w:r>
              <w:rPr>
                <w:rFonts w:ascii="Calibri" w:eastAsia="Calibri" w:hAnsi="Calibri" w:cs="Calibri"/>
                <w:sz w:val="20"/>
                <w:szCs w:val="20"/>
              </w:rPr>
              <w:t>314 - Assessment of Student Learning</w:t>
            </w:r>
          </w:p>
        </w:tc>
        <w:tc>
          <w:tcPr>
            <w:tcW w:w="2520" w:type="dxa"/>
            <w:tcBorders>
              <w:bottom w:val="single" w:sz="6" w:space="0" w:color="000000"/>
              <w:right w:val="single" w:sz="6" w:space="0" w:color="000000"/>
            </w:tcBorders>
            <w:tcMar>
              <w:top w:w="40" w:type="dxa"/>
              <w:left w:w="40" w:type="dxa"/>
              <w:bottom w:w="40" w:type="dxa"/>
              <w:right w:w="40" w:type="dxa"/>
            </w:tcMar>
          </w:tcPr>
          <w:p w14:paraId="3EAF62AE" w14:textId="77777777" w:rsidR="006726AA" w:rsidRDefault="006726AA" w:rsidP="006726AA">
            <w:pPr>
              <w:pStyle w:val="normal0"/>
              <w:widowControl/>
              <w:rPr>
                <w:rFonts w:ascii="Calibri" w:eastAsia="Calibri" w:hAnsi="Calibri" w:cs="Calibri"/>
                <w:sz w:val="20"/>
                <w:szCs w:val="20"/>
              </w:rPr>
            </w:pPr>
            <w:r>
              <w:rPr>
                <w:rFonts w:ascii="Calibri" w:eastAsia="Calibri" w:hAnsi="Calibri" w:cs="Calibri"/>
                <w:sz w:val="20"/>
                <w:szCs w:val="20"/>
              </w:rPr>
              <w:t>A law school shall utilize both formative and summative assessment methods in its curriculum to measure and improve student learning and provide meaningful feedback to students.</w:t>
            </w:r>
          </w:p>
        </w:tc>
        <w:tc>
          <w:tcPr>
            <w:tcW w:w="7020" w:type="dxa"/>
            <w:tcBorders>
              <w:bottom w:val="single" w:sz="6" w:space="0" w:color="000000"/>
              <w:right w:val="single" w:sz="6" w:space="0" w:color="000000"/>
            </w:tcBorders>
            <w:tcMar>
              <w:top w:w="40" w:type="dxa"/>
              <w:left w:w="40" w:type="dxa"/>
              <w:bottom w:w="40" w:type="dxa"/>
              <w:right w:w="40" w:type="dxa"/>
            </w:tcMar>
          </w:tcPr>
          <w:p w14:paraId="69697CB5" w14:textId="0BF0D1CC" w:rsidR="006726AA" w:rsidRDefault="006726AA" w:rsidP="00E53D22">
            <w:pPr>
              <w:pStyle w:val="normal0"/>
              <w:widowControl/>
              <w:rPr>
                <w:rFonts w:ascii="Calibri" w:eastAsia="Calibri" w:hAnsi="Calibri" w:cs="Calibri"/>
                <w:sz w:val="20"/>
                <w:szCs w:val="20"/>
              </w:rPr>
            </w:pPr>
            <w:r>
              <w:rPr>
                <w:rFonts w:ascii="Calibri" w:eastAsia="Calibri" w:hAnsi="Calibri" w:cs="Calibri"/>
                <w:sz w:val="20"/>
                <w:szCs w:val="20"/>
              </w:rPr>
              <w:t xml:space="preserve">CLS uses frequent formative </w:t>
            </w:r>
            <w:r w:rsidR="00E53D22">
              <w:rPr>
                <w:rFonts w:ascii="Calibri" w:eastAsia="Calibri" w:hAnsi="Calibri" w:cs="Calibri"/>
                <w:sz w:val="20"/>
                <w:szCs w:val="20"/>
              </w:rPr>
              <w:t xml:space="preserve">and summative assessment. </w:t>
            </w:r>
            <w:r>
              <w:rPr>
                <w:rFonts w:ascii="Calibri" w:eastAsia="Calibri" w:hAnsi="Calibri" w:cs="Calibri"/>
                <w:sz w:val="20"/>
                <w:szCs w:val="20"/>
              </w:rPr>
              <w:t xml:space="preserve">After video presentations, students engage in one or more ungraded learning activities. In each module, students take a graded resource quiz based on the readings and videos, and get immediate feedback. In addition to final exams, each class typically includes </w:t>
            </w:r>
            <w:r w:rsidR="00E53D22">
              <w:rPr>
                <w:rFonts w:ascii="Calibri" w:eastAsia="Calibri" w:hAnsi="Calibri" w:cs="Calibri"/>
                <w:sz w:val="20"/>
                <w:szCs w:val="20"/>
              </w:rPr>
              <w:t xml:space="preserve">several </w:t>
            </w:r>
            <w:r>
              <w:rPr>
                <w:rFonts w:ascii="Calibri" w:eastAsia="Calibri" w:hAnsi="Calibri" w:cs="Calibri"/>
                <w:sz w:val="20"/>
                <w:szCs w:val="20"/>
              </w:rPr>
              <w:t xml:space="preserve">interim essays or practical assignments, most of which faculty grade. The standard turnaround time for essays is </w:t>
            </w:r>
            <w:r w:rsidR="00E53D22">
              <w:rPr>
                <w:rFonts w:ascii="Calibri" w:eastAsia="Calibri" w:hAnsi="Calibri" w:cs="Calibri"/>
                <w:sz w:val="20"/>
                <w:szCs w:val="20"/>
              </w:rPr>
              <w:t>under 5</w:t>
            </w:r>
            <w:r>
              <w:rPr>
                <w:rFonts w:ascii="Calibri" w:eastAsia="Calibri" w:hAnsi="Calibri" w:cs="Calibri"/>
                <w:sz w:val="20"/>
                <w:szCs w:val="20"/>
              </w:rPr>
              <w:t xml:space="preserve"> days. Faculty provide detailed model answers for essays, along with guided instructions for student review. Students further receive feedback via emails or phone calls with professors (standard turnaround time for email questions is less than 24 hours), questions during live lectures, and the ability to track grade progress on the LMS. Struggling students may also be contacted by professors or referred to Assistant Deans of Students for further support.</w:t>
            </w:r>
          </w:p>
        </w:tc>
      </w:tr>
      <w:tr w:rsidR="006726AA" w14:paraId="239876FA" w14:textId="77777777" w:rsidTr="00445E22">
        <w:tc>
          <w:tcPr>
            <w:tcW w:w="13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14221A2C" w14:textId="77777777" w:rsidR="006726AA" w:rsidRDefault="006726AA" w:rsidP="006726AA">
            <w:pPr>
              <w:pStyle w:val="normal0"/>
              <w:widowControl/>
              <w:rPr>
                <w:rFonts w:ascii="Calibri" w:eastAsia="Calibri" w:hAnsi="Calibri" w:cs="Calibri"/>
                <w:sz w:val="20"/>
                <w:szCs w:val="20"/>
              </w:rPr>
            </w:pPr>
            <w:r>
              <w:rPr>
                <w:rFonts w:ascii="Calibri" w:eastAsia="Calibri" w:hAnsi="Calibri" w:cs="Calibri"/>
                <w:sz w:val="20"/>
                <w:szCs w:val="20"/>
              </w:rPr>
              <w:t>315 - Evaluation of Program of Legal Education, Learning Outcomes and Assessment Methods</w:t>
            </w:r>
          </w:p>
        </w:tc>
        <w:tc>
          <w:tcPr>
            <w:tcW w:w="2520" w:type="dxa"/>
            <w:tcBorders>
              <w:bottom w:val="single" w:sz="6" w:space="0" w:color="000000"/>
              <w:right w:val="single" w:sz="6" w:space="0" w:color="000000"/>
            </w:tcBorders>
            <w:tcMar>
              <w:top w:w="40" w:type="dxa"/>
              <w:left w:w="40" w:type="dxa"/>
              <w:bottom w:w="40" w:type="dxa"/>
              <w:right w:w="40" w:type="dxa"/>
            </w:tcMar>
          </w:tcPr>
          <w:p w14:paraId="7B52CADE" w14:textId="77777777" w:rsidR="006726AA" w:rsidRDefault="006726AA" w:rsidP="006726AA">
            <w:pPr>
              <w:pStyle w:val="normal0"/>
              <w:widowControl/>
              <w:rPr>
                <w:rFonts w:ascii="Calibri" w:eastAsia="Calibri" w:hAnsi="Calibri" w:cs="Calibri"/>
                <w:sz w:val="20"/>
                <w:szCs w:val="20"/>
              </w:rPr>
            </w:pPr>
            <w:r>
              <w:rPr>
                <w:rFonts w:ascii="Calibri" w:eastAsia="Calibri" w:hAnsi="Calibri" w:cs="Calibri"/>
                <w:sz w:val="20"/>
                <w:szCs w:val="20"/>
              </w:rPr>
              <w:t>The Dean and the faculty of a law school shall conduct ongoing evaluation of the law school’s program of legal education, learning outcomes, and assessment methods; and shall use the results of this evaluation to determine the degree of student attainment of competency in the learning outcomes and to make appropriate changes to improve the curriculum.</w:t>
            </w:r>
          </w:p>
        </w:tc>
        <w:tc>
          <w:tcPr>
            <w:tcW w:w="7020" w:type="dxa"/>
            <w:tcBorders>
              <w:bottom w:val="single" w:sz="6" w:space="0" w:color="000000"/>
              <w:right w:val="single" w:sz="6" w:space="0" w:color="000000"/>
            </w:tcBorders>
            <w:tcMar>
              <w:top w:w="40" w:type="dxa"/>
              <w:left w:w="40" w:type="dxa"/>
              <w:bottom w:w="40" w:type="dxa"/>
              <w:right w:w="40" w:type="dxa"/>
            </w:tcMar>
          </w:tcPr>
          <w:p w14:paraId="323DB264" w14:textId="11394A77" w:rsidR="006726AA" w:rsidRDefault="006726AA" w:rsidP="006726AA">
            <w:pPr>
              <w:pStyle w:val="normal0"/>
              <w:widowControl/>
              <w:rPr>
                <w:rFonts w:ascii="Calibri" w:eastAsia="Calibri" w:hAnsi="Calibri" w:cs="Calibri"/>
                <w:sz w:val="20"/>
                <w:szCs w:val="20"/>
              </w:rPr>
            </w:pPr>
            <w:r>
              <w:rPr>
                <w:rFonts w:ascii="Calibri" w:eastAsia="Calibri" w:hAnsi="Calibri" w:cs="Calibri"/>
                <w:sz w:val="20"/>
                <w:szCs w:val="20"/>
              </w:rPr>
              <w:t>CLS prepares self-evaluation reports in advance of periodic site inspections from the State Bar of California, and submits annual reports to that body as well. CLS also prepared self-evaluation reports for its periodic inspections by the Distance Ed</w:t>
            </w:r>
            <w:r w:rsidR="00445E22">
              <w:rPr>
                <w:rFonts w:ascii="Calibri" w:eastAsia="Calibri" w:hAnsi="Calibri" w:cs="Calibri"/>
                <w:sz w:val="20"/>
                <w:szCs w:val="20"/>
              </w:rPr>
              <w:t>ucation Accreditation Committee</w:t>
            </w:r>
            <w:r>
              <w:rPr>
                <w:rFonts w:ascii="Calibri" w:eastAsia="Calibri" w:hAnsi="Calibri" w:cs="Calibri"/>
                <w:sz w:val="20"/>
                <w:szCs w:val="20"/>
              </w:rPr>
              <w:t xml:space="preserve"> when it was accredited by that entity. Now that CLS's accreditation is subsumed by KU's accreditation by the Higher Learning Commission, CLS contributes as appropriate to the self-evaluation report prepared for that accreditor as well. These self-evaluation reports are similar in scope and depth of those reports compiled in advance of ABA site evaluations.</w:t>
            </w:r>
          </w:p>
          <w:p w14:paraId="03F17708" w14:textId="77777777" w:rsidR="006726AA" w:rsidRDefault="006726AA" w:rsidP="006726AA">
            <w:pPr>
              <w:pStyle w:val="normal0"/>
              <w:widowControl/>
              <w:rPr>
                <w:rFonts w:ascii="Calibri" w:eastAsia="Calibri" w:hAnsi="Calibri" w:cs="Calibri"/>
                <w:sz w:val="20"/>
                <w:szCs w:val="20"/>
              </w:rPr>
            </w:pPr>
          </w:p>
          <w:p w14:paraId="61701312" w14:textId="7A2BC1D4" w:rsidR="006726AA" w:rsidRDefault="00445E22" w:rsidP="00445E22">
            <w:pPr>
              <w:pStyle w:val="normal0"/>
              <w:widowControl/>
              <w:rPr>
                <w:rFonts w:ascii="Calibri" w:eastAsia="Calibri" w:hAnsi="Calibri" w:cs="Calibri"/>
                <w:sz w:val="20"/>
                <w:szCs w:val="20"/>
              </w:rPr>
            </w:pPr>
            <w:r>
              <w:rPr>
                <w:rFonts w:ascii="Calibri" w:eastAsia="Calibri" w:hAnsi="Calibri" w:cs="Calibri"/>
                <w:sz w:val="20"/>
                <w:szCs w:val="20"/>
              </w:rPr>
              <w:t>Aside</w:t>
            </w:r>
            <w:r w:rsidR="006726AA">
              <w:rPr>
                <w:rFonts w:ascii="Calibri" w:eastAsia="Calibri" w:hAnsi="Calibri" w:cs="Calibri"/>
                <w:sz w:val="20"/>
                <w:szCs w:val="20"/>
              </w:rPr>
              <w:t xml:space="preserve"> from external accreditors, CLS prepares regular self-evaluations in connection with KU's internal three-year strategic planning process. CLS also prepares biannual Institutional Assessment Reports, which track and evaluate</w:t>
            </w:r>
            <w:r>
              <w:rPr>
                <w:rFonts w:ascii="Calibri" w:eastAsia="Calibri" w:hAnsi="Calibri" w:cs="Calibri"/>
                <w:sz w:val="20"/>
                <w:szCs w:val="20"/>
              </w:rPr>
              <w:t xml:space="preserve"> </w:t>
            </w:r>
            <w:r w:rsidR="006726AA">
              <w:rPr>
                <w:rFonts w:ascii="Calibri" w:eastAsia="Calibri" w:hAnsi="Calibri" w:cs="Calibri"/>
                <w:sz w:val="20"/>
                <w:szCs w:val="20"/>
              </w:rPr>
              <w:t>students' grades, performance on regulatory exams, practical skills development, retention rates, and satisfaction with the program of legal education and student support services.</w:t>
            </w:r>
          </w:p>
        </w:tc>
      </w:tr>
      <w:tr w:rsidR="006726AA" w14:paraId="54BE2448" w14:textId="77777777" w:rsidTr="00445E22">
        <w:tc>
          <w:tcPr>
            <w:tcW w:w="13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2B191BB4" w14:textId="77777777" w:rsidR="006726AA" w:rsidRDefault="006726AA" w:rsidP="006726AA">
            <w:pPr>
              <w:pStyle w:val="normal0"/>
              <w:widowControl/>
              <w:rPr>
                <w:rFonts w:ascii="Calibri" w:eastAsia="Calibri" w:hAnsi="Calibri" w:cs="Calibri"/>
                <w:sz w:val="20"/>
                <w:szCs w:val="20"/>
              </w:rPr>
            </w:pPr>
            <w:r>
              <w:rPr>
                <w:rFonts w:ascii="Calibri" w:eastAsia="Calibri" w:hAnsi="Calibri" w:cs="Calibri"/>
                <w:sz w:val="20"/>
                <w:szCs w:val="20"/>
              </w:rPr>
              <w:t>316 - Bar Passage</w:t>
            </w:r>
          </w:p>
        </w:tc>
        <w:tc>
          <w:tcPr>
            <w:tcW w:w="2520" w:type="dxa"/>
            <w:tcBorders>
              <w:bottom w:val="single" w:sz="6" w:space="0" w:color="000000"/>
              <w:right w:val="single" w:sz="6" w:space="0" w:color="000000"/>
            </w:tcBorders>
            <w:tcMar>
              <w:top w:w="40" w:type="dxa"/>
              <w:left w:w="40" w:type="dxa"/>
              <w:bottom w:w="40" w:type="dxa"/>
              <w:right w:w="40" w:type="dxa"/>
            </w:tcMar>
          </w:tcPr>
          <w:p w14:paraId="7D489BC8" w14:textId="53B62F67" w:rsidR="006726AA" w:rsidRDefault="006726AA" w:rsidP="00680A50">
            <w:pPr>
              <w:pStyle w:val="normal0"/>
              <w:widowControl/>
              <w:rPr>
                <w:rFonts w:ascii="Calibri" w:eastAsia="Calibri" w:hAnsi="Calibri" w:cs="Calibri"/>
                <w:sz w:val="20"/>
                <w:szCs w:val="20"/>
              </w:rPr>
            </w:pPr>
            <w:r>
              <w:rPr>
                <w:rFonts w:ascii="Calibri" w:eastAsia="Calibri" w:hAnsi="Calibri" w:cs="Calibri"/>
                <w:sz w:val="20"/>
                <w:szCs w:val="20"/>
              </w:rPr>
              <w:t>A l</w:t>
            </w:r>
            <w:r w:rsidR="00445E22">
              <w:rPr>
                <w:rFonts w:ascii="Calibri" w:eastAsia="Calibri" w:hAnsi="Calibri" w:cs="Calibri"/>
                <w:sz w:val="20"/>
                <w:szCs w:val="20"/>
              </w:rPr>
              <w:t>aw school shall demonstrate (1)</w:t>
            </w:r>
            <w:r>
              <w:rPr>
                <w:rFonts w:ascii="Calibri" w:eastAsia="Calibri" w:hAnsi="Calibri" w:cs="Calibri"/>
                <w:sz w:val="20"/>
                <w:szCs w:val="20"/>
              </w:rPr>
              <w:t xml:space="preserve"> that for students who graduated within last 5 years: 75% or more who sat passed</w:t>
            </w:r>
            <w:r w:rsidR="00AC7F42">
              <w:rPr>
                <w:rFonts w:ascii="Calibri" w:eastAsia="Calibri" w:hAnsi="Calibri" w:cs="Calibri"/>
                <w:sz w:val="20"/>
                <w:szCs w:val="20"/>
              </w:rPr>
              <w:t>,</w:t>
            </w:r>
            <w:r>
              <w:rPr>
                <w:rFonts w:ascii="Calibri" w:eastAsia="Calibri" w:hAnsi="Calibri" w:cs="Calibri"/>
                <w:sz w:val="20"/>
                <w:szCs w:val="20"/>
              </w:rPr>
              <w:t xml:space="preserve"> or in at least </w:t>
            </w:r>
            <w:r w:rsidR="00AC7F42">
              <w:rPr>
                <w:rFonts w:ascii="Calibri" w:eastAsia="Calibri" w:hAnsi="Calibri" w:cs="Calibri"/>
                <w:sz w:val="20"/>
                <w:szCs w:val="20"/>
              </w:rPr>
              <w:t>3</w:t>
            </w:r>
            <w:r>
              <w:rPr>
                <w:rFonts w:ascii="Calibri" w:eastAsia="Calibri" w:hAnsi="Calibri" w:cs="Calibri"/>
                <w:sz w:val="20"/>
                <w:szCs w:val="20"/>
              </w:rPr>
              <w:t xml:space="preserve"> of the calendar years, 75% of students graduating in </w:t>
            </w:r>
            <w:r w:rsidR="00445E22">
              <w:rPr>
                <w:rFonts w:ascii="Calibri" w:eastAsia="Calibri" w:hAnsi="Calibri" w:cs="Calibri"/>
                <w:sz w:val="20"/>
                <w:szCs w:val="20"/>
              </w:rPr>
              <w:t>those years and sat passed. (2)</w:t>
            </w:r>
            <w:r w:rsidR="00AC7F42">
              <w:rPr>
                <w:rFonts w:ascii="Calibri" w:eastAsia="Calibri" w:hAnsi="Calibri" w:cs="Calibri"/>
                <w:sz w:val="20"/>
                <w:szCs w:val="20"/>
              </w:rPr>
              <w:t xml:space="preserve"> in 3 or more of the 5</w:t>
            </w:r>
            <w:r>
              <w:rPr>
                <w:rFonts w:ascii="Calibri" w:eastAsia="Calibri" w:hAnsi="Calibri" w:cs="Calibri"/>
                <w:sz w:val="20"/>
                <w:szCs w:val="20"/>
              </w:rPr>
              <w:t xml:space="preserve"> most recently completed calendar years, the school’s annual </w:t>
            </w:r>
            <w:r w:rsidR="00AC7F42">
              <w:rPr>
                <w:rFonts w:ascii="Calibri" w:eastAsia="Calibri" w:hAnsi="Calibri" w:cs="Calibri"/>
                <w:sz w:val="20"/>
                <w:szCs w:val="20"/>
              </w:rPr>
              <w:t>1st</w:t>
            </w:r>
            <w:r>
              <w:rPr>
                <w:rFonts w:ascii="Calibri" w:eastAsia="Calibri" w:hAnsi="Calibri" w:cs="Calibri"/>
                <w:sz w:val="20"/>
                <w:szCs w:val="20"/>
              </w:rPr>
              <w:t xml:space="preserve">-time passage rate in the jurisdictions reported by the school is no more than 15 points below the average </w:t>
            </w:r>
            <w:r w:rsidR="00AC7F42">
              <w:rPr>
                <w:rFonts w:ascii="Calibri" w:eastAsia="Calibri" w:hAnsi="Calibri" w:cs="Calibri"/>
                <w:sz w:val="20"/>
                <w:szCs w:val="20"/>
              </w:rPr>
              <w:t>1st</w:t>
            </w:r>
            <w:r>
              <w:rPr>
                <w:rFonts w:ascii="Calibri" w:eastAsia="Calibri" w:hAnsi="Calibri" w:cs="Calibri"/>
                <w:sz w:val="20"/>
                <w:szCs w:val="20"/>
              </w:rPr>
              <w:t>-</w:t>
            </w:r>
            <w:r w:rsidR="00AC7F42">
              <w:rPr>
                <w:rFonts w:ascii="Calibri" w:eastAsia="Calibri" w:hAnsi="Calibri" w:cs="Calibri"/>
                <w:sz w:val="20"/>
                <w:szCs w:val="20"/>
              </w:rPr>
              <w:t xml:space="preserve">time </w:t>
            </w:r>
            <w:r>
              <w:rPr>
                <w:rFonts w:ascii="Calibri" w:eastAsia="Calibri" w:hAnsi="Calibri" w:cs="Calibri"/>
                <w:sz w:val="20"/>
                <w:szCs w:val="20"/>
              </w:rPr>
              <w:t xml:space="preserve">passage rates for graduates of ABA law schools taking the </w:t>
            </w:r>
            <w:r w:rsidR="00AC7F42">
              <w:rPr>
                <w:rFonts w:ascii="Calibri" w:eastAsia="Calibri" w:hAnsi="Calibri" w:cs="Calibri"/>
                <w:sz w:val="20"/>
                <w:szCs w:val="20"/>
              </w:rPr>
              <w:t>bar exam</w:t>
            </w:r>
            <w:r>
              <w:rPr>
                <w:rFonts w:ascii="Calibri" w:eastAsia="Calibri" w:hAnsi="Calibri" w:cs="Calibri"/>
                <w:sz w:val="20"/>
                <w:szCs w:val="20"/>
              </w:rPr>
              <w:t xml:space="preserve"> in these same jurisdictions.</w:t>
            </w:r>
          </w:p>
        </w:tc>
        <w:tc>
          <w:tcPr>
            <w:tcW w:w="7020" w:type="dxa"/>
            <w:tcBorders>
              <w:bottom w:val="single" w:sz="6" w:space="0" w:color="000000"/>
              <w:right w:val="single" w:sz="6" w:space="0" w:color="000000"/>
            </w:tcBorders>
            <w:tcMar>
              <w:top w:w="40" w:type="dxa"/>
              <w:left w:w="40" w:type="dxa"/>
              <w:bottom w:w="40" w:type="dxa"/>
              <w:right w:w="40" w:type="dxa"/>
            </w:tcMar>
          </w:tcPr>
          <w:p w14:paraId="658D4E3A" w14:textId="234EB477" w:rsidR="006726AA" w:rsidRDefault="006726AA" w:rsidP="006726AA">
            <w:pPr>
              <w:pStyle w:val="normal0"/>
              <w:widowControl/>
              <w:rPr>
                <w:rFonts w:ascii="Calibri" w:eastAsia="Calibri" w:hAnsi="Calibri" w:cs="Calibri"/>
                <w:sz w:val="20"/>
                <w:szCs w:val="20"/>
              </w:rPr>
            </w:pPr>
            <w:r>
              <w:rPr>
                <w:rFonts w:ascii="Calibri" w:eastAsia="Calibri" w:hAnsi="Calibri" w:cs="Calibri"/>
                <w:sz w:val="20"/>
                <w:szCs w:val="20"/>
              </w:rPr>
              <w:t xml:space="preserve">CLS graduates’ historical first-time pass rate is </w:t>
            </w:r>
            <w:r w:rsidR="00403773">
              <w:rPr>
                <w:rFonts w:ascii="Calibri" w:eastAsia="Calibri" w:hAnsi="Calibri" w:cs="Calibri"/>
                <w:sz w:val="20"/>
                <w:szCs w:val="20"/>
              </w:rPr>
              <w:t>about 34</w:t>
            </w:r>
            <w:r>
              <w:rPr>
                <w:rFonts w:ascii="Calibri" w:eastAsia="Calibri" w:hAnsi="Calibri" w:cs="Calibri"/>
                <w:sz w:val="20"/>
                <w:szCs w:val="20"/>
              </w:rPr>
              <w:t xml:space="preserve"> percent, and their overall pass rate is approximately 51 percent. CLS graduates within the last 5 years </w:t>
            </w:r>
            <w:r w:rsidR="00403773">
              <w:rPr>
                <w:rFonts w:ascii="Calibri" w:eastAsia="Calibri" w:hAnsi="Calibri" w:cs="Calibri"/>
                <w:sz w:val="20"/>
                <w:szCs w:val="20"/>
              </w:rPr>
              <w:t>do</w:t>
            </w:r>
            <w:r>
              <w:rPr>
                <w:rFonts w:ascii="Calibri" w:eastAsia="Calibri" w:hAnsi="Calibri" w:cs="Calibri"/>
                <w:sz w:val="20"/>
                <w:szCs w:val="20"/>
              </w:rPr>
              <w:t xml:space="preserve"> not had a first-time pass rate within 15 points of the average first-time bar passage rate for graduates of ABA-approved law schools taking the exam in California.</w:t>
            </w:r>
          </w:p>
          <w:p w14:paraId="78FEE999" w14:textId="77777777" w:rsidR="006726AA" w:rsidRDefault="006726AA" w:rsidP="006726AA">
            <w:pPr>
              <w:pStyle w:val="normal0"/>
              <w:widowControl/>
              <w:rPr>
                <w:rFonts w:ascii="Calibri" w:eastAsia="Calibri" w:hAnsi="Calibri" w:cs="Calibri"/>
                <w:sz w:val="20"/>
                <w:szCs w:val="20"/>
              </w:rPr>
            </w:pPr>
          </w:p>
          <w:p w14:paraId="66548D50" w14:textId="77777777" w:rsidR="006726AA" w:rsidRDefault="006726AA" w:rsidP="006726AA">
            <w:pPr>
              <w:pStyle w:val="normal0"/>
              <w:widowControl/>
              <w:rPr>
                <w:rFonts w:ascii="Calibri" w:eastAsia="Calibri" w:hAnsi="Calibri" w:cs="Calibri"/>
                <w:sz w:val="20"/>
                <w:szCs w:val="20"/>
              </w:rPr>
            </w:pPr>
          </w:p>
        </w:tc>
      </w:tr>
    </w:tbl>
    <w:p w14:paraId="503160D3" w14:textId="77777777" w:rsidR="00476BCF" w:rsidRDefault="00476BCF">
      <w:pPr>
        <w:pStyle w:val="normal0"/>
        <w:spacing w:line="276" w:lineRule="auto"/>
        <w:rPr>
          <w:sz w:val="26"/>
          <w:szCs w:val="26"/>
        </w:rPr>
      </w:pPr>
    </w:p>
    <w:sectPr w:rsidR="00476BCF" w:rsidSect="00F0790D">
      <w:type w:val="continuous"/>
      <w:pgSz w:w="12240" w:h="15840"/>
      <w:pgMar w:top="720" w:right="720" w:bottom="720" w:left="720" w:header="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48506" w14:textId="77777777" w:rsidR="008276C4" w:rsidRDefault="008276C4">
      <w:r>
        <w:separator/>
      </w:r>
    </w:p>
  </w:endnote>
  <w:endnote w:type="continuationSeparator" w:id="0">
    <w:p w14:paraId="1200DE90" w14:textId="77777777" w:rsidR="008276C4" w:rsidRDefault="00827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FujiyamaExtraBold">
    <w:charset w:val="00"/>
    <w:family w:val="auto"/>
    <w:pitch w:val="default"/>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7A044" w14:textId="77777777" w:rsidR="008276C4" w:rsidRDefault="008276C4" w:rsidP="009F58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BC3D59" w14:textId="77777777" w:rsidR="008276C4" w:rsidRDefault="008276C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965A4" w14:textId="77777777" w:rsidR="008276C4" w:rsidRDefault="008276C4" w:rsidP="009F58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5EB2">
      <w:rPr>
        <w:rStyle w:val="PageNumber"/>
        <w:noProof/>
      </w:rPr>
      <w:t>11</w:t>
    </w:r>
    <w:r>
      <w:rPr>
        <w:rStyle w:val="PageNumber"/>
      </w:rPr>
      <w:fldChar w:fldCharType="end"/>
    </w:r>
  </w:p>
  <w:p w14:paraId="427D2B15" w14:textId="77777777" w:rsidR="008276C4" w:rsidRDefault="008276C4" w:rsidP="009F58AB">
    <w:pPr>
      <w:pStyle w:val="normal0"/>
      <w:tabs>
        <w:tab w:val="center" w:pos="4320"/>
        <w:tab w:val="right" w:pos="8640"/>
      </w:tabs>
      <w:jc w:val="cen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6BD1F" w14:textId="77777777" w:rsidR="008276C4" w:rsidRDefault="008276C4">
    <w:pPr>
      <w:pStyle w:val="normal0"/>
      <w:tabs>
        <w:tab w:val="center" w:pos="4320"/>
        <w:tab w:val="right" w:pos="8640"/>
      </w:tabs>
      <w:ind w:right="360"/>
    </w:pPr>
  </w:p>
  <w:p w14:paraId="135234B1" w14:textId="77777777" w:rsidR="008276C4" w:rsidRDefault="008276C4">
    <w:pPr>
      <w:pStyle w:val="normal0"/>
      <w:tabs>
        <w:tab w:val="center" w:pos="4320"/>
        <w:tab w:val="right" w:pos="8640"/>
      </w:tabs>
      <w:spacing w:after="864"/>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C2BD15" w14:textId="77777777" w:rsidR="008276C4" w:rsidRDefault="008276C4">
      <w:r>
        <w:separator/>
      </w:r>
    </w:p>
  </w:footnote>
  <w:footnote w:type="continuationSeparator" w:id="0">
    <w:p w14:paraId="18D9D316" w14:textId="77777777" w:rsidR="008276C4" w:rsidRDefault="008276C4">
      <w:r>
        <w:continuationSeparator/>
      </w:r>
    </w:p>
  </w:footnote>
  <w:footnote w:id="1">
    <w:p w14:paraId="7B49CC98" w14:textId="7E42F680" w:rsidR="008276C4" w:rsidRPr="00380E88" w:rsidRDefault="008276C4">
      <w:pPr>
        <w:pStyle w:val="normal0"/>
        <w:rPr>
          <w:sz w:val="20"/>
          <w:szCs w:val="20"/>
        </w:rPr>
      </w:pPr>
      <w:r w:rsidRPr="00380E88">
        <w:rPr>
          <w:sz w:val="20"/>
          <w:szCs w:val="20"/>
          <w:vertAlign w:val="superscript"/>
        </w:rPr>
        <w:footnoteRef/>
      </w:r>
      <w:r w:rsidRPr="00380E88">
        <w:rPr>
          <w:sz w:val="20"/>
          <w:szCs w:val="20"/>
        </w:rPr>
        <w:t xml:space="preserve"> See Appendix A (data retrieved May 19, 2017).</w:t>
      </w:r>
    </w:p>
  </w:footnote>
  <w:footnote w:id="2">
    <w:p w14:paraId="593AD988" w14:textId="593F62BD" w:rsidR="008276C4" w:rsidRPr="00380E88" w:rsidRDefault="008276C4">
      <w:pPr>
        <w:pStyle w:val="normal0"/>
        <w:rPr>
          <w:sz w:val="20"/>
          <w:szCs w:val="20"/>
        </w:rPr>
      </w:pPr>
      <w:r w:rsidRPr="00380E88">
        <w:rPr>
          <w:sz w:val="20"/>
          <w:szCs w:val="20"/>
          <w:vertAlign w:val="superscript"/>
        </w:rPr>
        <w:footnoteRef/>
      </w:r>
      <w:r w:rsidRPr="00380E88">
        <w:rPr>
          <w:sz w:val="20"/>
          <w:szCs w:val="20"/>
        </w:rPr>
        <w:t xml:space="preserve"> Id.</w:t>
      </w:r>
    </w:p>
  </w:footnote>
  <w:footnote w:id="3">
    <w:p w14:paraId="41B8090D" w14:textId="14B4ABE7" w:rsidR="008276C4" w:rsidRPr="00380E88" w:rsidRDefault="008276C4">
      <w:pPr>
        <w:pStyle w:val="normal0"/>
        <w:widowControl/>
        <w:rPr>
          <w:sz w:val="20"/>
          <w:szCs w:val="20"/>
        </w:rPr>
      </w:pPr>
      <w:r w:rsidRPr="00380E88">
        <w:rPr>
          <w:sz w:val="20"/>
          <w:szCs w:val="20"/>
          <w:vertAlign w:val="superscript"/>
        </w:rPr>
        <w:footnoteRef/>
      </w:r>
      <w:r w:rsidRPr="00380E88">
        <w:rPr>
          <w:sz w:val="20"/>
          <w:szCs w:val="20"/>
        </w:rPr>
        <w:t xml:space="preserve"> Id. </w:t>
      </w:r>
    </w:p>
  </w:footnote>
  <w:footnote w:id="4">
    <w:p w14:paraId="4C401EF9" w14:textId="77777777" w:rsidR="008276C4" w:rsidRPr="00380E88" w:rsidRDefault="008276C4">
      <w:pPr>
        <w:pStyle w:val="normal0"/>
        <w:rPr>
          <w:sz w:val="20"/>
          <w:szCs w:val="20"/>
        </w:rPr>
      </w:pPr>
      <w:r w:rsidRPr="00380E88">
        <w:rPr>
          <w:sz w:val="20"/>
          <w:szCs w:val="20"/>
          <w:vertAlign w:val="superscript"/>
        </w:rPr>
        <w:footnoteRef/>
      </w:r>
      <w:r w:rsidRPr="00380E88">
        <w:rPr>
          <w:sz w:val="20"/>
          <w:szCs w:val="20"/>
        </w:rPr>
        <w:t xml:space="preserve"> </w:t>
      </w:r>
      <w:hyperlink r:id="rId1">
        <w:r w:rsidRPr="00380E88">
          <w:rPr>
            <w:color w:val="1155CC"/>
            <w:sz w:val="20"/>
            <w:szCs w:val="20"/>
            <w:u w:val="single"/>
          </w:rPr>
          <w:t>https://www.concordlawschool.edu/assets/documents/business-and-professions-code-6061.7-disclosure.pdf</w:t>
        </w:r>
      </w:hyperlink>
      <w:r w:rsidRPr="00380E88">
        <w:rPr>
          <w:sz w:val="20"/>
          <w:szCs w:val="20"/>
        </w:rPr>
        <w:t xml:space="preserve"> (visited May 21, 2017).</w:t>
      </w:r>
    </w:p>
  </w:footnote>
  <w:footnote w:id="5">
    <w:p w14:paraId="473D7A60" w14:textId="77777777" w:rsidR="008276C4" w:rsidRPr="00380E88" w:rsidRDefault="008276C4" w:rsidP="007F59E5">
      <w:pPr>
        <w:pStyle w:val="normal0"/>
        <w:rPr>
          <w:sz w:val="20"/>
          <w:szCs w:val="20"/>
        </w:rPr>
      </w:pPr>
      <w:r w:rsidRPr="00380E88">
        <w:rPr>
          <w:sz w:val="20"/>
          <w:szCs w:val="20"/>
          <w:vertAlign w:val="superscript"/>
        </w:rPr>
        <w:footnoteRef/>
      </w:r>
      <w:r w:rsidRPr="00380E88">
        <w:rPr>
          <w:sz w:val="20"/>
          <w:szCs w:val="20"/>
        </w:rPr>
        <w:t xml:space="preserve"> See </w:t>
      </w:r>
      <w:hyperlink r:id="rId2">
        <w:r w:rsidRPr="00380E88">
          <w:rPr>
            <w:color w:val="0000FF"/>
            <w:sz w:val="20"/>
            <w:szCs w:val="20"/>
            <w:u w:val="single"/>
          </w:rPr>
          <w:t>https://www.usnews.com/best-colleges/purdue-1825/rankings</w:t>
        </w:r>
      </w:hyperlink>
      <w:r w:rsidRPr="00380E88">
        <w:rPr>
          <w:sz w:val="20"/>
          <w:szCs w:val="20"/>
        </w:rPr>
        <w:t xml:space="preserve"> (visited April 27, 2017).</w:t>
      </w:r>
    </w:p>
  </w:footnote>
  <w:footnote w:id="6">
    <w:p w14:paraId="33F3B559" w14:textId="6B8BF5AB" w:rsidR="008276C4" w:rsidRPr="00380E88" w:rsidRDefault="008276C4">
      <w:pPr>
        <w:pStyle w:val="FootnoteText"/>
        <w:rPr>
          <w:sz w:val="20"/>
          <w:szCs w:val="20"/>
        </w:rPr>
      </w:pPr>
      <w:r>
        <w:rPr>
          <w:rStyle w:val="FootnoteReference"/>
        </w:rPr>
        <w:footnoteRef/>
      </w:r>
      <w:r>
        <w:t xml:space="preserve"> </w:t>
      </w:r>
      <w:r>
        <w:rPr>
          <w:sz w:val="20"/>
          <w:szCs w:val="20"/>
        </w:rPr>
        <w:t xml:space="preserve">See G. Toppo, “Purdue buys for-profit Kaplan University for $1, plans to make it public,” USA Today, April 27, 2017, </w:t>
      </w:r>
      <w:hyperlink r:id="rId3">
        <w:r w:rsidRPr="00380E88">
          <w:rPr>
            <w:sz w:val="20"/>
            <w:szCs w:val="20"/>
            <w:u w:val="single"/>
          </w:rPr>
          <w:t>https://www.usatoday.com/story/news/2017/04/27/purdue-buys-kaplan-university/100990102/</w:t>
        </w:r>
      </w:hyperlink>
      <w:r w:rsidRPr="00380E88">
        <w:rPr>
          <w:sz w:val="20"/>
          <w:szCs w:val="20"/>
          <w:u w:val="single"/>
        </w:rPr>
        <w:t>.</w:t>
      </w:r>
      <w:r>
        <w:rPr>
          <w:b/>
          <w:sz w:val="20"/>
          <w:szCs w:val="20"/>
          <w:u w:val="single"/>
        </w:rPr>
        <w:t xml:space="preserve"> </w:t>
      </w:r>
    </w:p>
  </w:footnote>
  <w:footnote w:id="7">
    <w:p w14:paraId="7B88EBA2" w14:textId="77777777" w:rsidR="008276C4" w:rsidRPr="00380E88" w:rsidRDefault="008276C4" w:rsidP="007F59E5">
      <w:pPr>
        <w:pStyle w:val="normal0"/>
        <w:rPr>
          <w:sz w:val="20"/>
          <w:szCs w:val="20"/>
        </w:rPr>
      </w:pPr>
      <w:r w:rsidRPr="00380E88">
        <w:rPr>
          <w:sz w:val="20"/>
          <w:szCs w:val="20"/>
          <w:vertAlign w:val="superscript"/>
        </w:rPr>
        <w:footnoteRef/>
      </w:r>
      <w:r w:rsidRPr="00380E88">
        <w:rPr>
          <w:sz w:val="20"/>
          <w:szCs w:val="20"/>
        </w:rPr>
        <w:t xml:space="preserve"> </w:t>
      </w:r>
      <w:hyperlink r:id="rId4">
        <w:r w:rsidRPr="00380E88">
          <w:rPr>
            <w:color w:val="1155CC"/>
            <w:sz w:val="20"/>
            <w:szCs w:val="20"/>
            <w:u w:val="single"/>
          </w:rPr>
          <w:t>http://stfrancislaw.com/wp-content/uploads/StFrancisDisclosure2017.pdf</w:t>
        </w:r>
      </w:hyperlink>
      <w:r w:rsidRPr="00380E88">
        <w:rPr>
          <w:sz w:val="20"/>
          <w:szCs w:val="20"/>
        </w:rPr>
        <w:t xml:space="preserve"> (visited May 21, 2017).</w:t>
      </w:r>
    </w:p>
  </w:footnote>
  <w:footnote w:id="8">
    <w:p w14:paraId="442A2C50" w14:textId="5001DC84" w:rsidR="008276C4" w:rsidRPr="00380E88" w:rsidRDefault="008276C4">
      <w:pPr>
        <w:pStyle w:val="normal0"/>
        <w:rPr>
          <w:sz w:val="20"/>
          <w:szCs w:val="20"/>
        </w:rPr>
      </w:pPr>
      <w:r w:rsidRPr="00380E88">
        <w:rPr>
          <w:sz w:val="20"/>
          <w:szCs w:val="20"/>
          <w:vertAlign w:val="superscript"/>
        </w:rPr>
        <w:footnoteRef/>
      </w:r>
      <w:r w:rsidRPr="00380E88">
        <w:rPr>
          <w:sz w:val="20"/>
          <w:szCs w:val="20"/>
        </w:rPr>
        <w:t xml:space="preserve"> </w:t>
      </w:r>
      <w:r>
        <w:rPr>
          <w:sz w:val="20"/>
          <w:szCs w:val="20"/>
        </w:rPr>
        <w:t>Id.</w:t>
      </w:r>
    </w:p>
  </w:footnote>
  <w:footnote w:id="9">
    <w:p w14:paraId="1BAC1AF5" w14:textId="77777777" w:rsidR="008276C4" w:rsidRPr="00380E88" w:rsidRDefault="008276C4">
      <w:pPr>
        <w:pStyle w:val="normal0"/>
        <w:rPr>
          <w:sz w:val="20"/>
          <w:szCs w:val="20"/>
        </w:rPr>
      </w:pPr>
      <w:r w:rsidRPr="00380E88">
        <w:rPr>
          <w:sz w:val="20"/>
          <w:szCs w:val="20"/>
          <w:vertAlign w:val="superscript"/>
        </w:rPr>
        <w:footnoteRef/>
      </w:r>
      <w:r w:rsidRPr="00380E88">
        <w:rPr>
          <w:sz w:val="20"/>
          <w:szCs w:val="20"/>
        </w:rPr>
        <w:t xml:space="preserve"> </w:t>
      </w:r>
      <w:hyperlink r:id="rId5">
        <w:r w:rsidRPr="00380E88">
          <w:rPr>
            <w:color w:val="1155CC"/>
            <w:sz w:val="20"/>
            <w:szCs w:val="20"/>
            <w:u w:val="single"/>
          </w:rPr>
          <w:t>http://stfrancislaw.com/academics/class-format/</w:t>
        </w:r>
      </w:hyperlink>
      <w:r w:rsidRPr="00380E88">
        <w:rPr>
          <w:sz w:val="20"/>
          <w:szCs w:val="20"/>
        </w:rPr>
        <w:t xml:space="preserve"> (visited May 21, 2017).</w:t>
      </w:r>
    </w:p>
  </w:footnote>
  <w:footnote w:id="10">
    <w:p w14:paraId="3492F774" w14:textId="77777777" w:rsidR="008276C4" w:rsidRPr="00380E88" w:rsidRDefault="008276C4">
      <w:pPr>
        <w:pStyle w:val="normal0"/>
        <w:rPr>
          <w:sz w:val="20"/>
          <w:szCs w:val="20"/>
        </w:rPr>
      </w:pPr>
      <w:r w:rsidRPr="00380E88">
        <w:rPr>
          <w:sz w:val="20"/>
          <w:szCs w:val="20"/>
          <w:vertAlign w:val="superscript"/>
        </w:rPr>
        <w:footnoteRef/>
      </w:r>
      <w:r w:rsidRPr="00380E88">
        <w:rPr>
          <w:sz w:val="20"/>
          <w:szCs w:val="20"/>
        </w:rPr>
        <w:t xml:space="preserve"> </w:t>
      </w:r>
      <w:hyperlink r:id="rId6">
        <w:r w:rsidRPr="00380E88">
          <w:rPr>
            <w:color w:val="1155CC"/>
            <w:sz w:val="20"/>
            <w:szCs w:val="20"/>
            <w:u w:val="single"/>
          </w:rPr>
          <w:t>http://stfrancislaw.com/academ</w:t>
        </w:r>
        <w:r w:rsidRPr="00380E88">
          <w:rPr>
            <w:color w:val="1155CC"/>
            <w:sz w:val="20"/>
            <w:szCs w:val="20"/>
            <w:u w:val="single"/>
          </w:rPr>
          <w:t>i</w:t>
        </w:r>
        <w:r w:rsidRPr="00380E88">
          <w:rPr>
            <w:color w:val="1155CC"/>
            <w:sz w:val="20"/>
            <w:szCs w:val="20"/>
            <w:u w:val="single"/>
          </w:rPr>
          <w:t>cs/pass-rates/</w:t>
        </w:r>
      </w:hyperlink>
      <w:r w:rsidRPr="00380E88">
        <w:rPr>
          <w:sz w:val="20"/>
          <w:szCs w:val="20"/>
        </w:rPr>
        <w:t xml:space="preserve"> (visited May 21, 2017).</w:t>
      </w:r>
    </w:p>
  </w:footnote>
  <w:footnote w:id="11">
    <w:p w14:paraId="49FEA8F4" w14:textId="77777777" w:rsidR="008276C4" w:rsidRPr="00380E88" w:rsidRDefault="008276C4">
      <w:pPr>
        <w:pStyle w:val="normal0"/>
        <w:rPr>
          <w:sz w:val="20"/>
          <w:szCs w:val="20"/>
        </w:rPr>
      </w:pPr>
      <w:r w:rsidRPr="00380E88">
        <w:rPr>
          <w:sz w:val="20"/>
          <w:szCs w:val="20"/>
          <w:vertAlign w:val="superscript"/>
        </w:rPr>
        <w:footnoteRef/>
      </w:r>
      <w:r w:rsidRPr="00380E88">
        <w:rPr>
          <w:sz w:val="20"/>
          <w:szCs w:val="20"/>
        </w:rPr>
        <w:t xml:space="preserve"> See </w:t>
      </w:r>
      <w:hyperlink r:id="rId7">
        <w:r w:rsidRPr="00380E88">
          <w:rPr>
            <w:color w:val="1155CC"/>
            <w:sz w:val="20"/>
            <w:szCs w:val="20"/>
            <w:u w:val="single"/>
          </w:rPr>
          <w:t>https://www.concordlawschool.edu/assets/documents/business-and-professions-code-6061.7-disclosure.pdf</w:t>
        </w:r>
      </w:hyperlink>
      <w:r w:rsidRPr="00380E88">
        <w:rPr>
          <w:sz w:val="20"/>
          <w:szCs w:val="20"/>
        </w:rPr>
        <w:t xml:space="preserve"> (visited May 21, 2017).</w:t>
      </w:r>
    </w:p>
  </w:footnote>
  <w:footnote w:id="12">
    <w:p w14:paraId="4FED9DF9" w14:textId="77777777" w:rsidR="008276C4" w:rsidRPr="00380E88" w:rsidRDefault="008276C4" w:rsidP="00F56AC9">
      <w:pPr>
        <w:pStyle w:val="normal0"/>
        <w:rPr>
          <w:sz w:val="20"/>
          <w:szCs w:val="20"/>
        </w:rPr>
      </w:pPr>
      <w:r w:rsidRPr="00380E88">
        <w:rPr>
          <w:sz w:val="20"/>
          <w:szCs w:val="20"/>
          <w:vertAlign w:val="superscript"/>
        </w:rPr>
        <w:footnoteRef/>
      </w:r>
      <w:r w:rsidRPr="00380E88">
        <w:rPr>
          <w:sz w:val="20"/>
          <w:szCs w:val="20"/>
        </w:rPr>
        <w:t xml:space="preserve"> The California State Bar only provides comparative data going back 10 years, to 2007. The first-time pass rates for all takers prior to 2007 is taken from the CLS website. In addition, the distance-learning category was created in 2008, so no comparative data from that category is available before then. </w:t>
      </w:r>
    </w:p>
  </w:footnote>
  <w:footnote w:id="13">
    <w:p w14:paraId="69D23DC9" w14:textId="77777777" w:rsidR="008276C4" w:rsidRPr="00380E88" w:rsidRDefault="008276C4" w:rsidP="00F56AC9">
      <w:pPr>
        <w:pStyle w:val="normal0"/>
        <w:rPr>
          <w:sz w:val="20"/>
          <w:szCs w:val="20"/>
        </w:rPr>
      </w:pPr>
      <w:r w:rsidRPr="00380E88">
        <w:rPr>
          <w:sz w:val="20"/>
          <w:szCs w:val="20"/>
          <w:vertAlign w:val="superscript"/>
        </w:rPr>
        <w:footnoteRef/>
      </w:r>
      <w:r w:rsidRPr="00380E88">
        <w:rPr>
          <w:sz w:val="20"/>
          <w:szCs w:val="20"/>
        </w:rPr>
        <w:t xml:space="preserve"> Beginning in 2016, the California State Bar began to limit the data it made publicly available, and so not all categories can be reported for all administrations thereafter.</w:t>
      </w:r>
    </w:p>
  </w:footnote>
  <w:footnote w:id="14">
    <w:p w14:paraId="2ACA7008" w14:textId="205D97B4" w:rsidR="008276C4" w:rsidRPr="00380E88" w:rsidRDefault="008276C4" w:rsidP="00F56AC9">
      <w:pPr>
        <w:pStyle w:val="normal0"/>
        <w:rPr>
          <w:sz w:val="20"/>
          <w:szCs w:val="20"/>
        </w:rPr>
      </w:pPr>
      <w:r w:rsidRPr="00380E88">
        <w:rPr>
          <w:sz w:val="20"/>
          <w:szCs w:val="20"/>
          <w:vertAlign w:val="superscript"/>
        </w:rPr>
        <w:footnoteRef/>
      </w:r>
      <w:r w:rsidRPr="00380E88">
        <w:rPr>
          <w:sz w:val="20"/>
          <w:szCs w:val="20"/>
        </w:rPr>
        <w:t xml:space="preserve"> The California State Bar only provides comparative data going back 10 years, to 2007. The overall pass rates for all takers prior to 2007 is taken from the CLS website. In addition, the distance-learning category was created in 2008, so no comparative data from that category is available before then. </w:t>
      </w:r>
    </w:p>
  </w:footnote>
  <w:footnote w:id="15">
    <w:p w14:paraId="570B96E3" w14:textId="77777777" w:rsidR="008276C4" w:rsidRPr="00380E88" w:rsidRDefault="008276C4" w:rsidP="00F56AC9">
      <w:pPr>
        <w:pStyle w:val="normal0"/>
        <w:rPr>
          <w:sz w:val="20"/>
          <w:szCs w:val="20"/>
        </w:rPr>
      </w:pPr>
      <w:r w:rsidRPr="00380E88">
        <w:rPr>
          <w:sz w:val="20"/>
          <w:szCs w:val="20"/>
          <w:vertAlign w:val="superscript"/>
        </w:rPr>
        <w:footnoteRef/>
      </w:r>
      <w:r w:rsidRPr="00380E88">
        <w:rPr>
          <w:sz w:val="20"/>
          <w:szCs w:val="20"/>
        </w:rPr>
        <w:t xml:space="preserve"> Beginning in 2016, the California State Bar began to limit the data it made publicly available, and so not all categories can be reported for all administrations thereafter.</w:t>
      </w:r>
    </w:p>
  </w:footnote>
  <w:footnote w:id="16">
    <w:p w14:paraId="05E81BB6" w14:textId="1AE6EC20" w:rsidR="008276C4" w:rsidRPr="00380E88" w:rsidRDefault="008276C4" w:rsidP="00BA3476">
      <w:pPr>
        <w:pStyle w:val="normal0"/>
        <w:rPr>
          <w:sz w:val="20"/>
          <w:szCs w:val="20"/>
        </w:rPr>
      </w:pPr>
      <w:r w:rsidRPr="00380E88">
        <w:rPr>
          <w:sz w:val="20"/>
          <w:szCs w:val="20"/>
          <w:vertAlign w:val="superscript"/>
        </w:rPr>
        <w:footnoteRef/>
      </w:r>
      <w:r w:rsidRPr="00380E88">
        <w:rPr>
          <w:sz w:val="20"/>
          <w:szCs w:val="20"/>
        </w:rPr>
        <w:t xml:space="preserve"> The California State Bar only provides comparative data going back 10 years</w:t>
      </w:r>
      <w:r>
        <w:rPr>
          <w:sz w:val="20"/>
          <w:szCs w:val="20"/>
        </w:rPr>
        <w:t xml:space="preserve"> from the most recent FYLSE administration</w:t>
      </w:r>
      <w:r w:rsidRPr="00380E88">
        <w:rPr>
          <w:sz w:val="20"/>
          <w:szCs w:val="20"/>
        </w:rPr>
        <w:t xml:space="preserve">, to </w:t>
      </w:r>
      <w:r>
        <w:rPr>
          <w:sz w:val="20"/>
          <w:szCs w:val="20"/>
        </w:rPr>
        <w:t xml:space="preserve">October </w:t>
      </w:r>
      <w:r w:rsidRPr="00380E88">
        <w:rPr>
          <w:sz w:val="20"/>
          <w:szCs w:val="20"/>
        </w:rPr>
        <w:t xml:space="preserve">2006. The first-time pass rates for all takers prior to </w:t>
      </w:r>
      <w:r>
        <w:rPr>
          <w:sz w:val="20"/>
          <w:szCs w:val="20"/>
        </w:rPr>
        <w:t xml:space="preserve">October </w:t>
      </w:r>
      <w:r w:rsidRPr="00380E88">
        <w:rPr>
          <w:sz w:val="20"/>
          <w:szCs w:val="20"/>
        </w:rPr>
        <w:t>200</w:t>
      </w:r>
      <w:r>
        <w:rPr>
          <w:sz w:val="20"/>
          <w:szCs w:val="20"/>
        </w:rPr>
        <w:t>6</w:t>
      </w:r>
      <w:r w:rsidRPr="00380E88">
        <w:rPr>
          <w:sz w:val="20"/>
          <w:szCs w:val="20"/>
        </w:rPr>
        <w:t xml:space="preserve"> is taken from the CLS website. In addition, the distance-learning category was created in 2008, so no comparative data from that category is available before then. </w:t>
      </w:r>
    </w:p>
  </w:footnote>
  <w:footnote w:id="17">
    <w:p w14:paraId="242385DC" w14:textId="77777777" w:rsidR="008276C4" w:rsidRPr="00380E88" w:rsidRDefault="008276C4" w:rsidP="00BA3476">
      <w:pPr>
        <w:pStyle w:val="normal0"/>
        <w:rPr>
          <w:sz w:val="20"/>
          <w:szCs w:val="20"/>
        </w:rPr>
      </w:pPr>
      <w:r w:rsidRPr="00380E88">
        <w:rPr>
          <w:sz w:val="20"/>
          <w:szCs w:val="20"/>
          <w:vertAlign w:val="superscript"/>
        </w:rPr>
        <w:footnoteRef/>
      </w:r>
      <w:r w:rsidRPr="00380E88">
        <w:rPr>
          <w:sz w:val="20"/>
          <w:szCs w:val="20"/>
        </w:rPr>
        <w:t xml:space="preserve"> Beginning in 2016, the California State Bar began to limit the data it made publicly available, and so not all categories can be reported for all administrations thereafter.</w:t>
      </w:r>
    </w:p>
  </w:footnote>
  <w:footnote w:id="18">
    <w:p w14:paraId="29DEB972" w14:textId="64054CA7" w:rsidR="008276C4" w:rsidRPr="00380E88" w:rsidRDefault="008276C4" w:rsidP="00BA3476">
      <w:pPr>
        <w:pStyle w:val="normal0"/>
        <w:rPr>
          <w:sz w:val="20"/>
          <w:szCs w:val="20"/>
        </w:rPr>
      </w:pPr>
      <w:r w:rsidRPr="00380E88">
        <w:rPr>
          <w:sz w:val="20"/>
          <w:szCs w:val="20"/>
          <w:vertAlign w:val="superscript"/>
        </w:rPr>
        <w:footnoteRef/>
      </w:r>
      <w:r w:rsidRPr="00380E88">
        <w:rPr>
          <w:sz w:val="20"/>
          <w:szCs w:val="20"/>
        </w:rPr>
        <w:t xml:space="preserve"> The California State Bar only provides comparative data going back 10 years</w:t>
      </w:r>
      <w:r>
        <w:rPr>
          <w:sz w:val="20"/>
          <w:szCs w:val="20"/>
        </w:rPr>
        <w:t xml:space="preserve"> from the most recent FYLSE administration</w:t>
      </w:r>
      <w:r w:rsidRPr="00380E88">
        <w:rPr>
          <w:sz w:val="20"/>
          <w:szCs w:val="20"/>
        </w:rPr>
        <w:t xml:space="preserve">, to </w:t>
      </w:r>
      <w:r>
        <w:rPr>
          <w:sz w:val="20"/>
          <w:szCs w:val="20"/>
        </w:rPr>
        <w:t xml:space="preserve">October </w:t>
      </w:r>
      <w:r w:rsidRPr="00380E88">
        <w:rPr>
          <w:sz w:val="20"/>
          <w:szCs w:val="20"/>
        </w:rPr>
        <w:t xml:space="preserve">2006. The first-time pass rates for all takers prior to </w:t>
      </w:r>
      <w:r>
        <w:rPr>
          <w:sz w:val="20"/>
          <w:szCs w:val="20"/>
        </w:rPr>
        <w:t xml:space="preserve">October </w:t>
      </w:r>
      <w:r w:rsidRPr="00380E88">
        <w:rPr>
          <w:sz w:val="20"/>
          <w:szCs w:val="20"/>
        </w:rPr>
        <w:t>200</w:t>
      </w:r>
      <w:r>
        <w:rPr>
          <w:sz w:val="20"/>
          <w:szCs w:val="20"/>
        </w:rPr>
        <w:t>6</w:t>
      </w:r>
      <w:r w:rsidRPr="00380E88">
        <w:rPr>
          <w:sz w:val="20"/>
          <w:szCs w:val="20"/>
        </w:rPr>
        <w:t xml:space="preserve"> is taken from the CLS website. In addition, the distance-learning category was created in 2008, so no comparative data from that category is available before then.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AD1E9" w14:textId="77777777" w:rsidR="008276C4" w:rsidRDefault="008276C4">
    <w:pPr>
      <w:pStyle w:val="normal0"/>
      <w:tabs>
        <w:tab w:val="center" w:pos="4320"/>
        <w:tab w:val="right" w:pos="8640"/>
      </w:tabs>
      <w:jc w:val="both"/>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75567" w14:textId="77777777" w:rsidR="008276C4" w:rsidRDefault="008276C4">
    <w:pPr>
      <w:pStyle w:val="normal0"/>
      <w:tabs>
        <w:tab w:val="center" w:pos="4320"/>
        <w:tab w:val="right" w:pos="8640"/>
      </w:tabs>
      <w:spacing w:before="720"/>
      <w:jc w:val="both"/>
    </w:pPr>
    <w:r>
      <w:rPr>
        <w:noProof/>
      </w:rPr>
      <w:drawing>
        <wp:anchor distT="4294967295" distB="4294967295" distL="114300" distR="114300" simplePos="0" relativeHeight="251659264" behindDoc="0" locked="0" layoutInCell="0" hidden="0" allowOverlap="1" wp14:anchorId="43E56010" wp14:editId="51A32831">
          <wp:simplePos x="0" y="0"/>
          <wp:positionH relativeFrom="margin">
            <wp:posOffset>0</wp:posOffset>
          </wp:positionH>
          <wp:positionV relativeFrom="paragraph">
            <wp:posOffset>0</wp:posOffset>
          </wp:positionV>
          <wp:extent cx="6565900" cy="12700"/>
          <wp:effectExtent l="0" t="0" r="0" b="0"/>
          <wp:wrapNone/>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6565900" cy="12700"/>
                  </a:xfrm>
                  <a:prstGeom prst="rect">
                    <a:avLst/>
                  </a:prstGeom>
                  <a:ln/>
                </pic:spPr>
              </pic:pic>
            </a:graphicData>
          </a:graphic>
        </wp:anchor>
      </w:drawing>
    </w:r>
  </w:p>
  <w:p w14:paraId="25F45DF6" w14:textId="77777777" w:rsidR="008276C4" w:rsidRDefault="008276C4">
    <w:pPr>
      <w:pStyle w:val="normal0"/>
      <w:tabs>
        <w:tab w:val="center" w:pos="4320"/>
        <w:tab w:val="righ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76BCF"/>
    <w:rsid w:val="0017596D"/>
    <w:rsid w:val="00275EB2"/>
    <w:rsid w:val="002A6D6B"/>
    <w:rsid w:val="003615FD"/>
    <w:rsid w:val="00380E88"/>
    <w:rsid w:val="0038142C"/>
    <w:rsid w:val="00403773"/>
    <w:rsid w:val="00445E22"/>
    <w:rsid w:val="00453C59"/>
    <w:rsid w:val="00476BCF"/>
    <w:rsid w:val="005A66F5"/>
    <w:rsid w:val="006726AA"/>
    <w:rsid w:val="00680A50"/>
    <w:rsid w:val="007F59E5"/>
    <w:rsid w:val="008276C4"/>
    <w:rsid w:val="009F0283"/>
    <w:rsid w:val="009F58AB"/>
    <w:rsid w:val="00AC7F42"/>
    <w:rsid w:val="00AF4E1F"/>
    <w:rsid w:val="00BA3476"/>
    <w:rsid w:val="00C05902"/>
    <w:rsid w:val="00C27035"/>
    <w:rsid w:val="00C94C91"/>
    <w:rsid w:val="00D50C9A"/>
    <w:rsid w:val="00D510E4"/>
    <w:rsid w:val="00E53D22"/>
    <w:rsid w:val="00E72D7C"/>
    <w:rsid w:val="00F04CA5"/>
    <w:rsid w:val="00F0790D"/>
    <w:rsid w:val="00F56AC9"/>
    <w:rsid w:val="00FF74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916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tabs>
        <w:tab w:val="left" w:pos="720"/>
        <w:tab w:val="left" w:pos="1058"/>
        <w:tab w:val="left" w:pos="1440"/>
        <w:tab w:val="left" w:pos="2160"/>
        <w:tab w:val="left" w:pos="2880"/>
        <w:tab w:val="left" w:pos="3600"/>
        <w:tab w:val="left" w:pos="4320"/>
        <w:tab w:val="left" w:pos="5040"/>
        <w:tab w:val="left" w:pos="5760"/>
        <w:tab w:val="left" w:pos="6480"/>
      </w:tabs>
      <w:spacing w:after="144"/>
      <w:ind w:left="2520" w:hanging="360"/>
      <w:outlineLvl w:val="0"/>
    </w:pPr>
    <w:rPr>
      <w:b/>
    </w:rPr>
  </w:style>
  <w:style w:type="paragraph" w:styleId="Heading2">
    <w:name w:val="heading 2"/>
    <w:basedOn w:val="normal0"/>
    <w:next w:val="normal0"/>
    <w:pPr>
      <w:keepNext/>
      <w:keepLines/>
      <w:outlineLvl w:val="1"/>
    </w:pPr>
    <w:rPr>
      <w:b/>
      <w:sz w:val="20"/>
      <w:szCs w:val="20"/>
    </w:rPr>
  </w:style>
  <w:style w:type="paragraph" w:styleId="Heading3">
    <w:name w:val="heading 3"/>
    <w:basedOn w:val="normal0"/>
    <w:next w:val="normal0"/>
    <w:pPr>
      <w:keepNext/>
      <w:keepLines/>
      <w:outlineLvl w:val="2"/>
    </w:pPr>
    <w:rPr>
      <w:rFonts w:ascii="FujiyamaExtraBold" w:eastAsia="FujiyamaExtraBold" w:hAnsi="FujiyamaExtraBold" w:cs="FujiyamaExtraBold"/>
      <w:b/>
      <w:sz w:val="36"/>
      <w:szCs w:val="36"/>
    </w:rPr>
  </w:style>
  <w:style w:type="paragraph" w:styleId="Heading4">
    <w:name w:val="heading 4"/>
    <w:basedOn w:val="normal0"/>
    <w:next w:val="normal0"/>
    <w:pPr>
      <w:keepNext/>
      <w:keepLines/>
      <w:outlineLvl w:val="3"/>
    </w:pPr>
    <w:rPr>
      <w:b/>
      <w:sz w:val="28"/>
      <w:szCs w:val="28"/>
    </w:rPr>
  </w:style>
  <w:style w:type="paragraph" w:styleId="Heading5">
    <w:name w:val="heading 5"/>
    <w:basedOn w:val="normal0"/>
    <w:next w:val="normal0"/>
    <w:pPr>
      <w:keepNext/>
      <w:keepLines/>
      <w:ind w:left="2160"/>
      <w:outlineLvl w:val="4"/>
    </w:pPr>
    <w:rPr>
      <w:b/>
      <w:sz w:val="28"/>
      <w:szCs w:val="28"/>
    </w:rPr>
  </w:style>
  <w:style w:type="paragraph" w:styleId="Heading6">
    <w:name w:val="heading 6"/>
    <w:basedOn w:val="normal0"/>
    <w:next w:val="normal0"/>
    <w:pPr>
      <w:keepNext/>
      <w:keepLines/>
      <w:tabs>
        <w:tab w:val="left" w:pos="720"/>
        <w:tab w:val="left" w:pos="1080"/>
      </w:tabs>
      <w:ind w:left="720" w:hanging="360"/>
      <w:outlineLvl w:val="5"/>
    </w:pPr>
    <w:rPr>
      <w:rFonts w:ascii="Helvetica Neue" w:eastAsia="Helvetica Neue" w:hAnsi="Helvetica Neue" w:cs="Helvetica Neue"/>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jc w:val="center"/>
    </w:pPr>
    <w:rPr>
      <w:b/>
      <w:sz w:val="28"/>
      <w:szCs w:val="28"/>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9F58AB"/>
    <w:pPr>
      <w:tabs>
        <w:tab w:val="center" w:pos="4320"/>
        <w:tab w:val="right" w:pos="8640"/>
      </w:tabs>
    </w:pPr>
  </w:style>
  <w:style w:type="character" w:customStyle="1" w:styleId="HeaderChar">
    <w:name w:val="Header Char"/>
    <w:basedOn w:val="DefaultParagraphFont"/>
    <w:link w:val="Header"/>
    <w:uiPriority w:val="99"/>
    <w:rsid w:val="009F58AB"/>
  </w:style>
  <w:style w:type="paragraph" w:styleId="Footer">
    <w:name w:val="footer"/>
    <w:basedOn w:val="Normal"/>
    <w:link w:val="FooterChar"/>
    <w:uiPriority w:val="99"/>
    <w:unhideWhenUsed/>
    <w:rsid w:val="009F58AB"/>
    <w:pPr>
      <w:tabs>
        <w:tab w:val="center" w:pos="4320"/>
        <w:tab w:val="right" w:pos="8640"/>
      </w:tabs>
    </w:pPr>
  </w:style>
  <w:style w:type="character" w:customStyle="1" w:styleId="FooterChar">
    <w:name w:val="Footer Char"/>
    <w:basedOn w:val="DefaultParagraphFont"/>
    <w:link w:val="Footer"/>
    <w:uiPriority w:val="99"/>
    <w:rsid w:val="009F58AB"/>
  </w:style>
  <w:style w:type="character" w:styleId="PageNumber">
    <w:name w:val="page number"/>
    <w:basedOn w:val="DefaultParagraphFont"/>
    <w:uiPriority w:val="99"/>
    <w:semiHidden/>
    <w:unhideWhenUsed/>
    <w:rsid w:val="009F58AB"/>
  </w:style>
  <w:style w:type="paragraph" w:styleId="BalloonText">
    <w:name w:val="Balloon Text"/>
    <w:basedOn w:val="Normal"/>
    <w:link w:val="BalloonTextChar"/>
    <w:uiPriority w:val="99"/>
    <w:semiHidden/>
    <w:unhideWhenUsed/>
    <w:rsid w:val="009F58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58AB"/>
    <w:rPr>
      <w:rFonts w:ascii="Lucida Grande" w:hAnsi="Lucida Grande" w:cs="Lucida Grande"/>
      <w:sz w:val="18"/>
      <w:szCs w:val="18"/>
    </w:rPr>
  </w:style>
  <w:style w:type="paragraph" w:styleId="FootnoteText">
    <w:name w:val="footnote text"/>
    <w:basedOn w:val="Normal"/>
    <w:link w:val="FootnoteTextChar"/>
    <w:uiPriority w:val="99"/>
    <w:unhideWhenUsed/>
    <w:rsid w:val="00380E88"/>
  </w:style>
  <w:style w:type="character" w:customStyle="1" w:styleId="FootnoteTextChar">
    <w:name w:val="Footnote Text Char"/>
    <w:basedOn w:val="DefaultParagraphFont"/>
    <w:link w:val="FootnoteText"/>
    <w:uiPriority w:val="99"/>
    <w:rsid w:val="00380E88"/>
  </w:style>
  <w:style w:type="character" w:styleId="FootnoteReference">
    <w:name w:val="footnote reference"/>
    <w:basedOn w:val="DefaultParagraphFont"/>
    <w:uiPriority w:val="99"/>
    <w:unhideWhenUsed/>
    <w:rsid w:val="00380E88"/>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tabs>
        <w:tab w:val="left" w:pos="720"/>
        <w:tab w:val="left" w:pos="1058"/>
        <w:tab w:val="left" w:pos="1440"/>
        <w:tab w:val="left" w:pos="2160"/>
        <w:tab w:val="left" w:pos="2880"/>
        <w:tab w:val="left" w:pos="3600"/>
        <w:tab w:val="left" w:pos="4320"/>
        <w:tab w:val="left" w:pos="5040"/>
        <w:tab w:val="left" w:pos="5760"/>
        <w:tab w:val="left" w:pos="6480"/>
      </w:tabs>
      <w:spacing w:after="144"/>
      <w:ind w:left="2520" w:hanging="360"/>
      <w:outlineLvl w:val="0"/>
    </w:pPr>
    <w:rPr>
      <w:b/>
    </w:rPr>
  </w:style>
  <w:style w:type="paragraph" w:styleId="Heading2">
    <w:name w:val="heading 2"/>
    <w:basedOn w:val="normal0"/>
    <w:next w:val="normal0"/>
    <w:pPr>
      <w:keepNext/>
      <w:keepLines/>
      <w:outlineLvl w:val="1"/>
    </w:pPr>
    <w:rPr>
      <w:b/>
      <w:sz w:val="20"/>
      <w:szCs w:val="20"/>
    </w:rPr>
  </w:style>
  <w:style w:type="paragraph" w:styleId="Heading3">
    <w:name w:val="heading 3"/>
    <w:basedOn w:val="normal0"/>
    <w:next w:val="normal0"/>
    <w:pPr>
      <w:keepNext/>
      <w:keepLines/>
      <w:outlineLvl w:val="2"/>
    </w:pPr>
    <w:rPr>
      <w:rFonts w:ascii="FujiyamaExtraBold" w:eastAsia="FujiyamaExtraBold" w:hAnsi="FujiyamaExtraBold" w:cs="FujiyamaExtraBold"/>
      <w:b/>
      <w:sz w:val="36"/>
      <w:szCs w:val="36"/>
    </w:rPr>
  </w:style>
  <w:style w:type="paragraph" w:styleId="Heading4">
    <w:name w:val="heading 4"/>
    <w:basedOn w:val="normal0"/>
    <w:next w:val="normal0"/>
    <w:pPr>
      <w:keepNext/>
      <w:keepLines/>
      <w:outlineLvl w:val="3"/>
    </w:pPr>
    <w:rPr>
      <w:b/>
      <w:sz w:val="28"/>
      <w:szCs w:val="28"/>
    </w:rPr>
  </w:style>
  <w:style w:type="paragraph" w:styleId="Heading5">
    <w:name w:val="heading 5"/>
    <w:basedOn w:val="normal0"/>
    <w:next w:val="normal0"/>
    <w:pPr>
      <w:keepNext/>
      <w:keepLines/>
      <w:ind w:left="2160"/>
      <w:outlineLvl w:val="4"/>
    </w:pPr>
    <w:rPr>
      <w:b/>
      <w:sz w:val="28"/>
      <w:szCs w:val="28"/>
    </w:rPr>
  </w:style>
  <w:style w:type="paragraph" w:styleId="Heading6">
    <w:name w:val="heading 6"/>
    <w:basedOn w:val="normal0"/>
    <w:next w:val="normal0"/>
    <w:pPr>
      <w:keepNext/>
      <w:keepLines/>
      <w:tabs>
        <w:tab w:val="left" w:pos="720"/>
        <w:tab w:val="left" w:pos="1080"/>
      </w:tabs>
      <w:ind w:left="720" w:hanging="360"/>
      <w:outlineLvl w:val="5"/>
    </w:pPr>
    <w:rPr>
      <w:rFonts w:ascii="Helvetica Neue" w:eastAsia="Helvetica Neue" w:hAnsi="Helvetica Neue" w:cs="Helvetica Neue"/>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jc w:val="center"/>
    </w:pPr>
    <w:rPr>
      <w:b/>
      <w:sz w:val="28"/>
      <w:szCs w:val="28"/>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9F58AB"/>
    <w:pPr>
      <w:tabs>
        <w:tab w:val="center" w:pos="4320"/>
        <w:tab w:val="right" w:pos="8640"/>
      </w:tabs>
    </w:pPr>
  </w:style>
  <w:style w:type="character" w:customStyle="1" w:styleId="HeaderChar">
    <w:name w:val="Header Char"/>
    <w:basedOn w:val="DefaultParagraphFont"/>
    <w:link w:val="Header"/>
    <w:uiPriority w:val="99"/>
    <w:rsid w:val="009F58AB"/>
  </w:style>
  <w:style w:type="paragraph" w:styleId="Footer">
    <w:name w:val="footer"/>
    <w:basedOn w:val="Normal"/>
    <w:link w:val="FooterChar"/>
    <w:uiPriority w:val="99"/>
    <w:unhideWhenUsed/>
    <w:rsid w:val="009F58AB"/>
    <w:pPr>
      <w:tabs>
        <w:tab w:val="center" w:pos="4320"/>
        <w:tab w:val="right" w:pos="8640"/>
      </w:tabs>
    </w:pPr>
  </w:style>
  <w:style w:type="character" w:customStyle="1" w:styleId="FooterChar">
    <w:name w:val="Footer Char"/>
    <w:basedOn w:val="DefaultParagraphFont"/>
    <w:link w:val="Footer"/>
    <w:uiPriority w:val="99"/>
    <w:rsid w:val="009F58AB"/>
  </w:style>
  <w:style w:type="character" w:styleId="PageNumber">
    <w:name w:val="page number"/>
    <w:basedOn w:val="DefaultParagraphFont"/>
    <w:uiPriority w:val="99"/>
    <w:semiHidden/>
    <w:unhideWhenUsed/>
    <w:rsid w:val="009F58AB"/>
  </w:style>
  <w:style w:type="paragraph" w:styleId="BalloonText">
    <w:name w:val="Balloon Text"/>
    <w:basedOn w:val="Normal"/>
    <w:link w:val="BalloonTextChar"/>
    <w:uiPriority w:val="99"/>
    <w:semiHidden/>
    <w:unhideWhenUsed/>
    <w:rsid w:val="009F58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58AB"/>
    <w:rPr>
      <w:rFonts w:ascii="Lucida Grande" w:hAnsi="Lucida Grande" w:cs="Lucida Grande"/>
      <w:sz w:val="18"/>
      <w:szCs w:val="18"/>
    </w:rPr>
  </w:style>
  <w:style w:type="paragraph" w:styleId="FootnoteText">
    <w:name w:val="footnote text"/>
    <w:basedOn w:val="Normal"/>
    <w:link w:val="FootnoteTextChar"/>
    <w:uiPriority w:val="99"/>
    <w:unhideWhenUsed/>
    <w:rsid w:val="00380E88"/>
  </w:style>
  <w:style w:type="character" w:customStyle="1" w:styleId="FootnoteTextChar">
    <w:name w:val="Footnote Text Char"/>
    <w:basedOn w:val="DefaultParagraphFont"/>
    <w:link w:val="FootnoteText"/>
    <w:uiPriority w:val="99"/>
    <w:rsid w:val="00380E88"/>
  </w:style>
  <w:style w:type="character" w:styleId="FootnoteReference">
    <w:name w:val="footnote reference"/>
    <w:basedOn w:val="DefaultParagraphFont"/>
    <w:uiPriority w:val="99"/>
    <w:unhideWhenUsed/>
    <w:rsid w:val="00380E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7580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3.xml"/><Relationship Id="rId13" Type="http://schemas.openxmlformats.org/officeDocument/2006/relationships/hyperlink" Target="http://www.concordlawschool.edu" TargetMode="External"/><Relationship Id="rId14" Type="http://schemas.openxmlformats.org/officeDocument/2006/relationships/image" Target="media/image2.png"/><Relationship Id="rId15" Type="http://schemas.openxmlformats.org/officeDocument/2006/relationships/image" Target="media/image3.png"/><Relationship Id="rId16" Type="http://schemas.openxmlformats.org/officeDocument/2006/relationships/image" Target="media/image4.png"/><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martin.pritikin@kaplan.edu"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usatoday.com/story/news/2017/04/27/purdue-buys-kaplan-university/100990102/" TargetMode="External"/><Relationship Id="rId4" Type="http://schemas.openxmlformats.org/officeDocument/2006/relationships/hyperlink" Target="http://stfrancislaw.com/wp-content/uploads/StFrancisDisclosure2017.pdf" TargetMode="External"/><Relationship Id="rId5" Type="http://schemas.openxmlformats.org/officeDocument/2006/relationships/hyperlink" Target="http://stfrancislaw.com/academics/class-format/" TargetMode="External"/><Relationship Id="rId6" Type="http://schemas.openxmlformats.org/officeDocument/2006/relationships/hyperlink" Target="http://stfrancislaw.com/academics/pass-rates/" TargetMode="External"/><Relationship Id="rId7" Type="http://schemas.openxmlformats.org/officeDocument/2006/relationships/hyperlink" Target="https://www.concordlawschool.edu/assets/documents/business-and-professions-code-6061.7-disclosure.pdf" TargetMode="External"/><Relationship Id="rId1" Type="http://schemas.openxmlformats.org/officeDocument/2006/relationships/hyperlink" Target="https://www.concordlawschool.edu/assets/documents/business-and-professions-code-6061.7-disclosure.pdf" TargetMode="External"/><Relationship Id="rId2" Type="http://schemas.openxmlformats.org/officeDocument/2006/relationships/hyperlink" Target="https://www.usnews.com/best-colleges/purdue-1825/ranking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21</Pages>
  <Words>9101</Words>
  <Characters>51879</Characters>
  <Application>Microsoft Macintosh Word</Application>
  <DocSecurity>0</DocSecurity>
  <Lines>432</Lines>
  <Paragraphs>121</Paragraphs>
  <ScaleCrop>false</ScaleCrop>
  <Company/>
  <LinksUpToDate>false</LinksUpToDate>
  <CharactersWithSpaces>60859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Pritikin</cp:lastModifiedBy>
  <cp:revision>6</cp:revision>
  <dcterms:created xsi:type="dcterms:W3CDTF">2017-06-23T14:04:00Z</dcterms:created>
  <dcterms:modified xsi:type="dcterms:W3CDTF">2017-06-23T17:10:00Z</dcterms:modified>
</cp:coreProperties>
</file>