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2D" w:rsidRPr="001539FC" w:rsidRDefault="007A3AE7" w:rsidP="00796B2D">
      <w:pPr>
        <w:spacing w:line="276" w:lineRule="auto"/>
        <w:jc w:val="center"/>
        <w:rPr>
          <w:rFonts w:ascii="Century" w:eastAsia="Times New Roman" w:hAnsi="Century" w:cs="Times New Roman"/>
          <w:b/>
          <w:sz w:val="28"/>
          <w:szCs w:val="28"/>
        </w:rPr>
      </w:pPr>
      <w:bookmarkStart w:id="0" w:name="_GoBack"/>
      <w:bookmarkEnd w:id="0"/>
      <w:r>
        <w:rPr>
          <w:rFonts w:ascii="Century" w:eastAsia="Times New Roman" w:hAnsi="Century" w:cs="Times New Roman"/>
          <w:b/>
          <w:sz w:val="28"/>
          <w:szCs w:val="28"/>
        </w:rPr>
        <w:t xml:space="preserve">Proposed </w:t>
      </w:r>
      <w:r w:rsidR="001B7BAB">
        <w:rPr>
          <w:rFonts w:ascii="Century" w:eastAsia="Times New Roman" w:hAnsi="Century" w:cs="Times New Roman"/>
          <w:b/>
          <w:sz w:val="28"/>
          <w:szCs w:val="28"/>
        </w:rPr>
        <w:t xml:space="preserve">Rule </w:t>
      </w:r>
      <w:r>
        <w:rPr>
          <w:rFonts w:ascii="Century" w:eastAsia="Times New Roman" w:hAnsi="Century" w:cs="Times New Roman"/>
          <w:b/>
          <w:sz w:val="28"/>
          <w:szCs w:val="28"/>
        </w:rPr>
        <w:t>Amendments</w:t>
      </w:r>
      <w:r w:rsidR="001B7BAB">
        <w:rPr>
          <w:rFonts w:ascii="Century" w:eastAsia="Times New Roman" w:hAnsi="Century" w:cs="Times New Roman"/>
          <w:b/>
          <w:sz w:val="28"/>
          <w:szCs w:val="28"/>
        </w:rPr>
        <w:t xml:space="preserve"> (</w:t>
      </w:r>
      <w:r w:rsidR="00A92CF3">
        <w:rPr>
          <w:rFonts w:ascii="Century" w:eastAsia="Times New Roman" w:hAnsi="Century" w:cs="Times New Roman"/>
          <w:b/>
          <w:sz w:val="28"/>
          <w:szCs w:val="28"/>
        </w:rPr>
        <w:t>clean</w:t>
      </w:r>
      <w:r w:rsidR="001B7BAB">
        <w:rPr>
          <w:rFonts w:ascii="Century" w:eastAsia="Times New Roman" w:hAnsi="Century" w:cs="Times New Roman"/>
          <w:b/>
          <w:sz w:val="28"/>
          <w:szCs w:val="28"/>
        </w:rPr>
        <w:t xml:space="preserve"> copy)</w:t>
      </w:r>
    </w:p>
    <w:p w:rsidR="00796B2D" w:rsidRPr="001539FC" w:rsidRDefault="00796B2D" w:rsidP="00796B2D">
      <w:pPr>
        <w:spacing w:line="276" w:lineRule="auto"/>
        <w:jc w:val="center"/>
        <w:rPr>
          <w:rFonts w:ascii="Century" w:eastAsia="Times New Roman" w:hAnsi="Century" w:cs="Times New Roman"/>
          <w:b/>
          <w:sz w:val="28"/>
          <w:szCs w:val="28"/>
        </w:rPr>
      </w:pPr>
    </w:p>
    <w:p w:rsidR="00796B2D"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proofErr w:type="gramStart"/>
      <w:r w:rsidRPr="001539FC">
        <w:rPr>
          <w:rFonts w:ascii="Century" w:hAnsi="Century" w:cs="Times New Roman"/>
          <w:b/>
          <w:sz w:val="28"/>
          <w:szCs w:val="28"/>
        </w:rPr>
        <w:t>Rule 4.</w:t>
      </w:r>
      <w:proofErr w:type="gramEnd"/>
      <w:r w:rsidRPr="001539FC">
        <w:rPr>
          <w:rFonts w:ascii="Century" w:hAnsi="Century" w:cs="Times New Roman"/>
          <w:b/>
          <w:sz w:val="28"/>
          <w:szCs w:val="28"/>
        </w:rPr>
        <w:tab/>
        <w:t>Summons</w:t>
      </w:r>
    </w:p>
    <w:p w:rsidR="00DC7CEC" w:rsidRPr="001539FC" w:rsidRDefault="00DC7CEC" w:rsidP="00A0221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DC7CEC" w:rsidRPr="001539FC" w:rsidRDefault="00DC7CEC" w:rsidP="00796B2D">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p>
    <w:p w:rsidR="00796B2D" w:rsidRPr="001539FC"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sidRPr="001539FC">
        <w:rPr>
          <w:rFonts w:ascii="Century" w:hAnsi="Century" w:cs="Times New Roman"/>
          <w:b/>
          <w:sz w:val="28"/>
          <w:szCs w:val="28"/>
        </w:rPr>
        <w:t>(f)</w:t>
      </w:r>
      <w:r w:rsidRPr="001539FC">
        <w:rPr>
          <w:rFonts w:ascii="Century" w:hAnsi="Century" w:cs="Times New Roman"/>
          <w:b/>
          <w:sz w:val="28"/>
          <w:szCs w:val="28"/>
        </w:rPr>
        <w:tab/>
        <w:t xml:space="preserve">Accepting or Waiving Service; Voluntary Appearance.  </w:t>
      </w:r>
      <w:r w:rsidRPr="001539FC">
        <w:rPr>
          <w:rFonts w:ascii="Century" w:hAnsi="Century" w:cs="Times New Roman"/>
          <w:sz w:val="28"/>
          <w:szCs w:val="28"/>
        </w:rPr>
        <w:t>There are two ways to accomplish service with the assent of the served party—waiver and acceptance. A party also may voluntarily appear without being served.</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Waiving Service.  </w:t>
      </w:r>
      <w:r w:rsidRPr="001539FC">
        <w:rPr>
          <w:rFonts w:ascii="Century" w:eastAsia="Times New Roman" w:hAnsi="Century" w:cs="Times New Roman"/>
          <w:sz w:val="28"/>
          <w:szCs w:val="28"/>
        </w:rPr>
        <w:t>A party subject to service under Rule 4.1 or 4.2 may waive issuance or service. The waiver of service must be in writing, signed by that party or that party’s authorized agent or attorney, and be filed in the action. A party who waives service receives additional time to serve a responsive pleading, as provided in Rule 12(a</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1)(A)(ii).</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Accepting Service.  </w:t>
      </w:r>
      <w:r w:rsidRPr="001539FC">
        <w:rPr>
          <w:rFonts w:ascii="Century" w:eastAsia="Times New Roman" w:hAnsi="Century" w:cs="Times New Roman"/>
          <w:sz w:val="28"/>
          <w:szCs w:val="28"/>
        </w:rPr>
        <w:t>A party subject to service under Rule 4.1 or 4.2 may accept service. The acceptance of service must be in writing, signed by that party or that party’s authorized agent or attorney, and be filed in the action. A party who accepts service does not receive the additional time to serve a responsive pleading under Rule 12(a</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 xml:space="preserve">1)(A)(ii). </w:t>
      </w: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b/>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Voluntary Appearance.</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In Open Court.  </w:t>
      </w:r>
      <w:r w:rsidRPr="001539FC">
        <w:rPr>
          <w:rFonts w:ascii="Century" w:eastAsia="Times New Roman" w:hAnsi="Century" w:cs="Times New Roman"/>
          <w:sz w:val="28"/>
          <w:szCs w:val="28"/>
        </w:rPr>
        <w:t xml:space="preserve">A party on whom service is required may, in person or by an attorney or authorized agent, enter an appearance in open court. The appearance must be noted by the clerk on the docket and entered in the minutes.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By Responsive Pleading.  </w:t>
      </w:r>
      <w:r w:rsidRPr="001539FC">
        <w:rPr>
          <w:rFonts w:ascii="Century" w:eastAsia="Times New Roman" w:hAnsi="Century" w:cs="Times New Roman"/>
          <w:sz w:val="28"/>
          <w:szCs w:val="28"/>
        </w:rPr>
        <w:t xml:space="preserve">The filing of a pleading responsive to a pleading allowed under </w:t>
      </w:r>
      <w:r w:rsidRPr="001539FC">
        <w:rPr>
          <w:rFonts w:ascii="Century" w:hAnsi="Century" w:cs="Times New Roman"/>
          <w:sz w:val="28"/>
          <w:szCs w:val="28"/>
        </w:rPr>
        <w:t>Rule 7</w:t>
      </w:r>
      <w:r w:rsidRPr="001539FC">
        <w:rPr>
          <w:rFonts w:ascii="Century" w:eastAsia="Times New Roman" w:hAnsi="Century" w:cs="Times New Roman"/>
          <w:sz w:val="28"/>
          <w:szCs w:val="28"/>
        </w:rPr>
        <w:t xml:space="preserve"> constitutes an appearance by the party.</w:t>
      </w:r>
    </w:p>
    <w:p w:rsidR="00796B2D" w:rsidRPr="001539FC" w:rsidRDefault="00796B2D" w:rsidP="00796B2D">
      <w:pPr>
        <w:spacing w:line="276" w:lineRule="auto"/>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(4)</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 xml:space="preserve">Effect.  </w:t>
      </w:r>
      <w:r w:rsidRPr="001539FC">
        <w:rPr>
          <w:rFonts w:ascii="Century" w:eastAsia="Times New Roman" w:hAnsi="Century" w:cs="Times New Roman"/>
          <w:sz w:val="28"/>
          <w:szCs w:val="28"/>
        </w:rPr>
        <w:t>Waiver, acceptance, and appearance under (f</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1), (f)(2), and (f)(3) have the same force and effect as if a summons had been issued and served.</w:t>
      </w:r>
    </w:p>
    <w:p w:rsidR="00796B2D" w:rsidRDefault="00796B2D" w:rsidP="00796B2D">
      <w:pPr>
        <w:spacing w:line="276" w:lineRule="auto"/>
        <w:ind w:left="778" w:hanging="389"/>
        <w:jc w:val="both"/>
        <w:rPr>
          <w:rFonts w:ascii="Century" w:eastAsia="Times New Roman" w:hAnsi="Century" w:cs="Times New Roman"/>
          <w:sz w:val="28"/>
          <w:szCs w:val="28"/>
        </w:rPr>
        <w:sectPr w:rsidR="00796B2D" w:rsidSect="003E360E">
          <w:headerReference w:type="default" r:id="rId8"/>
          <w:headerReference w:type="first" r:id="rId9"/>
          <w:footerReference w:type="first" r:id="rId10"/>
          <w:pgSz w:w="12240" w:h="15840"/>
          <w:pgMar w:top="1440" w:right="1440" w:bottom="1440" w:left="1440" w:header="720" w:footer="720" w:gutter="0"/>
          <w:cols w:space="720"/>
          <w:docGrid w:linePitch="360"/>
        </w:sectPr>
      </w:pPr>
    </w:p>
    <w:p w:rsidR="00796B2D" w:rsidRPr="001539FC" w:rsidRDefault="00796B2D" w:rsidP="00796B2D">
      <w:pPr>
        <w:keepNext/>
        <w:tabs>
          <w:tab w:val="left" w:pos="1238"/>
        </w:tabs>
        <w:autoSpaceDE w:val="0"/>
        <w:autoSpaceDN w:val="0"/>
        <w:adjustRightInd w:val="0"/>
        <w:spacing w:after="120"/>
        <w:ind w:left="1238" w:hanging="1238"/>
        <w:jc w:val="both"/>
        <w:rPr>
          <w:rFonts w:ascii="Century" w:hAnsi="Century" w:cs="Times New Roman"/>
          <w:b/>
          <w:sz w:val="28"/>
          <w:szCs w:val="28"/>
        </w:rPr>
      </w:pPr>
      <w:proofErr w:type="gramStart"/>
      <w:r w:rsidRPr="001539FC">
        <w:rPr>
          <w:rFonts w:ascii="Century" w:hAnsi="Century" w:cs="Times New Roman"/>
          <w:b/>
          <w:sz w:val="28"/>
          <w:szCs w:val="28"/>
        </w:rPr>
        <w:lastRenderedPageBreak/>
        <w:t>Rule 4.2.</w:t>
      </w:r>
      <w:proofErr w:type="gramEnd"/>
      <w:r w:rsidRPr="001539FC">
        <w:rPr>
          <w:rFonts w:ascii="Century" w:hAnsi="Century" w:cs="Times New Roman"/>
          <w:b/>
          <w:sz w:val="28"/>
          <w:szCs w:val="28"/>
        </w:rPr>
        <w:tab/>
        <w:t xml:space="preserve">Service of Process </w:t>
      </w:r>
      <w:proofErr w:type="gramStart"/>
      <w:r w:rsidRPr="001539FC">
        <w:rPr>
          <w:rFonts w:ascii="Century" w:hAnsi="Century" w:cs="Times New Roman"/>
          <w:b/>
          <w:sz w:val="28"/>
          <w:szCs w:val="28"/>
        </w:rPr>
        <w:t>Outside</w:t>
      </w:r>
      <w:proofErr w:type="gramEnd"/>
      <w:r w:rsidRPr="001539FC">
        <w:rPr>
          <w:rFonts w:ascii="Century" w:hAnsi="Century" w:cs="Times New Roman"/>
          <w:b/>
          <w:sz w:val="28"/>
          <w:szCs w:val="28"/>
        </w:rPr>
        <w:t xml:space="preserve"> Arizona</w:t>
      </w:r>
    </w:p>
    <w:p w:rsidR="00796B2D" w:rsidRPr="001539FC" w:rsidRDefault="00796B2D" w:rsidP="00A0221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p>
    <w:p w:rsidR="00796B2D" w:rsidRPr="001539FC" w:rsidRDefault="00796B2D" w:rsidP="00796B2D">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(b)</w:t>
      </w:r>
      <w:r w:rsidRPr="001539FC">
        <w:rPr>
          <w:rFonts w:ascii="Century" w:hAnsi="Century" w:cs="Times New Roman"/>
          <w:b/>
          <w:bCs/>
          <w:sz w:val="28"/>
          <w:szCs w:val="28"/>
        </w:rPr>
        <w:tab/>
        <w:t xml:space="preserve">Direct Service.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Generally.  </w:t>
      </w:r>
      <w:r w:rsidRPr="001539FC">
        <w:rPr>
          <w:rFonts w:ascii="Century" w:hAnsi="Century" w:cs="Times New Roman"/>
          <w:sz w:val="28"/>
          <w:szCs w:val="28"/>
        </w:rPr>
        <w:t xml:space="preserve">A party may serve process outside Arizona, but within the United States, in the same manner as provided in Rules 4.1(d) through </w:t>
      </w:r>
      <w:r w:rsidRPr="00E12937">
        <w:rPr>
          <w:rFonts w:ascii="Century" w:hAnsi="Century" w:cs="Times New Roman"/>
          <w:sz w:val="28"/>
          <w:szCs w:val="28"/>
        </w:rPr>
        <w:t>(j)</w:t>
      </w:r>
      <w:r w:rsidRPr="001539FC">
        <w:rPr>
          <w:rFonts w:ascii="Century" w:hAnsi="Century" w:cs="Times New Roman"/>
          <w:sz w:val="28"/>
          <w:szCs w:val="28"/>
        </w:rPr>
        <w:t>.</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Who May </w:t>
      </w:r>
      <w:proofErr w:type="gramStart"/>
      <w:r w:rsidRPr="001539FC">
        <w:rPr>
          <w:rFonts w:ascii="Century" w:hAnsi="Century" w:cs="Times New Roman"/>
          <w:b/>
          <w:i/>
          <w:sz w:val="28"/>
          <w:szCs w:val="28"/>
        </w:rPr>
        <w:t>Serve.</w:t>
      </w:r>
      <w:proofErr w:type="gramEnd"/>
      <w:r w:rsidRPr="001539FC">
        <w:rPr>
          <w:rFonts w:ascii="Century" w:hAnsi="Century" w:cs="Times New Roman"/>
          <w:b/>
          <w:i/>
          <w:sz w:val="28"/>
          <w:szCs w:val="28"/>
        </w:rPr>
        <w:t xml:space="preserve">  </w:t>
      </w:r>
      <w:r w:rsidRPr="001539FC">
        <w:rPr>
          <w:rFonts w:ascii="Century" w:hAnsi="Century" w:cs="Times New Roman"/>
          <w:sz w:val="28"/>
          <w:szCs w:val="28"/>
        </w:rPr>
        <w:t>Service must be made by a person who is authorized to serve process under the law of the state where service is made.</w:t>
      </w:r>
    </w:p>
    <w:p w:rsidR="00796B2D" w:rsidRPr="001539FC" w:rsidRDefault="00796B2D" w:rsidP="00796B2D">
      <w:pPr>
        <w:spacing w:line="276" w:lineRule="auto"/>
        <w:ind w:left="778" w:hanging="389"/>
        <w:jc w:val="both"/>
        <w:rPr>
          <w:rFonts w:ascii="Century" w:hAnsi="Century" w:cs="Times New Roman"/>
          <w:sz w:val="28"/>
          <w:szCs w:val="28"/>
        </w:rPr>
      </w:pPr>
      <w:r w:rsidRPr="001539FC">
        <w:rPr>
          <w:rFonts w:ascii="Century" w:hAnsi="Century" w:cs="Times New Roman"/>
          <w:b/>
          <w:sz w:val="28"/>
          <w:szCs w:val="28"/>
        </w:rPr>
        <w:t>(3)</w:t>
      </w:r>
      <w:r w:rsidRPr="001539FC">
        <w:rPr>
          <w:rFonts w:ascii="Century" w:hAnsi="Century" w:cs="Times New Roman"/>
          <w:b/>
          <w:sz w:val="28"/>
          <w:szCs w:val="28"/>
        </w:rPr>
        <w:tab/>
      </w:r>
      <w:r w:rsidRPr="001539FC">
        <w:rPr>
          <w:rFonts w:ascii="Century" w:hAnsi="Century" w:cs="Times New Roman"/>
          <w:b/>
          <w:i/>
          <w:sz w:val="28"/>
          <w:szCs w:val="28"/>
        </w:rPr>
        <w:t xml:space="preserve">Effective Date of Service.  </w:t>
      </w:r>
      <w:r w:rsidRPr="001539FC">
        <w:rPr>
          <w:rFonts w:ascii="Century" w:hAnsi="Century" w:cs="Times New Roman"/>
          <w:sz w:val="28"/>
          <w:szCs w:val="28"/>
        </w:rPr>
        <w:t>Service is complete when made, and the time period under Rule 4.2(m) starts to run on that date.</w:t>
      </w:r>
    </w:p>
    <w:p w:rsidR="00796B2D" w:rsidRPr="001539FC" w:rsidRDefault="00796B2D" w:rsidP="00796B2D">
      <w:pPr>
        <w:spacing w:line="276" w:lineRule="auto"/>
        <w:jc w:val="both"/>
        <w:rPr>
          <w:rFonts w:ascii="Century" w:hAnsi="Century" w:cs="Times New Roman"/>
          <w:b/>
          <w:sz w:val="28"/>
          <w:szCs w:val="28"/>
        </w:rPr>
      </w:pPr>
      <w:r w:rsidRPr="001539FC">
        <w:rPr>
          <w:rFonts w:ascii="Century" w:hAnsi="Century" w:cs="Times New Roman"/>
          <w:b/>
          <w:sz w:val="28"/>
          <w:szCs w:val="28"/>
        </w:rPr>
        <w:t>. . .</w:t>
      </w:r>
    </w:p>
    <w:p w:rsidR="00796B2D" w:rsidRPr="001539FC" w:rsidRDefault="00796B2D" w:rsidP="00796B2D">
      <w:pPr>
        <w:spacing w:after="120" w:line="276" w:lineRule="auto"/>
        <w:jc w:val="both"/>
        <w:rPr>
          <w:rFonts w:ascii="Century" w:hAnsi="Century" w:cs="Times New Roman"/>
          <w:b/>
          <w:sz w:val="28"/>
          <w:szCs w:val="28"/>
        </w:rPr>
      </w:pP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r w:rsidRPr="001539FC">
        <w:rPr>
          <w:rFonts w:ascii="Century" w:hAnsi="Century" w:cs="Times New Roman"/>
          <w:b/>
          <w:bCs/>
          <w:sz w:val="28"/>
          <w:szCs w:val="28"/>
        </w:rPr>
        <w:t>(i)</w:t>
      </w:r>
      <w:r w:rsidRPr="001539FC">
        <w:rPr>
          <w:rFonts w:ascii="Century" w:hAnsi="Century" w:cs="Times New Roman"/>
          <w:b/>
          <w:bCs/>
          <w:sz w:val="28"/>
          <w:szCs w:val="28"/>
        </w:rPr>
        <w:tab/>
        <w:t xml:space="preserve">Serving an Individual in a Foreign Country.  </w:t>
      </w:r>
      <w:r w:rsidRPr="001539FC">
        <w:rPr>
          <w:rFonts w:ascii="Century" w:hAnsi="Century" w:cs="Times New Roman"/>
          <w:sz w:val="28"/>
          <w:szCs w:val="28"/>
        </w:rPr>
        <w:t xml:space="preserve">Unless federal law provides otherwise, an individual—other than a minor, an incompetent person, or a person whose waiver has been filed under Rule 4.2(d)—may be served at a place not within any judicial district of the United States: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00AF5A59">
        <w:rPr>
          <w:rFonts w:ascii="Century" w:hAnsi="Century" w:cs="Times New Roman"/>
          <w:b/>
          <w:sz w:val="28"/>
          <w:szCs w:val="28"/>
        </w:rPr>
        <w:t xml:space="preserve"> </w:t>
      </w:r>
      <w:r w:rsidRPr="001539FC">
        <w:rPr>
          <w:rFonts w:ascii="Century" w:hAnsi="Century" w:cs="Times New Roman"/>
          <w:sz w:val="28"/>
          <w:szCs w:val="28"/>
        </w:rPr>
        <w:t>by any internationally agreed means of service that is reasonably calculated to give notice, such as those authorized by the Hague Convention on the Service Abroad of Judicial and Extrajudicial Documents;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00AF5A59">
        <w:rPr>
          <w:rFonts w:ascii="Century" w:hAnsi="Century" w:cs="Times New Roman"/>
          <w:b/>
          <w:sz w:val="28"/>
          <w:szCs w:val="28"/>
        </w:rPr>
        <w:t xml:space="preserve"> </w:t>
      </w:r>
      <w:proofErr w:type="gramStart"/>
      <w:r w:rsidRPr="001539FC">
        <w:rPr>
          <w:rFonts w:ascii="Century" w:hAnsi="Century" w:cs="Times New Roman"/>
          <w:sz w:val="28"/>
          <w:szCs w:val="28"/>
        </w:rPr>
        <w:t>if</w:t>
      </w:r>
      <w:proofErr w:type="gramEnd"/>
      <w:r w:rsidRPr="001539FC">
        <w:rPr>
          <w:rFonts w:ascii="Century" w:hAnsi="Century" w:cs="Times New Roman"/>
          <w:sz w:val="28"/>
          <w:szCs w:val="28"/>
        </w:rPr>
        <w:t xml:space="preserve"> there is no internationally agreed means, or if an international agreement allows but does not specify other means, by a method that is reasonably calculated to give notice:</w:t>
      </w:r>
    </w:p>
    <w:p w:rsidR="00796B2D" w:rsidRPr="001539FC" w:rsidRDefault="00796B2D" w:rsidP="00AF5A59">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00AF5A59">
        <w:rPr>
          <w:rFonts w:ascii="Century" w:hAnsi="Century" w:cs="Times New Roman"/>
          <w:b/>
          <w:sz w:val="28"/>
          <w:szCs w:val="28"/>
        </w:rPr>
        <w:t xml:space="preserve"> </w:t>
      </w:r>
      <w:proofErr w:type="gramStart"/>
      <w:r w:rsidRPr="001539FC">
        <w:rPr>
          <w:rFonts w:ascii="Century" w:hAnsi="Century" w:cs="Times New Roman"/>
          <w:sz w:val="28"/>
          <w:szCs w:val="28"/>
        </w:rPr>
        <w:t>as</w:t>
      </w:r>
      <w:proofErr w:type="gramEnd"/>
      <w:r w:rsidRPr="001539FC">
        <w:rPr>
          <w:rFonts w:ascii="Century" w:hAnsi="Century" w:cs="Times New Roman"/>
          <w:sz w:val="28"/>
          <w:szCs w:val="28"/>
        </w:rPr>
        <w:t xml:space="preserve"> set forth by the foreign country’s law for service in that country in an action in its courts of general jurisdiction;</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as</w:t>
      </w:r>
      <w:proofErr w:type="gramEnd"/>
      <w:r w:rsidRPr="001539FC">
        <w:rPr>
          <w:rFonts w:ascii="Century" w:hAnsi="Century" w:cs="Times New Roman"/>
          <w:sz w:val="28"/>
          <w:szCs w:val="28"/>
        </w:rPr>
        <w:t xml:space="preserve"> the foreign authority directs in response to a letter </w:t>
      </w:r>
      <w:proofErr w:type="spellStart"/>
      <w:r w:rsidRPr="001539FC">
        <w:rPr>
          <w:rFonts w:ascii="Century" w:hAnsi="Century" w:cs="Times New Roman"/>
          <w:sz w:val="28"/>
          <w:szCs w:val="28"/>
        </w:rPr>
        <w:t>rogatory</w:t>
      </w:r>
      <w:proofErr w:type="spellEnd"/>
      <w:r w:rsidRPr="001539FC">
        <w:rPr>
          <w:rFonts w:ascii="Century" w:hAnsi="Century" w:cs="Times New Roman"/>
          <w:sz w:val="28"/>
          <w:szCs w:val="28"/>
        </w:rPr>
        <w:t xml:space="preserve"> or letter of request;</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unless</w:t>
      </w:r>
      <w:proofErr w:type="gramEnd"/>
      <w:r w:rsidRPr="001539FC">
        <w:rPr>
          <w:rFonts w:ascii="Century" w:hAnsi="Century" w:cs="Times New Roman"/>
          <w:sz w:val="28"/>
          <w:szCs w:val="28"/>
        </w:rPr>
        <w:t xml:space="preserve"> prohibited by the foreign country’s law, by:</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368" w:hanging="331"/>
        <w:jc w:val="both"/>
        <w:rPr>
          <w:rFonts w:ascii="Century" w:hAnsi="Century" w:cs="Times New Roman"/>
          <w:sz w:val="28"/>
          <w:szCs w:val="28"/>
        </w:rPr>
      </w:pPr>
      <w:r w:rsidRPr="001539FC">
        <w:rPr>
          <w:rFonts w:ascii="Century" w:hAnsi="Century" w:cs="Times New Roman"/>
          <w:b/>
          <w:sz w:val="28"/>
          <w:szCs w:val="28"/>
        </w:rPr>
        <w:t>(i)</w:t>
      </w:r>
      <w:r w:rsidRPr="001539FC">
        <w:rPr>
          <w:rFonts w:ascii="Century" w:hAnsi="Century" w:cs="Times New Roman"/>
          <w:b/>
          <w:sz w:val="28"/>
          <w:szCs w:val="28"/>
        </w:rPr>
        <w:tab/>
      </w:r>
      <w:proofErr w:type="gramStart"/>
      <w:r w:rsidRPr="001539FC">
        <w:rPr>
          <w:rFonts w:ascii="Century" w:hAnsi="Century" w:cs="Times New Roman"/>
          <w:sz w:val="28"/>
          <w:szCs w:val="28"/>
        </w:rPr>
        <w:t>delivering</w:t>
      </w:r>
      <w:proofErr w:type="gramEnd"/>
      <w:r w:rsidRPr="001539FC">
        <w:rPr>
          <w:rFonts w:ascii="Century" w:hAnsi="Century" w:cs="Times New Roman"/>
          <w:sz w:val="28"/>
          <w:szCs w:val="28"/>
        </w:rPr>
        <w:t xml:space="preserve"> a copy of the summons and of the pleading being served to the individual personally; or</w:t>
      </w:r>
    </w:p>
    <w:p w:rsidR="00796B2D" w:rsidRPr="001539FC" w:rsidRDefault="00796B2D" w:rsidP="00AF5A59">
      <w:pPr>
        <w:autoSpaceDE w:val="0"/>
        <w:autoSpaceDN w:val="0"/>
        <w:adjustRightInd w:val="0"/>
        <w:spacing w:after="120"/>
        <w:ind w:left="1440" w:hanging="403"/>
        <w:jc w:val="both"/>
        <w:rPr>
          <w:rFonts w:ascii="Century" w:hAnsi="Century" w:cs="Times New Roman"/>
          <w:sz w:val="28"/>
          <w:szCs w:val="28"/>
        </w:rPr>
      </w:pPr>
      <w:r w:rsidRPr="001539FC">
        <w:rPr>
          <w:rFonts w:ascii="Century" w:hAnsi="Century" w:cs="Times New Roman"/>
          <w:b/>
          <w:sz w:val="28"/>
          <w:szCs w:val="28"/>
        </w:rPr>
        <w:lastRenderedPageBreak/>
        <w:t>(ii)</w:t>
      </w:r>
      <w:r w:rsidR="00AF5A59">
        <w:rPr>
          <w:rFonts w:ascii="Century" w:hAnsi="Century" w:cs="Times New Roman"/>
          <w:b/>
          <w:sz w:val="28"/>
          <w:szCs w:val="28"/>
        </w:rPr>
        <w:t xml:space="preserve"> </w:t>
      </w:r>
      <w:proofErr w:type="gramStart"/>
      <w:r w:rsidRPr="001539FC">
        <w:rPr>
          <w:rFonts w:ascii="Century" w:hAnsi="Century" w:cs="Times New Roman"/>
          <w:sz w:val="28"/>
          <w:szCs w:val="28"/>
        </w:rPr>
        <w:t>using</w:t>
      </w:r>
      <w:proofErr w:type="gramEnd"/>
      <w:r w:rsidRPr="001539FC">
        <w:rPr>
          <w:rFonts w:ascii="Century" w:hAnsi="Century" w:cs="Times New Roman"/>
          <w:sz w:val="28"/>
          <w:szCs w:val="28"/>
        </w:rPr>
        <w:t xml:space="preserve"> any form of mail that the clerk addresses and sends to the individual and that requires a signed receipt; or</w:t>
      </w:r>
    </w:p>
    <w:p w:rsidR="00796B2D" w:rsidRPr="001539FC" w:rsidRDefault="00796B2D" w:rsidP="00796B2D">
      <w:pPr>
        <w:keepNext/>
        <w:tabs>
          <w:tab w:val="left" w:pos="1051"/>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by</w:t>
      </w:r>
      <w:proofErr w:type="gramEnd"/>
      <w:r w:rsidRPr="001539FC">
        <w:rPr>
          <w:rFonts w:ascii="Century" w:hAnsi="Century" w:cs="Times New Roman"/>
          <w:sz w:val="28"/>
          <w:szCs w:val="28"/>
        </w:rPr>
        <w:t xml:space="preserve"> other means not prohibited by international agreement, as the court orders.</w:t>
      </w:r>
    </w:p>
    <w:p w:rsidR="00796B2D" w:rsidRDefault="00796B2D" w:rsidP="00796B2D">
      <w:pPr>
        <w:spacing w:after="200" w:line="276" w:lineRule="auto"/>
        <w:rPr>
          <w:rFonts w:ascii="Century" w:hAnsi="Century" w:cs="Times New Roman"/>
          <w:sz w:val="28"/>
          <w:szCs w:val="28"/>
        </w:rPr>
        <w:sectPr w:rsidR="00796B2D" w:rsidSect="00EF2653">
          <w:footerReference w:type="default" r:id="rId11"/>
          <w:footerReference w:type="first" r:id="rId12"/>
          <w:pgSz w:w="12240" w:h="15840"/>
          <w:pgMar w:top="1440" w:right="1440" w:bottom="1440" w:left="1440" w:header="720" w:footer="720" w:gutter="0"/>
          <w:cols w:space="720"/>
          <w:docGrid w:linePitch="360"/>
        </w:sectPr>
      </w:pPr>
    </w:p>
    <w:p w:rsidR="00796B2D" w:rsidRPr="001539FC" w:rsidRDefault="00796B2D" w:rsidP="00796B2D">
      <w:pPr>
        <w:keepNext/>
        <w:tabs>
          <w:tab w:val="left" w:pos="1051"/>
        </w:tabs>
        <w:spacing w:after="120"/>
        <w:ind w:left="1051" w:hanging="1051"/>
        <w:jc w:val="both"/>
        <w:rPr>
          <w:rFonts w:ascii="Century" w:hAnsi="Century" w:cs="Times New Roman"/>
          <w:b/>
          <w:sz w:val="28"/>
          <w:szCs w:val="28"/>
        </w:rPr>
      </w:pPr>
      <w:proofErr w:type="gramStart"/>
      <w:r w:rsidRPr="001539FC">
        <w:rPr>
          <w:rFonts w:ascii="Century" w:hAnsi="Century" w:cs="Times New Roman"/>
          <w:b/>
          <w:sz w:val="28"/>
          <w:szCs w:val="28"/>
        </w:rPr>
        <w:lastRenderedPageBreak/>
        <w:t>Rule 6.</w:t>
      </w:r>
      <w:proofErr w:type="gramEnd"/>
      <w:r w:rsidRPr="001539FC">
        <w:rPr>
          <w:rFonts w:ascii="Century" w:hAnsi="Century" w:cs="Times New Roman"/>
          <w:b/>
          <w:sz w:val="28"/>
          <w:szCs w:val="28"/>
        </w:rPr>
        <w:tab/>
        <w:t>Computing and Extending Time</w:t>
      </w:r>
    </w:p>
    <w:p w:rsidR="00796B2D" w:rsidRPr="001539FC" w:rsidRDefault="00796B2D" w:rsidP="00796B2D">
      <w:pPr>
        <w:tabs>
          <w:tab w:val="left" w:pos="389"/>
          <w:tab w:val="left" w:pos="605"/>
        </w:tabs>
        <w:spacing w:after="120"/>
        <w:ind w:left="389" w:hanging="389"/>
        <w:jc w:val="both"/>
        <w:rPr>
          <w:rFonts w:ascii="Century" w:hAnsi="Century" w:cs="Times New Roman"/>
          <w:b/>
          <w:sz w:val="28"/>
          <w:szCs w:val="28"/>
        </w:rPr>
      </w:pPr>
      <w:r w:rsidRPr="001539FC">
        <w:rPr>
          <w:rFonts w:ascii="Century" w:hAnsi="Century" w:cs="Times New Roman"/>
          <w:b/>
          <w:sz w:val="28"/>
          <w:szCs w:val="28"/>
        </w:rPr>
        <w:t>. . .</w:t>
      </w:r>
      <w:r w:rsidRPr="001539FC">
        <w:rPr>
          <w:rFonts w:ascii="Century" w:hAnsi="Century" w:cs="Times New Roman"/>
          <w:b/>
          <w:sz w:val="28"/>
          <w:szCs w:val="28"/>
        </w:rPr>
        <w:tab/>
      </w:r>
    </w:p>
    <w:p w:rsidR="00796B2D" w:rsidRPr="001539FC" w:rsidRDefault="00796B2D" w:rsidP="00796B2D">
      <w:pPr>
        <w:tabs>
          <w:tab w:val="left" w:pos="389"/>
          <w:tab w:val="left" w:pos="605"/>
        </w:tabs>
        <w:spacing w:after="120"/>
        <w:ind w:left="389" w:hanging="389"/>
        <w:jc w:val="both"/>
        <w:rPr>
          <w:rFonts w:ascii="Century" w:hAnsi="Century" w:cs="Times New Roman"/>
          <w:sz w:val="28"/>
          <w:szCs w:val="28"/>
        </w:rPr>
      </w:pPr>
    </w:p>
    <w:p w:rsidR="00796B2D" w:rsidRPr="00E12937" w:rsidRDefault="00796B2D" w:rsidP="00796B2D">
      <w:pPr>
        <w:spacing w:line="276" w:lineRule="auto"/>
        <w:ind w:left="389" w:hanging="389"/>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Pr="00E12937">
        <w:rPr>
          <w:rFonts w:ascii="Century" w:hAnsi="Century" w:cs="Times New Roman"/>
          <w:b/>
          <w:sz w:val="28"/>
          <w:szCs w:val="28"/>
        </w:rPr>
        <w:t>Minute Entries</w:t>
      </w:r>
      <w:r w:rsidR="009F77F3">
        <w:rPr>
          <w:rFonts w:ascii="Century" w:hAnsi="Century" w:cs="Times New Roman"/>
          <w:b/>
          <w:sz w:val="28"/>
          <w:szCs w:val="28"/>
        </w:rPr>
        <w:t>,</w:t>
      </w:r>
      <w:r w:rsidRPr="00E12937">
        <w:rPr>
          <w:rFonts w:ascii="Century" w:hAnsi="Century" w:cs="Times New Roman"/>
          <w:b/>
          <w:sz w:val="28"/>
          <w:szCs w:val="28"/>
        </w:rPr>
        <w:t xml:space="preserve"> Orders</w:t>
      </w:r>
      <w:r w:rsidR="009F77F3">
        <w:rPr>
          <w:rFonts w:ascii="Century" w:hAnsi="Century" w:cs="Times New Roman"/>
          <w:b/>
          <w:sz w:val="28"/>
          <w:szCs w:val="28"/>
        </w:rPr>
        <w:t>,</w:t>
      </w:r>
      <w:r w:rsidRPr="00E12937">
        <w:rPr>
          <w:rFonts w:ascii="Century" w:hAnsi="Century" w:cs="Times New Roman"/>
          <w:b/>
          <w:sz w:val="28"/>
          <w:szCs w:val="28"/>
        </w:rPr>
        <w:t xml:space="preserve"> and Other Court-Generated Documents.</w:t>
      </w:r>
      <w:r w:rsidRPr="00E12937">
        <w:rPr>
          <w:rFonts w:ascii="Century" w:hAnsi="Century" w:cs="Times New Roman"/>
          <w:sz w:val="28"/>
          <w:szCs w:val="28"/>
        </w:rPr>
        <w:t xml:space="preserve">  Notices, minute entries, orders, and other court-generated documents are entered on the date they are filed by the clerk. Unless the court orders otherwise, if an order or other court-generated document states that an act may or must be done within a specified time after the document is entered, the date the document is filed is “the day of the act, event or default” under Rule 6(a)(1).</w:t>
      </w:r>
    </w:p>
    <w:p w:rsidR="00796B2D" w:rsidRDefault="00796B2D" w:rsidP="00796B2D">
      <w:pPr>
        <w:spacing w:after="200" w:line="276" w:lineRule="auto"/>
        <w:rPr>
          <w:rFonts w:ascii="Century" w:hAnsi="Century" w:cs="Times New Roman"/>
          <w:sz w:val="28"/>
          <w:szCs w:val="28"/>
        </w:rPr>
        <w:sectPr w:rsidR="00796B2D" w:rsidSect="00AC6FC4">
          <w:footerReference w:type="first" r:id="rId13"/>
          <w:pgSz w:w="12240" w:h="15840"/>
          <w:pgMar w:top="1440" w:right="1440" w:bottom="1440" w:left="1440" w:header="720" w:footer="720" w:gutter="0"/>
          <w:cols w:space="720"/>
          <w:titlePg/>
          <w:docGrid w:linePitch="360"/>
        </w:sectPr>
      </w:pPr>
    </w:p>
    <w:p w:rsidR="00796B2D" w:rsidRPr="001539FC" w:rsidRDefault="00796B2D" w:rsidP="00796B2D">
      <w:pPr>
        <w:spacing w:line="276" w:lineRule="auto"/>
        <w:ind w:left="389" w:hanging="389"/>
        <w:jc w:val="both"/>
        <w:rPr>
          <w:rFonts w:ascii="Century" w:eastAsia="Times New Roman" w:hAnsi="Century" w:cs="Times New Roman"/>
          <w:b/>
          <w:sz w:val="28"/>
          <w:szCs w:val="28"/>
        </w:rPr>
      </w:pPr>
      <w:proofErr w:type="gramStart"/>
      <w:r w:rsidRPr="001539FC">
        <w:rPr>
          <w:rFonts w:ascii="Century" w:eastAsia="Times New Roman" w:hAnsi="Century" w:cs="Times New Roman"/>
          <w:b/>
          <w:sz w:val="28"/>
          <w:szCs w:val="28"/>
        </w:rPr>
        <w:lastRenderedPageBreak/>
        <w:t>Rule 7.1.</w:t>
      </w:r>
      <w:proofErr w:type="gramEnd"/>
      <w:r w:rsidRPr="001539FC">
        <w:rPr>
          <w:rFonts w:ascii="Century" w:eastAsia="Times New Roman" w:hAnsi="Century" w:cs="Times New Roman"/>
          <w:b/>
          <w:sz w:val="28"/>
          <w:szCs w:val="28"/>
        </w:rPr>
        <w:tab/>
        <w:t>Motions</w:t>
      </w:r>
    </w:p>
    <w:p w:rsidR="00796B2D" w:rsidRPr="00BE3246" w:rsidRDefault="00796B2D" w:rsidP="00796B2D">
      <w:pPr>
        <w:spacing w:line="276" w:lineRule="auto"/>
        <w:ind w:left="389" w:hanging="389"/>
        <w:jc w:val="both"/>
        <w:rPr>
          <w:rFonts w:ascii="Century" w:eastAsia="Times New Roman" w:hAnsi="Century" w:cs="Times New Roman"/>
          <w:b/>
          <w:sz w:val="28"/>
          <w:szCs w:val="28"/>
        </w:rPr>
      </w:pPr>
      <w:r w:rsidRPr="00BE3246">
        <w:rPr>
          <w:rFonts w:ascii="Century" w:eastAsia="Times New Roman" w:hAnsi="Century" w:cs="Times New Roman"/>
          <w:b/>
          <w:sz w:val="28"/>
          <w:szCs w:val="28"/>
        </w:rPr>
        <w:t>. . .</w:t>
      </w:r>
    </w:p>
    <w:p w:rsidR="00796B2D" w:rsidRPr="001539FC" w:rsidRDefault="00796B2D" w:rsidP="00796B2D">
      <w:pPr>
        <w:spacing w:after="120"/>
        <w:jc w:val="both"/>
        <w:rPr>
          <w:rFonts w:ascii="Century" w:eastAsia="Times New Roman" w:hAnsi="Century" w:cs="Times New Roman"/>
          <w:b/>
          <w:i/>
          <w:sz w:val="28"/>
          <w:szCs w:val="28"/>
        </w:rPr>
      </w:pPr>
      <w:r w:rsidRPr="001539FC">
        <w:rPr>
          <w:rFonts w:ascii="Century" w:eastAsia="Times New Roman" w:hAnsi="Century" w:cs="Times New Roman"/>
          <w:sz w:val="28"/>
          <w:szCs w:val="28"/>
        </w:rPr>
        <w:cr/>
      </w:r>
      <w:r w:rsidRPr="001539FC">
        <w:rPr>
          <w:rFonts w:ascii="Century" w:eastAsia="Times New Roman" w:hAnsi="Century" w:cs="Times New Roman"/>
          <w:b/>
          <w:bCs/>
          <w:sz w:val="28"/>
          <w:szCs w:val="28"/>
        </w:rPr>
        <w:t xml:space="preserve"> (f)</w:t>
      </w:r>
      <w:r w:rsidRPr="001539FC">
        <w:rPr>
          <w:rFonts w:ascii="Century" w:eastAsia="Times New Roman" w:hAnsi="Century" w:cs="Times New Roman"/>
          <w:b/>
          <w:bCs/>
          <w:sz w:val="28"/>
          <w:szCs w:val="28"/>
        </w:rPr>
        <w:tab/>
        <w:t>Limits on Motions to Strike</w:t>
      </w:r>
      <w:r w:rsidRPr="001539FC">
        <w:rPr>
          <w:rFonts w:ascii="Century" w:eastAsia="Times New Roman" w:hAnsi="Century" w:cs="Times New Roman"/>
          <w:b/>
          <w:bCs/>
          <w:i/>
          <w:sz w:val="28"/>
          <w:szCs w:val="28"/>
        </w:rPr>
        <w:t>.</w:t>
      </w:r>
    </w:p>
    <w:p w:rsidR="00796B2D" w:rsidRDefault="00796B2D" w:rsidP="00CF09B7">
      <w:pPr>
        <w:tabs>
          <w:tab w:val="left" w:pos="389"/>
          <w:tab w:val="left" w:pos="605"/>
          <w:tab w:val="left" w:pos="778"/>
          <w:tab w:val="left" w:pos="1037"/>
          <w:tab w:val="left" w:pos="1368"/>
        </w:tabs>
        <w:spacing w:after="120"/>
        <w:jc w:val="both"/>
        <w:rPr>
          <w:rFonts w:ascii="Century" w:eastAsia="Times New Roman" w:hAnsi="Century" w:cs="Times New Roman"/>
          <w:b/>
          <w:sz w:val="28"/>
          <w:szCs w:val="28"/>
        </w:rPr>
      </w:pPr>
      <w:r w:rsidRPr="001539FC">
        <w:rPr>
          <w:rFonts w:ascii="Century" w:eastAsia="Times New Roman" w:hAnsi="Century" w:cs="Times New Roman"/>
          <w:b/>
          <w:sz w:val="28"/>
          <w:szCs w:val="28"/>
        </w:rPr>
        <w:t xml:space="preserve">. . . </w:t>
      </w:r>
    </w:p>
    <w:p w:rsidR="00796B2D" w:rsidRPr="001539FC" w:rsidRDefault="00796B2D" w:rsidP="004434EA">
      <w:pPr>
        <w:tabs>
          <w:tab w:val="left" w:pos="389"/>
          <w:tab w:val="left" w:pos="605"/>
          <w:tab w:val="left" w:pos="778"/>
          <w:tab w:val="left" w:pos="1037"/>
          <w:tab w:val="left" w:pos="1368"/>
        </w:tabs>
        <w:spacing w:after="120"/>
        <w:jc w:val="both"/>
        <w:rPr>
          <w:rFonts w:ascii="Century" w:eastAsia="Times New Roman" w:hAnsi="Century" w:cs="Times New Roman"/>
          <w:sz w:val="28"/>
          <w:szCs w:val="28"/>
        </w:rPr>
      </w:pP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iCs/>
          <w:sz w:val="28"/>
          <w:szCs w:val="28"/>
        </w:rPr>
        <w:t>Objections to Admission of Evidence on Written Motions</w:t>
      </w:r>
      <w:r w:rsidRPr="001539FC">
        <w:rPr>
          <w:rFonts w:ascii="Century" w:eastAsia="Times New Roman" w:hAnsi="Century" w:cs="Times New Roman"/>
          <w:b/>
          <w:sz w:val="28"/>
          <w:szCs w:val="28"/>
        </w:rPr>
        <w:t xml:space="preserve">.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E12937">
        <w:rPr>
          <w:rFonts w:ascii="Century" w:eastAsia="Times New Roman" w:hAnsi="Century" w:cs="Times New Roman"/>
          <w:i/>
          <w:sz w:val="28"/>
          <w:szCs w:val="28"/>
        </w:rPr>
        <w:t xml:space="preserve">Objections.  </w:t>
      </w:r>
      <w:r w:rsidRPr="00E12937">
        <w:rPr>
          <w:rFonts w:ascii="Century" w:eastAsia="Times New Roman" w:hAnsi="Century" w:cs="Times New Roman"/>
          <w:sz w:val="28"/>
          <w:szCs w:val="28"/>
        </w:rPr>
        <w:t>Any objections to, and any arguments regarding the admissibility of, evidence offered in support of or in opposition to a motion must be presented in the objecting party’s responsive or reply memorandum and may not be presented in a separate motion to strike or other separate filing, except as provided in Rule 56(c)(4).</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Response to Objections.  </w:t>
      </w:r>
      <w:r w:rsidRPr="001539FC">
        <w:rPr>
          <w:rFonts w:ascii="Century" w:eastAsia="Times New Roman" w:hAnsi="Century" w:cs="Times New Roman"/>
          <w:sz w:val="28"/>
          <w:szCs w:val="28"/>
        </w:rPr>
        <w:t xml:space="preserve">Any response to an objection must be included in the responding party’s reply memorandum and may not be presented in a separate responsive memorandum.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(C)</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Objections to Evidence Offered in a Reply Memorandum.  </w:t>
      </w:r>
      <w:r w:rsidRPr="001539FC">
        <w:rPr>
          <w:rFonts w:ascii="Century" w:eastAsia="Times New Roman" w:hAnsi="Century" w:cs="Times New Roman"/>
          <w:sz w:val="28"/>
          <w:szCs w:val="28"/>
        </w:rPr>
        <w:t>If the evidence at issue is offered for the first time in connection with a reply memorandum, an objecting party may file a separate objection limited to addressing the new evidence and not exceeding 3 pages in length, within 5 days after the reply memorandum is served. No responsive memorandum may be filed unless the court orders otherwise.</w:t>
      </w:r>
    </w:p>
    <w:p w:rsidR="00796B2D" w:rsidRDefault="00796B2D" w:rsidP="00796B2D">
      <w:pPr>
        <w:spacing w:after="200" w:line="276" w:lineRule="auto"/>
        <w:rPr>
          <w:rFonts w:ascii="Century" w:eastAsia="Times New Roman" w:hAnsi="Century" w:cs="Times New Roman"/>
          <w:sz w:val="28"/>
          <w:szCs w:val="28"/>
        </w:rPr>
        <w:sectPr w:rsidR="00796B2D" w:rsidSect="00AC6FC4">
          <w:footerReference w:type="first" r:id="rId14"/>
          <w:pgSz w:w="12240" w:h="15840"/>
          <w:pgMar w:top="1440" w:right="1440" w:bottom="1440" w:left="1440" w:header="720" w:footer="720" w:gutter="0"/>
          <w:cols w:space="720"/>
          <w:titlePg/>
          <w:docGrid w:linePitch="360"/>
        </w:sectPr>
      </w:pPr>
    </w:p>
    <w:p w:rsidR="00DB2BD3" w:rsidRPr="001539FC" w:rsidRDefault="00DB2BD3" w:rsidP="008631D2">
      <w:pPr>
        <w:ind w:left="389" w:hanging="389"/>
        <w:jc w:val="both"/>
        <w:rPr>
          <w:rFonts w:ascii="Century" w:eastAsia="Times New Roman" w:hAnsi="Century" w:cs="Times New Roman"/>
          <w:b/>
          <w:sz w:val="28"/>
          <w:szCs w:val="28"/>
        </w:rPr>
      </w:pPr>
      <w:proofErr w:type="gramStart"/>
      <w:r>
        <w:rPr>
          <w:rFonts w:ascii="Century" w:eastAsia="Times New Roman" w:hAnsi="Century" w:cs="Times New Roman"/>
          <w:b/>
          <w:bCs/>
          <w:sz w:val="28"/>
          <w:szCs w:val="28"/>
        </w:rPr>
        <w:lastRenderedPageBreak/>
        <w:t>Rule 12</w:t>
      </w:r>
      <w:r w:rsidRPr="001539FC">
        <w:rPr>
          <w:rFonts w:ascii="Century" w:eastAsia="Times New Roman" w:hAnsi="Century" w:cs="Times New Roman"/>
          <w:b/>
          <w:bCs/>
          <w:sz w:val="28"/>
          <w:szCs w:val="28"/>
        </w:rPr>
        <w:t>.</w:t>
      </w:r>
      <w:proofErr w:type="gramEnd"/>
      <w:r w:rsidRPr="001539FC">
        <w:rPr>
          <w:rFonts w:ascii="Century" w:eastAsia="Times New Roman" w:hAnsi="Century" w:cs="Times New Roman"/>
          <w:b/>
          <w:bCs/>
          <w:sz w:val="28"/>
          <w:szCs w:val="28"/>
        </w:rPr>
        <w:tab/>
      </w:r>
      <w:r>
        <w:rPr>
          <w:rFonts w:ascii="Century" w:eastAsia="Times New Roman" w:hAnsi="Century" w:cs="Times New Roman"/>
          <w:b/>
          <w:bCs/>
          <w:sz w:val="28"/>
          <w:szCs w:val="28"/>
        </w:rPr>
        <w:t>Def</w:t>
      </w:r>
      <w:r w:rsidRPr="00DB2BD3">
        <w:rPr>
          <w:rFonts w:ascii="Century" w:eastAsia="Calibri" w:hAnsi="Century" w:cs="Times New Roman"/>
          <w:b/>
          <w:sz w:val="28"/>
          <w:szCs w:val="28"/>
        </w:rPr>
        <w:t>enses and Objections:</w:t>
      </w:r>
      <w:r>
        <w:rPr>
          <w:rFonts w:ascii="Century" w:eastAsia="Calibri" w:hAnsi="Century" w:cs="Times New Roman"/>
          <w:b/>
          <w:sz w:val="28"/>
          <w:szCs w:val="28"/>
        </w:rPr>
        <w:t xml:space="preserve"> When and How Presented; Motion </w:t>
      </w:r>
      <w:r w:rsidRPr="00DB2BD3">
        <w:rPr>
          <w:rFonts w:ascii="Century" w:eastAsia="Calibri" w:hAnsi="Century" w:cs="Times New Roman"/>
          <w:b/>
          <w:sz w:val="28"/>
          <w:szCs w:val="28"/>
        </w:rPr>
        <w:t>for Judgment on the Pleadings; Joining Motions; Waiving Defenses</w:t>
      </w:r>
      <w:r w:rsidR="00D36EFD">
        <w:rPr>
          <w:rFonts w:ascii="Century" w:eastAsia="Times New Roman" w:hAnsi="Century" w:cs="Times New Roman"/>
          <w:b/>
          <w:bCs/>
          <w:sz w:val="28"/>
          <w:szCs w:val="28"/>
        </w:rPr>
        <w:t>; Pre</w:t>
      </w:r>
      <w:r>
        <w:rPr>
          <w:rFonts w:ascii="Century" w:eastAsia="Times New Roman" w:hAnsi="Century" w:cs="Times New Roman"/>
          <w:b/>
          <w:bCs/>
          <w:sz w:val="28"/>
          <w:szCs w:val="28"/>
        </w:rPr>
        <w:t>trial Hearings</w:t>
      </w:r>
    </w:p>
    <w:p w:rsidR="00DB2BD3" w:rsidRDefault="00DB2BD3" w:rsidP="00796B2D">
      <w:pPr>
        <w:rPr>
          <w:rFonts w:ascii="Century" w:eastAsia="Times New Roman" w:hAnsi="Century" w:cs="Times New Roman"/>
          <w:b/>
          <w:bCs/>
          <w:sz w:val="28"/>
          <w:szCs w:val="28"/>
        </w:rPr>
      </w:pPr>
    </w:p>
    <w:p w:rsidR="008631D2" w:rsidRPr="00E12937" w:rsidRDefault="008631D2" w:rsidP="008631D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Calibri" w:hAnsi="Century" w:cs="Times New Roman"/>
          <w:sz w:val="28"/>
          <w:szCs w:val="28"/>
        </w:rPr>
      </w:pPr>
      <w:r>
        <w:rPr>
          <w:rFonts w:ascii="Century" w:eastAsia="Calibri" w:hAnsi="Century" w:cs="Times New Roman"/>
          <w:b/>
          <w:bCs/>
          <w:sz w:val="28"/>
          <w:szCs w:val="28"/>
        </w:rPr>
        <w:t>(a</w:t>
      </w:r>
      <w:r w:rsidRPr="001539FC">
        <w:rPr>
          <w:rFonts w:ascii="Century" w:eastAsia="Calibri" w:hAnsi="Century" w:cs="Times New Roman"/>
          <w:b/>
          <w:bCs/>
          <w:sz w:val="28"/>
          <w:szCs w:val="28"/>
        </w:rPr>
        <w:t>)</w:t>
      </w:r>
      <w:r w:rsidRPr="001539FC">
        <w:rPr>
          <w:rFonts w:ascii="Century" w:eastAsia="Calibri" w:hAnsi="Century" w:cs="Times New Roman"/>
          <w:b/>
          <w:bCs/>
          <w:sz w:val="28"/>
          <w:szCs w:val="28"/>
        </w:rPr>
        <w:tab/>
      </w:r>
      <w:r>
        <w:rPr>
          <w:rFonts w:ascii="Century" w:eastAsia="Calibri" w:hAnsi="Century" w:cs="Times New Roman"/>
          <w:b/>
          <w:bCs/>
          <w:sz w:val="28"/>
          <w:szCs w:val="28"/>
        </w:rPr>
        <w:t xml:space="preserve">Time to </w:t>
      </w:r>
      <w:r w:rsidRPr="00E12937">
        <w:rPr>
          <w:rFonts w:ascii="Century" w:eastAsia="Calibri" w:hAnsi="Century" w:cs="Times New Roman"/>
          <w:b/>
          <w:bCs/>
          <w:sz w:val="28"/>
          <w:szCs w:val="28"/>
        </w:rPr>
        <w:t>File and Serve a Responsive Pleading.</w:t>
      </w:r>
    </w:p>
    <w:p w:rsidR="008631D2" w:rsidRPr="00E12937" w:rsidRDefault="008631D2" w:rsidP="008631D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E12937">
        <w:rPr>
          <w:rFonts w:ascii="Century" w:eastAsia="Calibri" w:hAnsi="Century" w:cs="Times New Roman"/>
          <w:b/>
          <w:sz w:val="28"/>
          <w:szCs w:val="28"/>
        </w:rPr>
        <w:t>(1)</w:t>
      </w:r>
      <w:r w:rsidRPr="00E12937">
        <w:rPr>
          <w:rFonts w:ascii="Century" w:eastAsia="Calibri" w:hAnsi="Century" w:cs="Times New Roman"/>
          <w:b/>
          <w:sz w:val="28"/>
          <w:szCs w:val="28"/>
        </w:rPr>
        <w:tab/>
      </w:r>
      <w:r w:rsidRPr="00E12937">
        <w:rPr>
          <w:rFonts w:ascii="Century" w:eastAsia="Calibri" w:hAnsi="Century" w:cs="Times New Roman"/>
          <w:b/>
          <w:i/>
          <w:sz w:val="28"/>
          <w:szCs w:val="28"/>
        </w:rPr>
        <w:t>Generally.</w:t>
      </w:r>
      <w:r w:rsidRPr="00E12937">
        <w:rPr>
          <w:rFonts w:ascii="Century" w:eastAsia="Calibri" w:hAnsi="Century" w:cs="Times New Roman"/>
          <w:b/>
          <w:sz w:val="28"/>
          <w:szCs w:val="28"/>
        </w:rPr>
        <w:t xml:space="preserve">  </w:t>
      </w:r>
      <w:r w:rsidRPr="00E12937">
        <w:rPr>
          <w:rFonts w:ascii="Century" w:eastAsia="Calibri" w:hAnsi="Century" w:cs="Times New Roman"/>
          <w:sz w:val="28"/>
          <w:szCs w:val="28"/>
        </w:rPr>
        <w:t xml:space="preserve">Unless another time is specified by rule or statute, the time for filing and serving a responsive pleading is as follows:  </w:t>
      </w:r>
    </w:p>
    <w:p w:rsidR="008631D2" w:rsidRPr="00E12937"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E12937">
        <w:rPr>
          <w:rFonts w:ascii="Century" w:eastAsia="Calibri" w:hAnsi="Century" w:cs="Times New Roman"/>
          <w:b/>
          <w:sz w:val="28"/>
          <w:szCs w:val="28"/>
        </w:rPr>
        <w:t>(A)</w:t>
      </w:r>
      <w:r w:rsidRPr="00E12937">
        <w:rPr>
          <w:rFonts w:ascii="Century" w:eastAsia="Calibri" w:hAnsi="Century" w:cs="Times New Roman"/>
          <w:b/>
          <w:sz w:val="28"/>
          <w:szCs w:val="28"/>
        </w:rPr>
        <w:tab/>
      </w:r>
      <w:r w:rsidRPr="00E12937">
        <w:rPr>
          <w:rFonts w:ascii="Century" w:eastAsia="Calibri" w:hAnsi="Century" w:cs="Times New Roman"/>
          <w:sz w:val="28"/>
          <w:szCs w:val="28"/>
        </w:rPr>
        <w:t>A defendant or third-party defendant must file and serve an answer or other responsive pleading:</w:t>
      </w:r>
    </w:p>
    <w:p w:rsidR="008631D2" w:rsidRPr="00E12937" w:rsidRDefault="008631D2" w:rsidP="008631D2">
      <w:pPr>
        <w:tabs>
          <w:tab w:val="left" w:pos="389"/>
          <w:tab w:val="left" w:pos="605"/>
          <w:tab w:val="left" w:pos="778"/>
          <w:tab w:val="left" w:pos="1037"/>
          <w:tab w:val="left" w:pos="1368"/>
        </w:tabs>
        <w:autoSpaceDE w:val="0"/>
        <w:autoSpaceDN w:val="0"/>
        <w:adjustRightInd w:val="0"/>
        <w:spacing w:after="120"/>
        <w:ind w:left="1368" w:hanging="331"/>
        <w:jc w:val="both"/>
        <w:rPr>
          <w:rFonts w:ascii="Century" w:eastAsia="Calibri" w:hAnsi="Century" w:cs="Times New Roman"/>
          <w:sz w:val="28"/>
          <w:szCs w:val="28"/>
        </w:rPr>
      </w:pPr>
      <w:r w:rsidRPr="00E12937">
        <w:rPr>
          <w:rFonts w:ascii="Century" w:eastAsia="Calibri" w:hAnsi="Century" w:cs="Times New Roman"/>
          <w:b/>
          <w:sz w:val="28"/>
          <w:szCs w:val="28"/>
        </w:rPr>
        <w:t>(i)</w:t>
      </w:r>
      <w:r w:rsidRPr="00E12937">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sidRPr="00E12937">
        <w:rPr>
          <w:rFonts w:ascii="Century" w:eastAsia="Calibri" w:hAnsi="Century" w:cs="Times New Roman"/>
          <w:sz w:val="28"/>
          <w:szCs w:val="28"/>
        </w:rPr>
        <w:t>within</w:t>
      </w:r>
      <w:proofErr w:type="gramEnd"/>
      <w:r w:rsidRPr="00E12937">
        <w:rPr>
          <w:rFonts w:ascii="Century" w:eastAsia="Calibri" w:hAnsi="Century" w:cs="Times New Roman"/>
          <w:sz w:val="28"/>
          <w:szCs w:val="28"/>
        </w:rPr>
        <w:t xml:space="preserve"> 20 days after being served with the summons and complaint, except as otherwise provided in Rules 4.2(d)(3)</w:t>
      </w:r>
      <w:r w:rsidR="009C6AFE" w:rsidRPr="00E12937">
        <w:rPr>
          <w:rFonts w:ascii="Century" w:eastAsia="Calibri" w:hAnsi="Century" w:cs="Times New Roman"/>
          <w:sz w:val="28"/>
          <w:szCs w:val="28"/>
        </w:rPr>
        <w:t>and (m)</w:t>
      </w:r>
      <w:r w:rsidRPr="00E12937">
        <w:rPr>
          <w:rFonts w:ascii="Century" w:eastAsia="Calibri" w:hAnsi="Century" w:cs="Times New Roman"/>
          <w:sz w:val="28"/>
          <w:szCs w:val="28"/>
        </w:rPr>
        <w:t>; or</w:t>
      </w:r>
    </w:p>
    <w:p w:rsidR="008631D2" w:rsidRPr="00E12937" w:rsidRDefault="008631D2" w:rsidP="008631D2">
      <w:pPr>
        <w:tabs>
          <w:tab w:val="left" w:pos="389"/>
          <w:tab w:val="left" w:pos="605"/>
          <w:tab w:val="left" w:pos="778"/>
          <w:tab w:val="left" w:pos="1037"/>
          <w:tab w:val="left" w:pos="1440"/>
        </w:tabs>
        <w:autoSpaceDE w:val="0"/>
        <w:autoSpaceDN w:val="0"/>
        <w:adjustRightInd w:val="0"/>
        <w:spacing w:after="120"/>
        <w:ind w:left="1440" w:hanging="403"/>
        <w:jc w:val="both"/>
        <w:rPr>
          <w:rFonts w:ascii="Century" w:eastAsia="Calibri" w:hAnsi="Century" w:cs="Times New Roman"/>
          <w:sz w:val="28"/>
          <w:szCs w:val="28"/>
        </w:rPr>
      </w:pPr>
      <w:r w:rsidRPr="00E12937">
        <w:rPr>
          <w:rFonts w:ascii="Century" w:eastAsia="Calibri" w:hAnsi="Century" w:cs="Times New Roman"/>
          <w:b/>
          <w:sz w:val="28"/>
          <w:szCs w:val="28"/>
        </w:rPr>
        <w:t>(ii)</w:t>
      </w:r>
      <w:r w:rsidRPr="00E12937">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sidRPr="00E12937">
        <w:rPr>
          <w:rFonts w:ascii="Century" w:eastAsia="Calibri" w:hAnsi="Century" w:cs="Times New Roman"/>
          <w:sz w:val="28"/>
          <w:szCs w:val="28"/>
        </w:rPr>
        <w:t>if</w:t>
      </w:r>
      <w:proofErr w:type="gramEnd"/>
      <w:r w:rsidRPr="00E12937">
        <w:rPr>
          <w:rFonts w:ascii="Century" w:eastAsia="Calibri" w:hAnsi="Century" w:cs="Times New Roman"/>
          <w:sz w:val="28"/>
          <w:szCs w:val="28"/>
        </w:rPr>
        <w:t xml:space="preserve"> it has time</w:t>
      </w:r>
      <w:r w:rsidR="009C6AFE" w:rsidRPr="00E12937">
        <w:rPr>
          <w:rFonts w:ascii="Century" w:eastAsia="Calibri" w:hAnsi="Century" w:cs="Times New Roman"/>
          <w:sz w:val="28"/>
          <w:szCs w:val="28"/>
        </w:rPr>
        <w:t>l</w:t>
      </w:r>
      <w:r w:rsidRPr="00E12937">
        <w:rPr>
          <w:rFonts w:ascii="Century" w:eastAsia="Calibri" w:hAnsi="Century" w:cs="Times New Roman"/>
          <w:sz w:val="28"/>
          <w:szCs w:val="28"/>
        </w:rPr>
        <w:t xml:space="preserve">y waived service under Rule 4(f), within 60 days after the request for a waiver was sent, or within 90 days after it was sent to the defendant or third-party defendant outside any judicial district of the United States. </w:t>
      </w:r>
    </w:p>
    <w:p w:rsidR="008631D2" w:rsidRPr="00E12937"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E12937">
        <w:rPr>
          <w:rFonts w:ascii="Century" w:eastAsia="Calibri" w:hAnsi="Century" w:cs="Times New Roman"/>
          <w:b/>
          <w:sz w:val="28"/>
          <w:szCs w:val="28"/>
        </w:rPr>
        <w:t>(B)</w:t>
      </w:r>
      <w:r w:rsidR="00AF5A59">
        <w:rPr>
          <w:rFonts w:ascii="Century" w:eastAsia="Calibri" w:hAnsi="Century" w:cs="Times New Roman"/>
          <w:b/>
          <w:sz w:val="28"/>
          <w:szCs w:val="28"/>
        </w:rPr>
        <w:t xml:space="preserve"> </w:t>
      </w:r>
      <w:r w:rsidRPr="00E12937">
        <w:rPr>
          <w:rFonts w:ascii="Century" w:eastAsia="Calibri" w:hAnsi="Century" w:cs="Times New Roman"/>
          <w:sz w:val="28"/>
          <w:szCs w:val="28"/>
        </w:rPr>
        <w:t>A party must file and serve an answer or other pleading responsive to a counterclaim or crossclaim within 20 days after being served with the pleading that states</w:t>
      </w:r>
      <w:r w:rsidR="0045207B" w:rsidRPr="00E12937">
        <w:rPr>
          <w:rFonts w:ascii="Century" w:eastAsia="Calibri" w:hAnsi="Century" w:cs="Times New Roman"/>
          <w:sz w:val="28"/>
          <w:szCs w:val="28"/>
        </w:rPr>
        <w:t xml:space="preserve"> the counterclaim or crossclaim</w:t>
      </w:r>
      <w:r w:rsidRPr="00E12937">
        <w:rPr>
          <w:rFonts w:ascii="Century" w:eastAsia="Calibri" w:hAnsi="Century" w:cs="Times New Roman"/>
          <w:sz w:val="28"/>
          <w:szCs w:val="28"/>
        </w:rPr>
        <w:t xml:space="preserve">. </w:t>
      </w:r>
    </w:p>
    <w:p w:rsidR="008631D2" w:rsidRPr="00E12937"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E12937">
        <w:rPr>
          <w:rFonts w:ascii="Century" w:eastAsia="Calibri" w:hAnsi="Century" w:cs="Times New Roman"/>
          <w:b/>
          <w:sz w:val="28"/>
          <w:szCs w:val="28"/>
        </w:rPr>
        <w:t>(C)</w:t>
      </w:r>
      <w:r w:rsidRPr="00E12937">
        <w:rPr>
          <w:rFonts w:ascii="Century" w:eastAsia="Calibri" w:hAnsi="Century" w:cs="Times New Roman"/>
          <w:b/>
          <w:sz w:val="28"/>
          <w:szCs w:val="28"/>
        </w:rPr>
        <w:tab/>
      </w:r>
      <w:r w:rsidR="00AF5A59">
        <w:rPr>
          <w:rFonts w:ascii="Century" w:eastAsia="Calibri" w:hAnsi="Century" w:cs="Times New Roman"/>
          <w:b/>
          <w:sz w:val="28"/>
          <w:szCs w:val="28"/>
        </w:rPr>
        <w:t xml:space="preserve"> </w:t>
      </w:r>
      <w:r w:rsidRPr="00E12937">
        <w:rPr>
          <w:rFonts w:ascii="Century" w:eastAsia="Calibri" w:hAnsi="Century" w:cs="Times New Roman"/>
          <w:sz w:val="28"/>
          <w:szCs w:val="28"/>
        </w:rPr>
        <w:t xml:space="preserve">A party must file and serve a reply to an answer within 20 days after being served with an order to reply, unless the order specifies a different time. </w:t>
      </w:r>
    </w:p>
    <w:p w:rsidR="00CE69DF" w:rsidRPr="00E12937" w:rsidRDefault="00CE69DF" w:rsidP="00CE69DF">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E12937">
        <w:rPr>
          <w:rFonts w:ascii="Century" w:eastAsia="Calibri" w:hAnsi="Century" w:cs="Times New Roman"/>
          <w:b/>
          <w:sz w:val="28"/>
          <w:szCs w:val="28"/>
        </w:rPr>
        <w:t>(2)</w:t>
      </w:r>
      <w:r w:rsidR="00AF5A59">
        <w:rPr>
          <w:rFonts w:ascii="Century" w:eastAsia="Calibri" w:hAnsi="Century" w:cs="Times New Roman"/>
          <w:b/>
          <w:sz w:val="28"/>
          <w:szCs w:val="28"/>
        </w:rPr>
        <w:t xml:space="preserve"> </w:t>
      </w:r>
      <w:r w:rsidRPr="00E12937">
        <w:rPr>
          <w:rFonts w:ascii="Century" w:eastAsia="Calibri" w:hAnsi="Century" w:cs="Times New Roman"/>
          <w:b/>
          <w:i/>
          <w:sz w:val="28"/>
          <w:szCs w:val="28"/>
        </w:rPr>
        <w:t>Effect of a Motion.</w:t>
      </w:r>
      <w:r w:rsidRPr="00E12937">
        <w:rPr>
          <w:rFonts w:ascii="Century" w:eastAsia="Calibri" w:hAnsi="Century" w:cs="Times New Roman"/>
          <w:b/>
          <w:sz w:val="28"/>
          <w:szCs w:val="28"/>
        </w:rPr>
        <w:t xml:space="preserve">  </w:t>
      </w:r>
      <w:r w:rsidRPr="00E12937">
        <w:rPr>
          <w:rFonts w:ascii="Century" w:eastAsia="Calibri" w:hAnsi="Century" w:cs="Times New Roman"/>
          <w:sz w:val="28"/>
          <w:szCs w:val="28"/>
        </w:rPr>
        <w:t xml:space="preserve">Unless the court sets a different time, </w:t>
      </w:r>
      <w:r w:rsidR="0045207B" w:rsidRPr="00E12937">
        <w:rPr>
          <w:rFonts w:ascii="Century" w:eastAsia="Calibri" w:hAnsi="Century" w:cs="Times New Roman"/>
          <w:sz w:val="28"/>
          <w:szCs w:val="28"/>
        </w:rPr>
        <w:t xml:space="preserve">filing and </w:t>
      </w:r>
      <w:r w:rsidRPr="00E12937">
        <w:rPr>
          <w:rFonts w:ascii="Century" w:eastAsia="Calibri" w:hAnsi="Century" w:cs="Times New Roman"/>
          <w:sz w:val="28"/>
          <w:szCs w:val="28"/>
        </w:rPr>
        <w:t>serving a motion under this rule alters these periods as follows:</w:t>
      </w:r>
    </w:p>
    <w:p w:rsidR="00CE69DF" w:rsidRPr="00E12937" w:rsidRDefault="00CE69DF" w:rsidP="00CE69DF">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E12937">
        <w:rPr>
          <w:rFonts w:ascii="Century" w:eastAsia="Calibri" w:hAnsi="Century" w:cs="Times New Roman"/>
          <w:b/>
          <w:sz w:val="28"/>
          <w:szCs w:val="28"/>
        </w:rPr>
        <w:t>(A)</w:t>
      </w:r>
      <w:r w:rsidR="00AF5A59">
        <w:rPr>
          <w:rFonts w:ascii="Century" w:eastAsia="Calibri" w:hAnsi="Century" w:cs="Times New Roman"/>
          <w:b/>
          <w:sz w:val="28"/>
          <w:szCs w:val="28"/>
        </w:rPr>
        <w:t xml:space="preserve"> </w:t>
      </w:r>
      <w:r w:rsidRPr="00E12937">
        <w:rPr>
          <w:rFonts w:ascii="Century" w:eastAsia="Calibri" w:hAnsi="Century" w:cs="Times New Roman"/>
          <w:sz w:val="28"/>
          <w:szCs w:val="28"/>
        </w:rPr>
        <w:t>if the court denies the motion or postpones its disposition until trial, the responsive pleading must be filed and served within 10 days after notice of the court’s action; or</w:t>
      </w:r>
    </w:p>
    <w:p w:rsidR="00B328BC" w:rsidRDefault="00CE69DF" w:rsidP="00CE69DF">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sectPr w:rsidR="00B328BC" w:rsidSect="00AC6FC4">
          <w:footerReference w:type="first" r:id="rId15"/>
          <w:pgSz w:w="12240" w:h="15840"/>
          <w:pgMar w:top="1440" w:right="1440" w:bottom="1440" w:left="1440" w:header="720" w:footer="720" w:gutter="0"/>
          <w:cols w:space="720"/>
          <w:titlePg/>
          <w:docGrid w:linePitch="360"/>
        </w:sectPr>
      </w:pPr>
      <w:r w:rsidRPr="00E12937">
        <w:rPr>
          <w:rFonts w:ascii="Century" w:eastAsia="Calibri" w:hAnsi="Century" w:cs="Times New Roman"/>
          <w:b/>
          <w:sz w:val="28"/>
          <w:szCs w:val="28"/>
        </w:rPr>
        <w:t>(B)</w:t>
      </w:r>
      <w:r w:rsidRPr="00E12937">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sidRPr="00E12937">
        <w:rPr>
          <w:rFonts w:ascii="Century" w:eastAsia="Calibri" w:hAnsi="Century" w:cs="Times New Roman"/>
          <w:sz w:val="28"/>
          <w:szCs w:val="28"/>
        </w:rPr>
        <w:t>if</w:t>
      </w:r>
      <w:proofErr w:type="gramEnd"/>
      <w:r w:rsidRPr="00E12937">
        <w:rPr>
          <w:rFonts w:ascii="Century" w:eastAsia="Calibri" w:hAnsi="Century" w:cs="Times New Roman"/>
          <w:sz w:val="28"/>
          <w:szCs w:val="28"/>
        </w:rPr>
        <w:t xml:space="preserve"> the court grants a motion for a more definite statement, the responsive pleading must be filed and served within 10 days after the more definite statement</w:t>
      </w:r>
      <w:r>
        <w:rPr>
          <w:rFonts w:ascii="Century" w:eastAsia="Calibri" w:hAnsi="Century" w:cs="Times New Roman"/>
          <w:sz w:val="28"/>
          <w:szCs w:val="28"/>
        </w:rPr>
        <w:t xml:space="preserve"> is served.</w:t>
      </w:r>
    </w:p>
    <w:p w:rsidR="00796B2D" w:rsidRPr="001539FC" w:rsidRDefault="00796B2D" w:rsidP="00796B2D">
      <w:pPr>
        <w:rPr>
          <w:rFonts w:ascii="Century" w:eastAsia="Times New Roman" w:hAnsi="Century" w:cs="Times New Roman"/>
          <w:b/>
          <w:sz w:val="28"/>
          <w:szCs w:val="28"/>
        </w:rPr>
      </w:pPr>
      <w:proofErr w:type="gramStart"/>
      <w:r w:rsidRPr="001539FC">
        <w:rPr>
          <w:rFonts w:ascii="Century" w:eastAsia="Times New Roman" w:hAnsi="Century" w:cs="Times New Roman"/>
          <w:b/>
          <w:bCs/>
          <w:sz w:val="28"/>
          <w:szCs w:val="28"/>
        </w:rPr>
        <w:lastRenderedPageBreak/>
        <w:t>Rule 26.</w:t>
      </w:r>
      <w:proofErr w:type="gramEnd"/>
      <w:r w:rsidRPr="001539FC">
        <w:rPr>
          <w:rFonts w:ascii="Century" w:eastAsia="Times New Roman" w:hAnsi="Century" w:cs="Times New Roman"/>
          <w:b/>
          <w:bCs/>
          <w:sz w:val="28"/>
          <w:szCs w:val="28"/>
        </w:rPr>
        <w:tab/>
        <w:t>General Provisions Governing Disco</w:t>
      </w:r>
      <w:r w:rsidRPr="001539FC">
        <w:rPr>
          <w:rFonts w:ascii="Century" w:eastAsia="Times New Roman" w:hAnsi="Century" w:cs="Times New Roman"/>
          <w:b/>
          <w:sz w:val="28"/>
          <w:szCs w:val="28"/>
        </w:rPr>
        <w:t>very</w:t>
      </w:r>
    </w:p>
    <w:p w:rsidR="00DC7CEC" w:rsidRPr="001539FC" w:rsidRDefault="00DC7CEC" w:rsidP="00DC7CE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796B2D" w:rsidRPr="001539FC" w:rsidRDefault="00796B2D" w:rsidP="00796B2D">
      <w:pPr>
        <w:rPr>
          <w:rFonts w:ascii="Century" w:eastAsia="Times New Roman" w:hAnsi="Century" w:cs="Times New Roman"/>
          <w:b/>
          <w:sz w:val="28"/>
          <w:szCs w:val="28"/>
        </w:rPr>
      </w:pPr>
    </w:p>
    <w:p w:rsidR="00796B2D" w:rsidRPr="00E12937" w:rsidRDefault="00AF5A59" w:rsidP="00796B2D">
      <w:pPr>
        <w:ind w:left="389" w:hanging="389"/>
        <w:jc w:val="both"/>
        <w:rPr>
          <w:rFonts w:ascii="Century" w:eastAsia="Times New Roman" w:hAnsi="Century" w:cs="Times New Roman"/>
          <w:sz w:val="28"/>
          <w:szCs w:val="28"/>
        </w:rPr>
      </w:pPr>
      <w:r>
        <w:rPr>
          <w:rFonts w:ascii="Century" w:eastAsia="Times New Roman" w:hAnsi="Century" w:cs="Times New Roman"/>
          <w:b/>
          <w:sz w:val="28"/>
          <w:szCs w:val="28"/>
        </w:rPr>
        <w:t xml:space="preserve">(e) </w:t>
      </w:r>
      <w:r w:rsidR="00796B2D" w:rsidRPr="001539FC">
        <w:rPr>
          <w:rFonts w:ascii="Century" w:eastAsia="Times New Roman" w:hAnsi="Century" w:cs="Times New Roman"/>
          <w:b/>
          <w:sz w:val="28"/>
          <w:szCs w:val="28"/>
        </w:rPr>
        <w:t>Supplementing and Correcting Discovery Responses.</w:t>
      </w:r>
      <w:r w:rsidR="00796B2D" w:rsidRPr="001539FC">
        <w:rPr>
          <w:rFonts w:ascii="Century" w:eastAsia="Times New Roman" w:hAnsi="Century"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A party must supplement or correct a discovery response under this rule in a timely manner, but in no event more than 30 days after it learns that the response is mater</w:t>
      </w:r>
      <w:r w:rsidR="00CF09B7">
        <w:rPr>
          <w:rFonts w:ascii="Century" w:eastAsia="Times New Roman" w:hAnsi="Century" w:cs="Times New Roman"/>
          <w:sz w:val="28"/>
          <w:szCs w:val="28"/>
        </w:rPr>
        <w:t xml:space="preserve">ially incomplete or incorrect. </w:t>
      </w:r>
      <w:r w:rsidR="00796B2D" w:rsidRPr="00E12937">
        <w:rPr>
          <w:rFonts w:ascii="Century" w:eastAsia="Times New Roman" w:hAnsi="Century" w:cs="Times New Roman"/>
          <w:sz w:val="28"/>
          <w:szCs w:val="28"/>
        </w:rPr>
        <w:t>If the party knows or reasonably should know the additional or corrective information is relevant to a hearing or deposition scheduled to occur in less than 30 days, the party must supplement or correct the discovery response reasonably in advance of the hearing or deposition.</w:t>
      </w:r>
    </w:p>
    <w:p w:rsidR="00796B2D" w:rsidRDefault="00796B2D" w:rsidP="00796B2D">
      <w:pPr>
        <w:spacing w:after="200" w:line="276" w:lineRule="auto"/>
        <w:rPr>
          <w:rFonts w:ascii="Century" w:eastAsia="Times New Roman" w:hAnsi="Century" w:cs="Times New Roman"/>
          <w:sz w:val="28"/>
          <w:szCs w:val="28"/>
          <w:u w:val="double"/>
        </w:rPr>
        <w:sectPr w:rsidR="00796B2D" w:rsidSect="00AC6FC4">
          <w:footerReference w:type="first" r:id="rId16"/>
          <w:pgSz w:w="12240" w:h="15840"/>
          <w:pgMar w:top="1440" w:right="1440" w:bottom="1440" w:left="1440" w:header="720" w:footer="720" w:gutter="0"/>
          <w:cols w:space="720"/>
          <w:titlePg/>
          <w:docGrid w:linePitch="360"/>
        </w:sectPr>
      </w:pPr>
    </w:p>
    <w:p w:rsidR="00796B2D" w:rsidRPr="001539FC" w:rsidRDefault="00796B2D" w:rsidP="00796B2D">
      <w:pPr>
        <w:ind w:left="389" w:hanging="389"/>
        <w:jc w:val="both"/>
        <w:rPr>
          <w:rFonts w:ascii="Century" w:eastAsia="Calibri" w:hAnsi="Century" w:cs="Times New Roman"/>
          <w:b/>
          <w:sz w:val="28"/>
          <w:szCs w:val="28"/>
        </w:rPr>
      </w:pPr>
      <w:proofErr w:type="gramStart"/>
      <w:r w:rsidRPr="001539FC">
        <w:rPr>
          <w:rFonts w:ascii="Century" w:eastAsia="Calibri" w:hAnsi="Century" w:cs="Times New Roman"/>
          <w:b/>
          <w:sz w:val="28"/>
          <w:szCs w:val="28"/>
        </w:rPr>
        <w:lastRenderedPageBreak/>
        <w:t>Rule 54.</w:t>
      </w:r>
      <w:proofErr w:type="gramEnd"/>
      <w:r w:rsidRPr="001539FC">
        <w:rPr>
          <w:rFonts w:ascii="Century" w:eastAsia="Calibri" w:hAnsi="Century" w:cs="Times New Roman"/>
          <w:b/>
          <w:sz w:val="28"/>
          <w:szCs w:val="28"/>
        </w:rPr>
        <w:tab/>
        <w:t>Judgment; Costs; At</w:t>
      </w:r>
      <w:r w:rsidR="00DB2BD3">
        <w:rPr>
          <w:rFonts w:ascii="Century" w:eastAsia="Calibri" w:hAnsi="Century" w:cs="Times New Roman"/>
          <w:b/>
          <w:sz w:val="28"/>
          <w:szCs w:val="28"/>
        </w:rPr>
        <w:t xml:space="preserve">torney’s Fees; Form of Proposed </w:t>
      </w:r>
      <w:r w:rsidRPr="001539FC">
        <w:rPr>
          <w:rFonts w:ascii="Century" w:eastAsia="Calibri" w:hAnsi="Century" w:cs="Times New Roman"/>
          <w:b/>
          <w:sz w:val="28"/>
          <w:szCs w:val="28"/>
        </w:rPr>
        <w:t>Judgments</w:t>
      </w:r>
    </w:p>
    <w:p w:rsidR="00796B2D" w:rsidRPr="001539FC" w:rsidRDefault="00796B2D" w:rsidP="006213A8">
      <w:pPr>
        <w:spacing w:after="120"/>
        <w:ind w:left="389" w:hanging="389"/>
        <w:jc w:val="both"/>
        <w:rPr>
          <w:rFonts w:ascii="Century" w:eastAsia="Calibri" w:hAnsi="Century" w:cs="Times New Roman"/>
          <w:b/>
          <w:sz w:val="28"/>
          <w:szCs w:val="28"/>
        </w:rPr>
      </w:pPr>
      <w:r w:rsidRPr="001539FC">
        <w:rPr>
          <w:rFonts w:ascii="Century" w:eastAsia="Calibri" w:hAnsi="Century" w:cs="Times New Roman"/>
          <w:b/>
          <w:sz w:val="28"/>
          <w:szCs w:val="28"/>
        </w:rPr>
        <w:t>. . .</w:t>
      </w:r>
    </w:p>
    <w:p w:rsidR="00796B2D" w:rsidRPr="001539FC" w:rsidRDefault="00796B2D" w:rsidP="00796B2D">
      <w:pPr>
        <w:spacing w:after="120"/>
        <w:ind w:left="389" w:hanging="389"/>
        <w:jc w:val="both"/>
        <w:rPr>
          <w:rFonts w:ascii="Century" w:eastAsia="Calibri" w:hAnsi="Century" w:cs="Times New Roman"/>
          <w:b/>
          <w:sz w:val="28"/>
          <w:szCs w:val="28"/>
        </w:rPr>
      </w:pPr>
    </w:p>
    <w:p w:rsidR="00796B2D" w:rsidRPr="001539FC" w:rsidRDefault="00796B2D" w:rsidP="00796B2D">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Calibri" w:hAnsi="Century" w:cs="Times New Roman"/>
          <w:sz w:val="28"/>
          <w:szCs w:val="28"/>
        </w:rPr>
      </w:pPr>
      <w:r w:rsidRPr="001539FC">
        <w:rPr>
          <w:rFonts w:ascii="Century" w:eastAsia="Calibri" w:hAnsi="Century" w:cs="Times New Roman"/>
          <w:b/>
          <w:bCs/>
          <w:sz w:val="28"/>
          <w:szCs w:val="28"/>
        </w:rPr>
        <w:t>(f)</w:t>
      </w:r>
      <w:r w:rsidRPr="001539FC">
        <w:rPr>
          <w:rFonts w:ascii="Century" w:eastAsia="Calibri" w:hAnsi="Century" w:cs="Times New Roman"/>
          <w:b/>
          <w:bCs/>
          <w:sz w:val="28"/>
          <w:szCs w:val="28"/>
        </w:rPr>
        <w:tab/>
        <w:t>Request for Costs.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1539FC">
        <w:rPr>
          <w:rFonts w:ascii="Century" w:eastAsia="Calibri" w:hAnsi="Century" w:cs="Times New Roman"/>
          <w:b/>
          <w:i/>
          <w:sz w:val="28"/>
          <w:szCs w:val="28"/>
        </w:rPr>
        <w:t>Time for Filing Request if</w:t>
      </w:r>
      <w:r w:rsidRPr="001539FC">
        <w:rPr>
          <w:rFonts w:ascii="Century" w:eastAsia="Calibri" w:hAnsi="Century" w:cs="Times New Roman"/>
          <w:b/>
          <w:sz w:val="28"/>
          <w:szCs w:val="28"/>
        </w:rPr>
        <w:t xml:space="preserve"> </w:t>
      </w:r>
      <w:r w:rsidRPr="001539FC">
        <w:rPr>
          <w:rFonts w:ascii="Century" w:eastAsia="Calibri" w:hAnsi="Century" w:cs="Times New Roman"/>
          <w:b/>
          <w:i/>
          <w:sz w:val="28"/>
          <w:szCs w:val="28"/>
        </w:rPr>
        <w:t>a Motion for Attorney’s Fees Is Filed.</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If a party seeking costs also seeks an award of attorney’s fees, a verified request for an award of taxable costs under </w:t>
      </w:r>
      <w:proofErr w:type="spellStart"/>
      <w:r w:rsidRPr="001539FC">
        <w:rPr>
          <w:rFonts w:ascii="Century" w:eastAsia="Calibri" w:hAnsi="Century" w:cs="Times New Roman"/>
          <w:sz w:val="28"/>
          <w:szCs w:val="28"/>
        </w:rPr>
        <w:t>A.R.S</w:t>
      </w:r>
      <w:proofErr w:type="spellEnd"/>
      <w:r w:rsidRPr="001539FC">
        <w:rPr>
          <w:rFonts w:ascii="Century" w:eastAsia="Calibri" w:hAnsi="Century" w:cs="Times New Roman"/>
          <w:sz w:val="28"/>
          <w:szCs w:val="28"/>
        </w:rPr>
        <w:t xml:space="preserve">. § 12-332 must be filed on the same day the party files its motion for attorney’s fees under Rule 54(g).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Pr="001539FC">
        <w:rPr>
          <w:rFonts w:ascii="Century" w:eastAsia="Calibri" w:hAnsi="Century" w:cs="Times New Roman"/>
          <w:b/>
          <w:sz w:val="28"/>
          <w:szCs w:val="28"/>
        </w:rPr>
        <w:tab/>
      </w:r>
      <w:r w:rsidRPr="001539FC">
        <w:rPr>
          <w:rFonts w:ascii="Century" w:eastAsia="Calibri" w:hAnsi="Century" w:cs="Times New Roman"/>
          <w:b/>
          <w:i/>
          <w:sz w:val="28"/>
          <w:szCs w:val="28"/>
        </w:rPr>
        <w:t xml:space="preserve">Time for Filing Request if No Motion for Attorney’s Fees Is Filed.  </w:t>
      </w:r>
      <w:r w:rsidRPr="001539FC">
        <w:rPr>
          <w:rFonts w:ascii="Century" w:eastAsia="Calibri" w:hAnsi="Century" w:cs="Times New Roman"/>
          <w:sz w:val="28"/>
          <w:szCs w:val="28"/>
        </w:rPr>
        <w:t xml:space="preserve">If a party seeking costs does not seek an award of attorney’s fees under Rule 54(g), a </w:t>
      </w:r>
      <w:r w:rsidRPr="00B44F9C">
        <w:rPr>
          <w:rFonts w:ascii="Century" w:eastAsia="Calibri" w:hAnsi="Century" w:cs="Times New Roman"/>
          <w:sz w:val="28"/>
          <w:szCs w:val="28"/>
        </w:rPr>
        <w:t>verified</w:t>
      </w:r>
      <w:r w:rsidRPr="004E4F33">
        <w:rPr>
          <w:rFonts w:ascii="Century" w:eastAsia="Calibri" w:hAnsi="Century" w:cs="Times New Roman"/>
          <w:sz w:val="28"/>
          <w:szCs w:val="28"/>
        </w:rPr>
        <w:t xml:space="preserve"> </w:t>
      </w:r>
      <w:r w:rsidRPr="001539FC">
        <w:rPr>
          <w:rFonts w:ascii="Century" w:eastAsia="Calibri" w:hAnsi="Century" w:cs="Times New Roman"/>
          <w:sz w:val="28"/>
          <w:szCs w:val="28"/>
        </w:rPr>
        <w:t>request for costs must be filed within the time set forth below:</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Pr="001539FC">
        <w:rPr>
          <w:rFonts w:ascii="Century" w:eastAsia="Calibri" w:hAnsi="Century" w:cs="Times New Roman"/>
          <w:i/>
          <w:sz w:val="28"/>
          <w:szCs w:val="28"/>
        </w:rPr>
        <w:t>Rule 54(c) Judgments.</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If a decision adjudicates all claims and liabilities of all of the parties and judgment is to be entered under Rule 54(c), any request for costs must be filed within 20 days after the decision is </w:t>
      </w:r>
      <w:proofErr w:type="gramStart"/>
      <w:r w:rsidRPr="001539FC">
        <w:rPr>
          <w:rFonts w:ascii="Century" w:eastAsia="Calibri" w:hAnsi="Century" w:cs="Times New Roman"/>
          <w:sz w:val="28"/>
          <w:szCs w:val="28"/>
        </w:rPr>
        <w:t>filed,</w:t>
      </w:r>
      <w:proofErr w:type="gramEnd"/>
      <w:r w:rsidRPr="001539FC">
        <w:rPr>
          <w:rFonts w:ascii="Century" w:eastAsia="Calibri" w:hAnsi="Century" w:cs="Times New Roman"/>
          <w:sz w:val="28"/>
          <w:szCs w:val="28"/>
        </w:rPr>
        <w:t xml:space="preserve"> or by such other date as the court may order.</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(B)</w:t>
      </w:r>
      <w:r w:rsidRPr="001539FC">
        <w:rPr>
          <w:rFonts w:ascii="Century" w:eastAsia="Calibri" w:hAnsi="Century" w:cs="Times New Roman"/>
          <w:b/>
          <w:sz w:val="28"/>
          <w:szCs w:val="28"/>
        </w:rPr>
        <w:tab/>
      </w:r>
      <w:r w:rsidRPr="001539FC">
        <w:rPr>
          <w:rFonts w:ascii="Century" w:eastAsia="Calibri" w:hAnsi="Century" w:cs="Times New Roman"/>
          <w:i/>
          <w:sz w:val="28"/>
          <w:szCs w:val="28"/>
        </w:rPr>
        <w:t>Decisions Subject to Rule 54(b)—Adjudicating All Claims and Liabilities of Any Party.</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If a decision adjudicates all claims and liabilities of any party:</w:t>
      </w:r>
    </w:p>
    <w:p w:rsidR="00796B2D" w:rsidRPr="001539FC" w:rsidRDefault="00AF5A59" w:rsidP="00796B2D">
      <w:pPr>
        <w:tabs>
          <w:tab w:val="left" w:pos="389"/>
          <w:tab w:val="left" w:pos="605"/>
          <w:tab w:val="left" w:pos="778"/>
          <w:tab w:val="left" w:pos="1037"/>
          <w:tab w:val="left" w:pos="1368"/>
        </w:tabs>
        <w:autoSpaceDE w:val="0"/>
        <w:autoSpaceDN w:val="0"/>
        <w:adjustRightInd w:val="0"/>
        <w:spacing w:after="120"/>
        <w:ind w:left="1368" w:hanging="331"/>
        <w:jc w:val="both"/>
        <w:rPr>
          <w:rFonts w:ascii="Century" w:eastAsia="Calibri" w:hAnsi="Century" w:cs="Times New Roman"/>
          <w:sz w:val="28"/>
          <w:szCs w:val="28"/>
        </w:rPr>
      </w:pPr>
      <w:r>
        <w:rPr>
          <w:rFonts w:ascii="Century" w:eastAsia="Calibri" w:hAnsi="Century" w:cs="Times New Roman"/>
          <w:b/>
          <w:sz w:val="28"/>
          <w:szCs w:val="28"/>
        </w:rPr>
        <w:t xml:space="preserve">(i) </w:t>
      </w:r>
      <w:r w:rsidR="00796B2D" w:rsidRPr="001539FC">
        <w:rPr>
          <w:rFonts w:ascii="Century" w:eastAsia="Calibri" w:hAnsi="Century" w:cs="Times New Roman"/>
          <w:sz w:val="28"/>
          <w:szCs w:val="28"/>
        </w:rPr>
        <w:t xml:space="preserve">If that party or another party moves for entry of judgment under Rule 54(b), or includes Rule 54(b) language in a proposed form of judgment, a prevailing party seeking costs must file a verified request for an award of taxable costs under </w:t>
      </w:r>
      <w:proofErr w:type="spellStart"/>
      <w:r w:rsidR="00796B2D" w:rsidRPr="001539FC">
        <w:rPr>
          <w:rFonts w:ascii="Century" w:eastAsia="Calibri" w:hAnsi="Century" w:cs="Times New Roman"/>
          <w:sz w:val="28"/>
          <w:szCs w:val="28"/>
        </w:rPr>
        <w:t>A.R.S</w:t>
      </w:r>
      <w:proofErr w:type="spellEnd"/>
      <w:r w:rsidR="00796B2D" w:rsidRPr="001539FC">
        <w:rPr>
          <w:rFonts w:ascii="Century" w:eastAsia="Calibri" w:hAnsi="Century" w:cs="Times New Roman"/>
          <w:sz w:val="28"/>
          <w:szCs w:val="28"/>
        </w:rPr>
        <w:t>. § 12-332 within 20 days after service of the motion or proposed form of judgment seeking Rule 54(b) treatment, or by such other date as the court may order.</w:t>
      </w:r>
    </w:p>
    <w:p w:rsidR="00796B2D" w:rsidRPr="001539FC" w:rsidRDefault="00796B2D" w:rsidP="00796B2D">
      <w:pPr>
        <w:tabs>
          <w:tab w:val="left" w:pos="389"/>
          <w:tab w:val="left" w:pos="605"/>
          <w:tab w:val="left" w:pos="778"/>
          <w:tab w:val="left" w:pos="1037"/>
          <w:tab w:val="left" w:pos="1440"/>
        </w:tabs>
        <w:autoSpaceDE w:val="0"/>
        <w:autoSpaceDN w:val="0"/>
        <w:adjustRightInd w:val="0"/>
        <w:spacing w:after="120"/>
        <w:ind w:left="1440" w:hanging="403"/>
        <w:jc w:val="both"/>
        <w:rPr>
          <w:rFonts w:ascii="Century" w:eastAsia="Calibri" w:hAnsi="Century" w:cs="Times New Roman"/>
          <w:sz w:val="28"/>
          <w:szCs w:val="28"/>
        </w:rPr>
      </w:pPr>
      <w:r w:rsidRPr="001539FC">
        <w:rPr>
          <w:rFonts w:ascii="Century" w:eastAsia="Calibri" w:hAnsi="Century" w:cs="Times New Roman"/>
          <w:b/>
          <w:sz w:val="28"/>
          <w:szCs w:val="28"/>
        </w:rPr>
        <w:t>(ii)</w:t>
      </w:r>
      <w:r w:rsidR="00AF5A59">
        <w:rPr>
          <w:rFonts w:ascii="Century" w:eastAsia="Calibri" w:hAnsi="Century" w:cs="Times New Roman"/>
          <w:b/>
          <w:sz w:val="28"/>
          <w:szCs w:val="28"/>
        </w:rPr>
        <w:t xml:space="preserve"> </w:t>
      </w:r>
      <w:r w:rsidRPr="001539FC">
        <w:rPr>
          <w:rFonts w:ascii="Century" w:eastAsia="Calibri" w:hAnsi="Century" w:cs="Times New Roman"/>
          <w:sz w:val="28"/>
          <w:szCs w:val="28"/>
        </w:rPr>
        <w:t>If the court declines to enter judgment under Rule 54(b), or no party seeks entry of judgment under Rule 54(b), a prevailing party seeking costs must file a verified request for costs no later than 20 days after any decision is filed that adjudicates all remaining claims in the action, or 20 days after the action’s dismissal, whichever occurs first.</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lastRenderedPageBreak/>
        <w:t>(C)</w:t>
      </w:r>
      <w:r w:rsidRPr="001539FC">
        <w:rPr>
          <w:rFonts w:ascii="Century" w:eastAsia="Calibri" w:hAnsi="Century" w:cs="Times New Roman"/>
          <w:b/>
          <w:sz w:val="28"/>
          <w:szCs w:val="28"/>
        </w:rPr>
        <w:tab/>
      </w:r>
      <w:r w:rsidRPr="001539FC">
        <w:rPr>
          <w:rFonts w:ascii="Century" w:eastAsia="Calibri" w:hAnsi="Century" w:cs="Times New Roman"/>
          <w:i/>
          <w:sz w:val="28"/>
          <w:szCs w:val="28"/>
        </w:rPr>
        <w:t xml:space="preserve">Decisions Subject to Rule 54(b)—Adjudicating Fewer </w:t>
      </w:r>
      <w:proofErr w:type="gramStart"/>
      <w:r w:rsidRPr="001539FC">
        <w:rPr>
          <w:rFonts w:ascii="Century" w:eastAsia="Calibri" w:hAnsi="Century" w:cs="Times New Roman"/>
          <w:i/>
          <w:sz w:val="28"/>
          <w:szCs w:val="28"/>
        </w:rPr>
        <w:t>Than</w:t>
      </w:r>
      <w:proofErr w:type="gramEnd"/>
      <w:r w:rsidRPr="001539FC">
        <w:rPr>
          <w:rFonts w:ascii="Century" w:eastAsia="Calibri" w:hAnsi="Century" w:cs="Times New Roman"/>
          <w:i/>
          <w:sz w:val="28"/>
          <w:szCs w:val="28"/>
        </w:rPr>
        <w:t xml:space="preserve"> All Claims and Liabilities of a Party.  </w:t>
      </w:r>
      <w:r w:rsidRPr="001539FC">
        <w:rPr>
          <w:rFonts w:ascii="Century" w:eastAsia="Calibri" w:hAnsi="Century" w:cs="Times New Roman"/>
          <w:sz w:val="28"/>
          <w:szCs w:val="28"/>
        </w:rPr>
        <w:t xml:space="preserve">If a decision or judgment adjudicates fewer than all claims and liabilities of a party, a prevailing party seeking costs must file a verified request for costs no later than 20 days after any decision is filed that adjudicates all remaining claims in the action, or 20 days after the action’s dismissal, whichever occurs first. </w:t>
      </w:r>
    </w:p>
    <w:p w:rsidR="00796B2D" w:rsidRPr="00B44F9C" w:rsidRDefault="007F0247" w:rsidP="00191CF4">
      <w:pPr>
        <w:ind w:left="778" w:hanging="389"/>
        <w:jc w:val="both"/>
        <w:rPr>
          <w:rFonts w:ascii="Century" w:eastAsia="Calibri" w:hAnsi="Century" w:cs="Times New Roman"/>
          <w:sz w:val="28"/>
          <w:szCs w:val="28"/>
        </w:rPr>
      </w:pPr>
      <w:r>
        <w:rPr>
          <w:rFonts w:ascii="Century" w:eastAsia="Calibri" w:hAnsi="Century" w:cs="Times New Roman"/>
          <w:b/>
          <w:sz w:val="28"/>
          <w:szCs w:val="28"/>
        </w:rPr>
        <w:t xml:space="preserve">(3) </w:t>
      </w:r>
      <w:r w:rsidR="00796B2D" w:rsidRPr="00B44F9C">
        <w:rPr>
          <w:rFonts w:ascii="Century" w:eastAsia="Calibri" w:hAnsi="Century" w:cs="Times New Roman"/>
          <w:b/>
          <w:i/>
          <w:sz w:val="28"/>
          <w:szCs w:val="28"/>
        </w:rPr>
        <w:t>Response and Reply.</w:t>
      </w:r>
      <w:r w:rsidR="00796B2D" w:rsidRPr="00B44F9C">
        <w:rPr>
          <w:rFonts w:ascii="Century" w:eastAsia="Calibri" w:hAnsi="Century" w:cs="Times New Roman"/>
          <w:b/>
          <w:sz w:val="28"/>
          <w:szCs w:val="28"/>
        </w:rPr>
        <w:t xml:space="preserve">  </w:t>
      </w:r>
      <w:r w:rsidR="00796B2D" w:rsidRPr="00B44F9C">
        <w:rPr>
          <w:rFonts w:ascii="Century" w:eastAsia="Calibri" w:hAnsi="Century" w:cs="Times New Roman"/>
          <w:sz w:val="28"/>
          <w:szCs w:val="28"/>
        </w:rPr>
        <w:t>A party opposing a request for costs must file a response within 5 days after the request is served. Any reply must be filed within 5 days after the response is served.</w:t>
      </w:r>
    </w:p>
    <w:p w:rsidR="00796B2D" w:rsidRPr="00CF09B7" w:rsidRDefault="00796B2D"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796B2D">
      <w:pPr>
        <w:spacing w:after="120"/>
        <w:jc w:val="both"/>
        <w:rPr>
          <w:rFonts w:ascii="Century" w:eastAsia="Calibri" w:hAnsi="Century" w:cs="Times New Roman"/>
          <w:sz w:val="28"/>
          <w:szCs w:val="28"/>
        </w:rPr>
      </w:pPr>
    </w:p>
    <w:p w:rsidR="00835A02"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Pr>
          <w:rFonts w:ascii="Century" w:eastAsia="Calibri" w:hAnsi="Century" w:cs="Times New Roman"/>
          <w:b/>
          <w:sz w:val="28"/>
          <w:szCs w:val="28"/>
        </w:rPr>
        <w:t>(g</w:t>
      </w:r>
      <w:r w:rsidRPr="001539FC">
        <w:rPr>
          <w:rFonts w:ascii="Century" w:eastAsia="Calibri" w:hAnsi="Century" w:cs="Times New Roman"/>
          <w:b/>
          <w:sz w:val="28"/>
          <w:szCs w:val="28"/>
        </w:rPr>
        <w:t>)</w:t>
      </w:r>
      <w:r w:rsidR="00AF5A59">
        <w:rPr>
          <w:rFonts w:ascii="Century" w:eastAsia="Calibri" w:hAnsi="Century" w:cs="Times New Roman"/>
          <w:b/>
          <w:sz w:val="28"/>
          <w:szCs w:val="28"/>
        </w:rPr>
        <w:t xml:space="preserve"> </w:t>
      </w:r>
      <w:r>
        <w:rPr>
          <w:rFonts w:ascii="Century" w:eastAsia="Calibri" w:hAnsi="Century" w:cs="Times New Roman"/>
          <w:b/>
          <w:sz w:val="28"/>
          <w:szCs w:val="28"/>
        </w:rPr>
        <w:t>Attorney’s Fees</w:t>
      </w:r>
      <w:r w:rsidRPr="001539FC">
        <w:rPr>
          <w:rFonts w:ascii="Century" w:eastAsia="Times New Roman" w:hAnsi="Century" w:cs="Times New Roman"/>
          <w:b/>
          <w:bCs/>
          <w:sz w:val="28"/>
          <w:szCs w:val="28"/>
        </w:rPr>
        <w: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Pr>
          <w:rFonts w:ascii="Century" w:eastAsia="Calibri" w:hAnsi="Century" w:cs="Times New Roman"/>
          <w:b/>
          <w:sz w:val="28"/>
          <w:szCs w:val="28"/>
        </w:rPr>
        <w:t>(2</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r>
        <w:rPr>
          <w:rFonts w:ascii="Century" w:eastAsia="Calibri" w:hAnsi="Century" w:cs="Times New Roman"/>
          <w:b/>
          <w:i/>
          <w:sz w:val="28"/>
          <w:szCs w:val="28"/>
        </w:rPr>
        <w:t>Time for Filing Motion—Rule 54(c) Judgments</w:t>
      </w:r>
      <w:r w:rsidRPr="001539FC">
        <w:rPr>
          <w:rFonts w:ascii="Century" w:eastAsia="Calibri" w:hAnsi="Century" w:cs="Times New Roman"/>
          <w:b/>
          <w:i/>
          <w:sz w:val="28"/>
          <w:szCs w:val="28"/>
        </w:rPr>
        <w:t>.</w:t>
      </w:r>
      <w:r w:rsidRPr="001539FC">
        <w:rPr>
          <w:rFonts w:ascii="Century" w:eastAsia="Calibri" w:hAnsi="Century" w:cs="Times New Roman"/>
          <w:sz w:val="28"/>
          <w:szCs w:val="28"/>
        </w:rPr>
        <w:t xml:space="preserve">  </w:t>
      </w:r>
      <w:r>
        <w:rPr>
          <w:rFonts w:ascii="Century" w:eastAsia="Calibri" w:hAnsi="Century" w:cs="Times New Roman"/>
          <w:sz w:val="28"/>
          <w:szCs w:val="28"/>
        </w:rPr>
        <w:t>If a decision adjudicates all claims and liabilities of all of the parties</w:t>
      </w:r>
      <w:r w:rsidRPr="00B04308">
        <w:rPr>
          <w:rFonts w:ascii="Century" w:eastAsia="Calibri" w:hAnsi="Century" w:cs="Times New Roman"/>
          <w:sz w:val="28"/>
          <w:szCs w:val="28"/>
        </w:rPr>
        <w:t xml:space="preserve">, except a claim for attorney’s fees, </w:t>
      </w:r>
      <w:r>
        <w:rPr>
          <w:rFonts w:ascii="Century" w:eastAsia="Calibri" w:hAnsi="Century" w:cs="Times New Roman"/>
          <w:sz w:val="28"/>
          <w:szCs w:val="28"/>
        </w:rPr>
        <w:t xml:space="preserve">and judgment is to be entered under Rule 54(c), any motion for attorney’s fees must be filled within 20 days after the decision is </w:t>
      </w:r>
      <w:proofErr w:type="gramStart"/>
      <w:r>
        <w:rPr>
          <w:rFonts w:ascii="Century" w:eastAsia="Calibri" w:hAnsi="Century" w:cs="Times New Roman"/>
          <w:sz w:val="28"/>
          <w:szCs w:val="28"/>
        </w:rPr>
        <w:t>filed,</w:t>
      </w:r>
      <w:proofErr w:type="gramEnd"/>
      <w:r>
        <w:rPr>
          <w:rFonts w:ascii="Century" w:eastAsia="Calibri" w:hAnsi="Century" w:cs="Times New Roman"/>
          <w:sz w:val="28"/>
          <w:szCs w:val="28"/>
        </w:rPr>
        <w:t xml:space="preserve"> or by such other date as the court may order. </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p>
    <w:p w:rsidR="00796B2D"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sidRPr="001539FC">
        <w:rPr>
          <w:rFonts w:ascii="Century" w:eastAsia="Calibri" w:hAnsi="Century" w:cs="Times New Roman"/>
          <w:b/>
          <w:sz w:val="28"/>
          <w:szCs w:val="28"/>
        </w:rPr>
        <w:t xml:space="preserve"> </w:t>
      </w:r>
      <w:r w:rsidR="00796B2D" w:rsidRPr="001539FC">
        <w:rPr>
          <w:rFonts w:ascii="Century" w:eastAsia="Calibri" w:hAnsi="Century" w:cs="Times New Roman"/>
          <w:b/>
          <w:sz w:val="28"/>
          <w:szCs w:val="28"/>
        </w:rPr>
        <w:t>(i)</w:t>
      </w:r>
      <w:r w:rsidR="00796B2D" w:rsidRPr="001539FC">
        <w:rPr>
          <w:rFonts w:ascii="Century" w:eastAsia="Calibri" w:hAnsi="Century" w:cs="Times New Roman"/>
          <w:b/>
          <w:sz w:val="28"/>
          <w:szCs w:val="28"/>
        </w:rPr>
        <w:tab/>
        <w:t xml:space="preserve">Scope; </w:t>
      </w:r>
      <w:r w:rsidR="00796B2D" w:rsidRPr="001539FC">
        <w:rPr>
          <w:rFonts w:ascii="Century" w:eastAsia="Times New Roman" w:hAnsi="Century" w:cs="Times New Roman"/>
          <w:b/>
          <w:bCs/>
          <w:sz w:val="28"/>
          <w:szCs w:val="28"/>
        </w:rPr>
        <w:t>Jurisdiction.</w:t>
      </w:r>
    </w:p>
    <w:p w:rsidR="00796B2D" w:rsidRPr="00CF0341"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r w:rsidRPr="001539FC">
        <w:rPr>
          <w:rFonts w:ascii="Century" w:eastAsia="Calibri" w:hAnsi="Century" w:cs="Times New Roman"/>
          <w:b/>
          <w:i/>
          <w:sz w:val="28"/>
          <w:szCs w:val="28"/>
        </w:rPr>
        <w:t>Scope.</w:t>
      </w:r>
      <w:r w:rsidRPr="001539FC">
        <w:rPr>
          <w:rFonts w:ascii="Century" w:eastAsia="Calibri" w:hAnsi="Century" w:cs="Times New Roman"/>
          <w:sz w:val="28"/>
          <w:szCs w:val="28"/>
        </w:rPr>
        <w:t xml:space="preserve">  Rules 54(f) and (g) do not apply to claims for </w:t>
      </w:r>
      <w:r w:rsidRPr="00CF0341">
        <w:rPr>
          <w:rFonts w:ascii="Century" w:eastAsia="Calibri" w:hAnsi="Century" w:cs="Times New Roman"/>
          <w:sz w:val="28"/>
          <w:szCs w:val="28"/>
        </w:rPr>
        <w:t xml:space="preserve">taxable costs, and attorney’s </w:t>
      </w:r>
      <w:r w:rsidR="00CF0341">
        <w:rPr>
          <w:rFonts w:ascii="Century" w:eastAsia="Calibri" w:hAnsi="Century" w:cs="Times New Roman"/>
          <w:sz w:val="28"/>
          <w:szCs w:val="28"/>
        </w:rPr>
        <w:t xml:space="preserve">fees </w:t>
      </w:r>
      <w:r w:rsidRPr="00CF0341">
        <w:rPr>
          <w:rFonts w:ascii="Century" w:eastAsia="Calibri" w:hAnsi="Century" w:cs="Times New Roman"/>
          <w:sz w:val="28"/>
          <w:szCs w:val="28"/>
        </w:rPr>
        <w:t>that may be awarded as sanctions under a statute or rule, or if the substantive law requires fees to be proved at trial as an element of damages.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00AF5A59">
        <w:rPr>
          <w:rFonts w:ascii="Century" w:eastAsia="Calibri" w:hAnsi="Century" w:cs="Times New Roman"/>
          <w:b/>
          <w:sz w:val="28"/>
          <w:szCs w:val="28"/>
        </w:rPr>
        <w:t xml:space="preserve"> </w:t>
      </w:r>
      <w:r w:rsidRPr="001539FC">
        <w:rPr>
          <w:rFonts w:ascii="Century" w:eastAsia="Times New Roman" w:hAnsi="Century" w:cs="Times New Roman"/>
          <w:b/>
          <w:i/>
          <w:sz w:val="28"/>
          <w:szCs w:val="28"/>
        </w:rPr>
        <w:t>Jurisdiction</w:t>
      </w:r>
      <w:r w:rsidRPr="001539FC">
        <w:rPr>
          <w:rFonts w:ascii="Century" w:eastAsia="Calibri" w:hAnsi="Century" w:cs="Times New Roman"/>
          <w:sz w:val="28"/>
          <w:szCs w:val="28"/>
        </w:rPr>
        <w:t>.  If a judgment certified under Rule 54(b) adjudicates fewer than all of the claims and liabilities of any party, the court retains jurisdiction:</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00AF5A59">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to award costs with respect to that judgment, if a request for costs is timely filed under Rule 54(f); and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lastRenderedPageBreak/>
        <w:t>(B)</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sidRPr="001539FC">
        <w:rPr>
          <w:rFonts w:ascii="Century" w:eastAsia="Calibri" w:hAnsi="Century" w:cs="Times New Roman"/>
          <w:sz w:val="28"/>
          <w:szCs w:val="28"/>
        </w:rPr>
        <w:t>to</w:t>
      </w:r>
      <w:proofErr w:type="gramEnd"/>
      <w:r w:rsidRPr="001539FC">
        <w:rPr>
          <w:rFonts w:ascii="Century" w:eastAsia="Calibri" w:hAnsi="Century" w:cs="Times New Roman"/>
          <w:sz w:val="28"/>
          <w:szCs w:val="28"/>
        </w:rPr>
        <w:t xml:space="preserve"> award attorney’s fees with respect to that judgment, if a motion for fees is timely filed under Rule 54(g).</w:t>
      </w:r>
    </w:p>
    <w:p w:rsidR="00796B2D" w:rsidRDefault="00796B2D" w:rsidP="00796B2D">
      <w:pPr>
        <w:spacing w:after="200" w:line="276" w:lineRule="auto"/>
        <w:rPr>
          <w:rFonts w:ascii="Century" w:eastAsia="Calibri" w:hAnsi="Century" w:cs="Times New Roman"/>
          <w:sz w:val="28"/>
          <w:szCs w:val="28"/>
        </w:rPr>
        <w:sectPr w:rsidR="00796B2D" w:rsidSect="00EF2653">
          <w:footerReference w:type="default" r:id="rId17"/>
          <w:footerReference w:type="first" r:id="rId18"/>
          <w:pgSz w:w="12240" w:h="15840"/>
          <w:pgMar w:top="1440" w:right="1440" w:bottom="1440" w:left="1440" w:header="720" w:footer="720" w:gutter="0"/>
          <w:cols w:space="720"/>
          <w:docGrid w:linePitch="360"/>
        </w:sectPr>
      </w:pPr>
    </w:p>
    <w:p w:rsidR="00835A02" w:rsidRDefault="00835A02" w:rsidP="00AE78BC">
      <w:pPr>
        <w:ind w:left="389" w:hanging="389"/>
        <w:jc w:val="both"/>
        <w:rPr>
          <w:rFonts w:ascii="Century" w:eastAsia="Calibri" w:hAnsi="Century" w:cs="Times New Roman"/>
          <w:b/>
          <w:sz w:val="28"/>
          <w:szCs w:val="28"/>
        </w:rPr>
      </w:pPr>
      <w:proofErr w:type="gramStart"/>
      <w:r>
        <w:rPr>
          <w:rFonts w:ascii="Century" w:eastAsia="Calibri" w:hAnsi="Century" w:cs="Times New Roman"/>
          <w:b/>
          <w:sz w:val="28"/>
          <w:szCs w:val="28"/>
        </w:rPr>
        <w:lastRenderedPageBreak/>
        <w:t>Rule 55</w:t>
      </w:r>
      <w:r w:rsidRPr="001539FC">
        <w:rPr>
          <w:rFonts w:ascii="Century" w:eastAsia="Calibri" w:hAnsi="Century" w:cs="Times New Roman"/>
          <w:b/>
          <w:sz w:val="28"/>
          <w:szCs w:val="28"/>
        </w:rPr>
        <w:t>.</w:t>
      </w:r>
      <w:proofErr w:type="gramEnd"/>
      <w:r w:rsidRPr="001539FC">
        <w:rPr>
          <w:rFonts w:ascii="Century" w:eastAsia="Calibri" w:hAnsi="Century" w:cs="Times New Roman"/>
          <w:b/>
          <w:sz w:val="28"/>
          <w:szCs w:val="28"/>
        </w:rPr>
        <w:tab/>
      </w:r>
      <w:r w:rsidR="004434EA">
        <w:rPr>
          <w:rFonts w:ascii="Century" w:eastAsia="Calibri" w:hAnsi="Century" w:cs="Times New Roman"/>
          <w:b/>
          <w:sz w:val="28"/>
          <w:szCs w:val="28"/>
        </w:rPr>
        <w:t>Default; Default Judgment</w:t>
      </w:r>
    </w:p>
    <w:p w:rsidR="00835A02" w:rsidRDefault="00835A02" w:rsidP="006213A8">
      <w:pPr>
        <w:spacing w:after="120"/>
        <w:ind w:left="389" w:hanging="389"/>
        <w:jc w:val="both"/>
        <w:rPr>
          <w:rFonts w:ascii="Century" w:eastAsia="Calibri" w:hAnsi="Century" w:cs="Times New Roman"/>
          <w:b/>
          <w:sz w:val="28"/>
          <w:szCs w:val="28"/>
        </w:rPr>
      </w:pPr>
    </w:p>
    <w:p w:rsidR="00835A02"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Pr>
          <w:rFonts w:ascii="Century" w:eastAsia="Calibri" w:hAnsi="Century" w:cs="Times New Roman"/>
          <w:b/>
          <w:sz w:val="28"/>
          <w:szCs w:val="28"/>
        </w:rPr>
        <w:t>(a</w:t>
      </w:r>
      <w:r w:rsidRPr="001539FC">
        <w:rPr>
          <w:rFonts w:ascii="Century" w:eastAsia="Calibri" w:hAnsi="Century" w:cs="Times New Roman"/>
          <w:b/>
          <w:sz w:val="28"/>
          <w:szCs w:val="28"/>
        </w:rPr>
        <w:t>)</w:t>
      </w:r>
      <w:r w:rsidR="00AF5A59">
        <w:rPr>
          <w:rFonts w:ascii="Century" w:eastAsia="Calibri" w:hAnsi="Century" w:cs="Times New Roman"/>
          <w:b/>
          <w:sz w:val="28"/>
          <w:szCs w:val="28"/>
        </w:rPr>
        <w:t xml:space="preserve"> </w:t>
      </w:r>
      <w:r>
        <w:rPr>
          <w:rFonts w:ascii="Century" w:eastAsia="Calibri" w:hAnsi="Century" w:cs="Times New Roman"/>
          <w:b/>
          <w:sz w:val="28"/>
          <w:szCs w:val="28"/>
        </w:rPr>
        <w:t>Entering a Default</w:t>
      </w:r>
      <w:r w:rsidRPr="001539FC">
        <w:rPr>
          <w:rFonts w:ascii="Century" w:eastAsia="Times New Roman" w:hAnsi="Century" w:cs="Times New Roman"/>
          <w:b/>
          <w:bCs/>
          <w:sz w:val="28"/>
          <w:szCs w:val="28"/>
        </w:rPr>
        <w: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p>
    <w:p w:rsidR="00835A02" w:rsidRPr="00835A02"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Pr>
          <w:rFonts w:ascii="Century" w:eastAsia="Calibri" w:hAnsi="Century" w:cs="Times New Roman"/>
          <w:b/>
          <w:sz w:val="28"/>
          <w:szCs w:val="28"/>
        </w:rPr>
        <w:t>(2</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r>
        <w:rPr>
          <w:rFonts w:ascii="Century" w:eastAsia="Calibri" w:hAnsi="Century" w:cs="Times New Roman"/>
          <w:b/>
          <w:i/>
          <w:sz w:val="28"/>
          <w:szCs w:val="28"/>
        </w:rPr>
        <w:t>Application for Default.</w:t>
      </w:r>
      <w:r w:rsidRPr="001539FC">
        <w:rPr>
          <w:rFonts w:ascii="Century" w:eastAsia="Calibri" w:hAnsi="Century" w:cs="Times New Roman"/>
          <w:sz w:val="28"/>
          <w:szCs w:val="28"/>
        </w:rPr>
        <w:t xml:space="preserve">  </w:t>
      </w:r>
      <w:r>
        <w:rPr>
          <w:rFonts w:ascii="Century" w:eastAsia="Calibri" w:hAnsi="Century" w:cs="Times New Roman"/>
          <w:sz w:val="28"/>
          <w:szCs w:val="28"/>
        </w:rPr>
        <w:t>A party seeking entry of default must file a written application that: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jc w:val="both"/>
        <w:rPr>
          <w:rFonts w:ascii="Century" w:eastAsia="Calibri" w:hAnsi="Century" w:cs="Times New Roman"/>
          <w:sz w:val="28"/>
          <w:szCs w:val="28"/>
        </w:rPr>
      </w:pP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Pr>
          <w:rFonts w:ascii="Century" w:eastAsia="Calibri" w:hAnsi="Century" w:cs="Times New Roman"/>
          <w:b/>
          <w:sz w:val="28"/>
          <w:szCs w:val="28"/>
        </w:rPr>
        <w:t>(C</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Pr>
          <w:rFonts w:ascii="Century" w:eastAsia="Calibri" w:hAnsi="Century" w:cs="Times New Roman"/>
          <w:sz w:val="28"/>
          <w:szCs w:val="28"/>
        </w:rPr>
        <w:t>provides</w:t>
      </w:r>
      <w:proofErr w:type="gramEnd"/>
      <w:r>
        <w:rPr>
          <w:rFonts w:ascii="Century" w:eastAsia="Calibri" w:hAnsi="Century" w:cs="Times New Roman"/>
          <w:sz w:val="28"/>
          <w:szCs w:val="28"/>
        </w:rPr>
        <w:t xml:space="preserve"> a current mailing address for the party claimed to be in default or, if none is known, so state</w:t>
      </w:r>
      <w:r w:rsidRPr="00A11F3E">
        <w:rPr>
          <w:rFonts w:ascii="Century" w:eastAsia="Calibri" w:hAnsi="Century" w:cs="Times New Roman"/>
          <w:sz w:val="28"/>
          <w:szCs w:val="28"/>
        </w:rPr>
        <w:t>s</w:t>
      </w:r>
      <w:r>
        <w:rPr>
          <w:rFonts w:ascii="Century" w:eastAsia="Calibri" w:hAnsi="Century" w:cs="Times New Roman"/>
          <w:sz w:val="28"/>
          <w:szCs w:val="28"/>
        </w:rPr>
        <w:t>;</w:t>
      </w:r>
    </w:p>
    <w:p w:rsidR="00835A02" w:rsidRDefault="00835A02" w:rsidP="00835A02">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w:t>
      </w:r>
      <w:r>
        <w:rPr>
          <w:rFonts w:ascii="Century" w:eastAsia="Calibri" w:hAnsi="Century" w:cs="Times New Roman"/>
          <w:b/>
          <w:sz w:val="28"/>
          <w:szCs w:val="28"/>
        </w:rPr>
        <w:t>D</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AF5A59">
        <w:rPr>
          <w:rFonts w:ascii="Century" w:eastAsia="Calibri" w:hAnsi="Century" w:cs="Times New Roman"/>
          <w:b/>
          <w:sz w:val="28"/>
          <w:szCs w:val="28"/>
        </w:rPr>
        <w:t xml:space="preserve"> </w:t>
      </w:r>
      <w:proofErr w:type="gramStart"/>
      <w:r>
        <w:rPr>
          <w:rFonts w:ascii="Century" w:eastAsia="Calibri" w:hAnsi="Century" w:cs="Times New Roman"/>
          <w:sz w:val="28"/>
          <w:szCs w:val="28"/>
        </w:rPr>
        <w:t>identifies</w:t>
      </w:r>
      <w:proofErr w:type="gramEnd"/>
      <w:r>
        <w:rPr>
          <w:rFonts w:ascii="Century" w:eastAsia="Calibri" w:hAnsi="Century" w:cs="Times New Roman"/>
          <w:sz w:val="28"/>
          <w:szCs w:val="28"/>
        </w:rPr>
        <w:t xml:space="preserve"> any attorney known to represent the party claimed to be in default in the action in which default is sought or in a related matter, or state</w:t>
      </w:r>
      <w:r w:rsidRPr="00A11F3E">
        <w:rPr>
          <w:rFonts w:ascii="Century" w:eastAsia="Calibri" w:hAnsi="Century" w:cs="Times New Roman"/>
          <w:sz w:val="28"/>
          <w:szCs w:val="28"/>
        </w:rPr>
        <w:t xml:space="preserve">s </w:t>
      </w:r>
      <w:r>
        <w:rPr>
          <w:rFonts w:ascii="Century" w:eastAsia="Calibri" w:hAnsi="Century" w:cs="Times New Roman"/>
          <w:sz w:val="28"/>
          <w:szCs w:val="28"/>
        </w:rPr>
        <w:t>that no such attorney is known;</w:t>
      </w:r>
    </w:p>
    <w:p w:rsidR="00856B75" w:rsidRDefault="00856B75" w:rsidP="00856B75">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Pr>
          <w:rFonts w:ascii="Century" w:hAnsi="Century" w:cs="Times New Roman"/>
          <w:b/>
          <w:bCs/>
          <w:sz w:val="28"/>
          <w:szCs w:val="28"/>
        </w:rPr>
        <w:t>. . .</w:t>
      </w:r>
    </w:p>
    <w:p w:rsidR="00856B75" w:rsidRPr="001539FC" w:rsidRDefault="00856B75" w:rsidP="00835A02">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p>
    <w:p w:rsidR="00835A02" w:rsidRDefault="00835A02" w:rsidP="00796B2D">
      <w:pPr>
        <w:keepNext/>
        <w:tabs>
          <w:tab w:val="left" w:pos="1238"/>
        </w:tabs>
        <w:autoSpaceDE w:val="0"/>
        <w:autoSpaceDN w:val="0"/>
        <w:adjustRightInd w:val="0"/>
        <w:spacing w:after="120"/>
        <w:ind w:left="720" w:hanging="720"/>
        <w:jc w:val="both"/>
        <w:rPr>
          <w:rFonts w:ascii="Century" w:eastAsia="Calibri" w:hAnsi="Century" w:cs="Times New Roman"/>
          <w:b/>
          <w:sz w:val="28"/>
          <w:szCs w:val="28"/>
        </w:rPr>
        <w:sectPr w:rsidR="00835A02" w:rsidSect="00AC6FC4">
          <w:footerReference w:type="first" r:id="rId19"/>
          <w:pgSz w:w="12240" w:h="15840"/>
          <w:pgMar w:top="1440" w:right="1440" w:bottom="1440" w:left="1440" w:header="720" w:footer="720" w:gutter="0"/>
          <w:cols w:space="720"/>
          <w:titlePg/>
          <w:docGrid w:linePitch="360"/>
        </w:sectPr>
      </w:pPr>
    </w:p>
    <w:p w:rsidR="00796B2D" w:rsidRPr="001539FC" w:rsidRDefault="00796B2D" w:rsidP="00796B2D">
      <w:pPr>
        <w:keepNext/>
        <w:tabs>
          <w:tab w:val="left" w:pos="1238"/>
        </w:tabs>
        <w:autoSpaceDE w:val="0"/>
        <w:autoSpaceDN w:val="0"/>
        <w:adjustRightInd w:val="0"/>
        <w:spacing w:after="120"/>
        <w:ind w:left="720" w:hanging="720"/>
        <w:jc w:val="both"/>
        <w:rPr>
          <w:rFonts w:ascii="Century" w:eastAsia="Calibri" w:hAnsi="Century" w:cs="Times New Roman"/>
          <w:b/>
          <w:sz w:val="28"/>
          <w:szCs w:val="28"/>
        </w:rPr>
      </w:pPr>
      <w:proofErr w:type="gramStart"/>
      <w:r w:rsidRPr="001539FC">
        <w:rPr>
          <w:rFonts w:ascii="Century" w:eastAsia="Calibri" w:hAnsi="Century" w:cs="Times New Roman"/>
          <w:b/>
          <w:sz w:val="28"/>
          <w:szCs w:val="28"/>
        </w:rPr>
        <w:lastRenderedPageBreak/>
        <w:t>Rule 56.</w:t>
      </w:r>
      <w:proofErr w:type="gramEnd"/>
      <w:r w:rsidRPr="001539FC">
        <w:rPr>
          <w:rFonts w:ascii="Century" w:eastAsia="Calibri" w:hAnsi="Century" w:cs="Times New Roman"/>
          <w:b/>
          <w:sz w:val="28"/>
          <w:szCs w:val="28"/>
        </w:rPr>
        <w:tab/>
        <w:t>Summary Judgment</w:t>
      </w:r>
    </w:p>
    <w:p w:rsidR="00796B2D" w:rsidRDefault="00796B2D" w:rsidP="006213A8">
      <w:pPr>
        <w:tabs>
          <w:tab w:val="left" w:pos="389"/>
          <w:tab w:val="left" w:pos="605"/>
          <w:tab w:val="left" w:pos="778"/>
          <w:tab w:val="left" w:pos="1037"/>
          <w:tab w:val="left" w:pos="1368"/>
        </w:tabs>
        <w:autoSpaceDE w:val="0"/>
        <w:autoSpaceDN w:val="0"/>
        <w:adjustRightInd w:val="0"/>
        <w:spacing w:after="120"/>
        <w:jc w:val="both"/>
        <w:rPr>
          <w:rFonts w:ascii="Century" w:eastAsia="Calibri" w:hAnsi="Century" w:cs="Times New Roman"/>
          <w:b/>
          <w:sz w:val="28"/>
          <w:szCs w:val="28"/>
        </w:rPr>
      </w:pPr>
      <w:r w:rsidRPr="001539FC">
        <w:rPr>
          <w:rFonts w:ascii="Century" w:eastAsia="Calibri" w:hAnsi="Century" w:cs="Times New Roman"/>
          <w:b/>
          <w:sz w:val="28"/>
          <w:szCs w:val="28"/>
        </w:rPr>
        <w:t>. .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jc w:val="both"/>
        <w:rPr>
          <w:rFonts w:ascii="Century" w:eastAsia="Calibri" w:hAnsi="Century" w:cs="Times New Roman"/>
          <w:b/>
          <w:sz w:val="28"/>
          <w:szCs w:val="28"/>
        </w:rPr>
      </w:pPr>
    </w:p>
    <w:p w:rsidR="00796B2D" w:rsidRPr="001539FC" w:rsidRDefault="00796B2D" w:rsidP="00796B2D">
      <w:pPr>
        <w:keepNext/>
        <w:autoSpaceDE w:val="0"/>
        <w:autoSpaceDN w:val="0"/>
        <w:adjustRightInd w:val="0"/>
        <w:spacing w:after="120"/>
        <w:jc w:val="center"/>
        <w:rPr>
          <w:rFonts w:ascii="Century" w:hAnsi="Century" w:cs="Times New Roman"/>
          <w:b/>
          <w:bCs/>
          <w:sz w:val="28"/>
          <w:szCs w:val="28"/>
        </w:rPr>
      </w:pPr>
      <w:r w:rsidRPr="001539FC">
        <w:rPr>
          <w:rFonts w:ascii="Century" w:hAnsi="Century" w:cs="Times New Roman"/>
          <w:b/>
          <w:bCs/>
          <w:sz w:val="28"/>
          <w:szCs w:val="28"/>
        </w:rPr>
        <w:t>Comment</w:t>
      </w:r>
    </w:p>
    <w:p w:rsidR="00796B2D" w:rsidRPr="001539FC" w:rsidRDefault="00796B2D" w:rsidP="00796B2D">
      <w:pPr>
        <w:keepNext/>
        <w:autoSpaceDE w:val="0"/>
        <w:autoSpaceDN w:val="0"/>
        <w:adjustRightInd w:val="0"/>
        <w:spacing w:after="240"/>
        <w:jc w:val="center"/>
        <w:rPr>
          <w:rFonts w:ascii="Century" w:hAnsi="Century" w:cs="Times New Roman"/>
          <w:bCs/>
          <w:sz w:val="28"/>
          <w:szCs w:val="28"/>
        </w:rPr>
      </w:pPr>
      <w:r w:rsidRPr="001539FC">
        <w:rPr>
          <w:rFonts w:ascii="Century" w:hAnsi="Century" w:cs="Times New Roman"/>
          <w:b/>
          <w:bCs/>
          <w:sz w:val="28"/>
          <w:szCs w:val="28"/>
        </w:rPr>
        <w:t>2017 Amendments</w:t>
      </w:r>
    </w:p>
    <w:p w:rsidR="00796B2D" w:rsidRPr="001539FC" w:rsidRDefault="00796B2D" w:rsidP="00796B2D">
      <w:pPr>
        <w:autoSpaceDE w:val="0"/>
        <w:autoSpaceDN w:val="0"/>
        <w:adjustRightInd w:val="0"/>
        <w:spacing w:after="120"/>
        <w:ind w:firstLine="144"/>
        <w:jc w:val="both"/>
        <w:rPr>
          <w:rFonts w:ascii="Century" w:hAnsi="Century" w:cs="Times New Roman"/>
          <w:bCs/>
          <w:sz w:val="28"/>
          <w:szCs w:val="28"/>
        </w:rPr>
      </w:pPr>
      <w:r w:rsidRPr="001539FC">
        <w:rPr>
          <w:rFonts w:ascii="Century" w:hAnsi="Century" w:cs="Times New Roman"/>
          <w:bCs/>
          <w:sz w:val="28"/>
          <w:szCs w:val="28"/>
        </w:rPr>
        <w:t xml:space="preserve">Rule 56 was amended in significant respects in 2013. The 2013 amendments adopted some of the 2007 federal stylistic revisions, while retaining other unique aspects of Arizona’s rule (such as the provisions of subdivision (c)(3) governing supporting and opposing statements of fact, which have no counterpart in </w:t>
      </w:r>
      <w:proofErr w:type="spellStart"/>
      <w:r w:rsidRPr="001539FC">
        <w:rPr>
          <w:rFonts w:ascii="Century" w:hAnsi="Century" w:cs="Times New Roman"/>
          <w:bCs/>
          <w:sz w:val="28"/>
          <w:szCs w:val="28"/>
        </w:rPr>
        <w:t>FRCP</w:t>
      </w:r>
      <w:proofErr w:type="spellEnd"/>
      <w:r w:rsidRPr="001539FC">
        <w:rPr>
          <w:rFonts w:ascii="Century" w:hAnsi="Century" w:cs="Times New Roman"/>
          <w:bCs/>
          <w:sz w:val="28"/>
          <w:szCs w:val="28"/>
        </w:rPr>
        <w:t xml:space="preserve"> 56). The 2017 amendments retain the substance of the 2013 amendments, but propose additional stylistic changes to simplify and clarify the rule. Some of the subdivisions of the current rule are reordered to conform to the structure of Federal Rule 56.</w:t>
      </w:r>
    </w:p>
    <w:p w:rsidR="00796B2D" w:rsidRPr="001539FC" w:rsidRDefault="00796B2D" w:rsidP="00796B2D">
      <w:pPr>
        <w:autoSpaceDE w:val="0"/>
        <w:autoSpaceDN w:val="0"/>
        <w:adjustRightInd w:val="0"/>
        <w:spacing w:after="120"/>
        <w:ind w:firstLine="144"/>
        <w:jc w:val="both"/>
        <w:rPr>
          <w:rFonts w:ascii="Century" w:hAnsi="Century" w:cs="Times New Roman"/>
          <w:bCs/>
          <w:sz w:val="28"/>
          <w:szCs w:val="28"/>
          <w:u w:val="single"/>
        </w:rPr>
      </w:pPr>
      <w:r w:rsidRPr="001539FC">
        <w:rPr>
          <w:rFonts w:ascii="Century" w:hAnsi="Century" w:cs="Times New Roman"/>
          <w:bCs/>
          <w:sz w:val="28"/>
          <w:szCs w:val="28"/>
        </w:rPr>
        <w:t>In addition to stylistic improvements, subdivision (c</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2) is modified to eliminate provisions governing stipulated or court-ordered extensions of briefing schedules. Those provisions of the former rule predated the adoption of Rule 7.1(g), which now provides uniform procedures governing and limiting the extension of briefing schedules on motions. Rule 7.1(g)’s provisions apply to motions for summary judgment under Rule 56. The structure of Rule 56(c</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 xml:space="preserve">3) is modified to add subdivisions and headings, consistent with the federal rule stylistic conventions. </w:t>
      </w:r>
      <w:r w:rsidRPr="00A11F3E">
        <w:rPr>
          <w:rFonts w:ascii="Century" w:hAnsi="Century" w:cs="Times New Roman"/>
          <w:bCs/>
          <w:sz w:val="28"/>
          <w:szCs w:val="28"/>
        </w:rPr>
        <w:t>Former subdivisions (e)(1) and (e)(2), governing affidavits, are moved to subdivisions (c)(5) and (c)(6), respectively, to conform more closely to the federal rule’s structure.</w:t>
      </w:r>
    </w:p>
    <w:p w:rsidR="00796B2D" w:rsidRDefault="00796B2D" w:rsidP="0090661A">
      <w:pPr>
        <w:tabs>
          <w:tab w:val="left" w:pos="389"/>
          <w:tab w:val="left" w:pos="605"/>
          <w:tab w:val="left" w:pos="778"/>
          <w:tab w:val="left" w:pos="1037"/>
          <w:tab w:val="left" w:pos="1368"/>
        </w:tabs>
        <w:autoSpaceDE w:val="0"/>
        <w:autoSpaceDN w:val="0"/>
        <w:adjustRightInd w:val="0"/>
        <w:spacing w:after="240"/>
        <w:ind w:firstLine="144"/>
        <w:jc w:val="both"/>
        <w:rPr>
          <w:rFonts w:ascii="Century" w:hAnsi="Century" w:cs="Times New Roman"/>
          <w:bCs/>
          <w:sz w:val="28"/>
          <w:szCs w:val="28"/>
        </w:rPr>
      </w:pPr>
      <w:r w:rsidRPr="001539FC">
        <w:rPr>
          <w:rFonts w:ascii="Century" w:hAnsi="Century" w:cs="Times New Roman"/>
          <w:bCs/>
          <w:sz w:val="28"/>
          <w:szCs w:val="28"/>
        </w:rPr>
        <w:t xml:space="preserve">Subdivision (f) of the former rule is moved to subdivision (d), to conform to the federal rule’s structure. The revised rule now incorporates into the rule’s text the specificity requirements set forth in Arizona case law for obtaining a continuance to conduct additional discovery, as set forth in </w:t>
      </w:r>
      <w:r w:rsidRPr="001539FC">
        <w:rPr>
          <w:rFonts w:ascii="Century" w:hAnsi="Century" w:cs="Times New Roman"/>
          <w:bCs/>
          <w:i/>
          <w:sz w:val="28"/>
          <w:szCs w:val="28"/>
        </w:rPr>
        <w:t xml:space="preserve">Simon v. Safeway, Inc., </w:t>
      </w:r>
      <w:r w:rsidRPr="001539FC">
        <w:rPr>
          <w:rFonts w:ascii="Century" w:hAnsi="Century" w:cs="Times New Roman"/>
          <w:bCs/>
          <w:sz w:val="28"/>
          <w:szCs w:val="28"/>
        </w:rPr>
        <w:t xml:space="preserve">217 Ariz. 330, 173 </w:t>
      </w:r>
      <w:proofErr w:type="spellStart"/>
      <w:r w:rsidRPr="001539FC">
        <w:rPr>
          <w:rFonts w:ascii="Century" w:hAnsi="Century" w:cs="Times New Roman"/>
          <w:bCs/>
          <w:sz w:val="28"/>
          <w:szCs w:val="28"/>
        </w:rPr>
        <w:t>P.3d</w:t>
      </w:r>
      <w:proofErr w:type="spellEnd"/>
      <w:r w:rsidRPr="001539FC">
        <w:rPr>
          <w:rFonts w:ascii="Century" w:hAnsi="Century" w:cs="Times New Roman"/>
          <w:bCs/>
          <w:sz w:val="28"/>
          <w:szCs w:val="28"/>
        </w:rPr>
        <w:t xml:space="preserve"> 1031 (App. 2007). </w:t>
      </w:r>
      <w:r w:rsidRPr="001539FC">
        <w:rPr>
          <w:rFonts w:ascii="Century" w:hAnsi="Century" w:cs="Times New Roman"/>
          <w:bCs/>
          <w:i/>
          <w:sz w:val="28"/>
          <w:szCs w:val="28"/>
        </w:rPr>
        <w:t>See</w:t>
      </w:r>
      <w:r w:rsidRPr="001539FC">
        <w:rPr>
          <w:rFonts w:ascii="Century" w:hAnsi="Century" w:cs="Times New Roman"/>
          <w:bCs/>
          <w:sz w:val="28"/>
          <w:szCs w:val="28"/>
        </w:rPr>
        <w:t xml:space="preserve"> Rule 56 (d</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1)(A) (identifying five factors that must be addressed, if applicable, in an affidavit supporting a Rule 56(d) request).</w:t>
      </w:r>
    </w:p>
    <w:p w:rsidR="00796B2D" w:rsidRDefault="00796B2D" w:rsidP="00796B2D">
      <w:pPr>
        <w:tabs>
          <w:tab w:val="left" w:pos="389"/>
          <w:tab w:val="left" w:pos="605"/>
          <w:tab w:val="left" w:pos="778"/>
          <w:tab w:val="left" w:pos="1037"/>
          <w:tab w:val="left" w:pos="1368"/>
        </w:tabs>
        <w:autoSpaceDE w:val="0"/>
        <w:autoSpaceDN w:val="0"/>
        <w:adjustRightInd w:val="0"/>
        <w:spacing w:after="240"/>
        <w:jc w:val="both"/>
        <w:rPr>
          <w:rFonts w:ascii="Century" w:hAnsi="Century" w:cs="Times New Roman"/>
          <w:bCs/>
          <w:sz w:val="28"/>
          <w:szCs w:val="28"/>
        </w:rPr>
        <w:sectPr w:rsidR="00796B2D" w:rsidSect="00AC6FC4">
          <w:footerReference w:type="first" r:id="rId20"/>
          <w:pgSz w:w="12240" w:h="15840"/>
          <w:pgMar w:top="1440" w:right="1440" w:bottom="1440" w:left="1440" w:header="720" w:footer="720" w:gutter="0"/>
          <w:cols w:space="720"/>
          <w:titlePg/>
          <w:docGrid w:linePitch="360"/>
        </w:sectPr>
      </w:pPr>
    </w:p>
    <w:p w:rsidR="00796B2D" w:rsidRPr="001539FC" w:rsidRDefault="00796B2D" w:rsidP="00796B2D">
      <w:pPr>
        <w:keepNext/>
        <w:tabs>
          <w:tab w:val="left" w:pos="1238"/>
        </w:tabs>
        <w:spacing w:after="120"/>
        <w:ind w:left="1238" w:hanging="1238"/>
        <w:jc w:val="both"/>
        <w:rPr>
          <w:rFonts w:ascii="Century" w:hAnsi="Century" w:cs="Times New Roman"/>
          <w:b/>
          <w:sz w:val="28"/>
          <w:szCs w:val="28"/>
        </w:rPr>
      </w:pPr>
      <w:proofErr w:type="gramStart"/>
      <w:r w:rsidRPr="001539FC">
        <w:rPr>
          <w:rFonts w:ascii="Century" w:hAnsi="Century" w:cs="Times New Roman"/>
          <w:b/>
          <w:sz w:val="28"/>
          <w:szCs w:val="28"/>
        </w:rPr>
        <w:lastRenderedPageBreak/>
        <w:t>Rule 75.</w:t>
      </w:r>
      <w:proofErr w:type="gramEnd"/>
      <w:r w:rsidRPr="001539FC">
        <w:rPr>
          <w:rFonts w:ascii="Century" w:hAnsi="Century" w:cs="Times New Roman"/>
          <w:b/>
          <w:sz w:val="28"/>
          <w:szCs w:val="28"/>
        </w:rPr>
        <w:tab/>
        <w:t>Hearing Procedures</w:t>
      </w:r>
    </w:p>
    <w:p w:rsidR="00796B2D" w:rsidRPr="001539FC" w:rsidRDefault="00796B2D" w:rsidP="006213A8">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r w:rsidRPr="001539FC">
        <w:rPr>
          <w:rFonts w:ascii="Century" w:hAnsi="Century" w:cs="Times New Roman"/>
          <w:b/>
          <w:sz w:val="28"/>
          <w:szCs w:val="28"/>
        </w:rPr>
        <w:t xml:space="preserve">. . . </w:t>
      </w:r>
    </w:p>
    <w:p w:rsidR="00796B2D" w:rsidRPr="001539FC"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p>
    <w:p w:rsidR="00796B2D" w:rsidRPr="001539FC" w:rsidRDefault="00BA43E2" w:rsidP="00796B2D">
      <w:pPr>
        <w:keepNext/>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Pr>
          <w:rFonts w:ascii="Century" w:hAnsi="Century" w:cs="Times New Roman"/>
          <w:b/>
          <w:sz w:val="28"/>
          <w:szCs w:val="28"/>
        </w:rPr>
        <w:t xml:space="preserve">(b) </w:t>
      </w:r>
      <w:r w:rsidR="00796B2D" w:rsidRPr="004F1602">
        <w:rPr>
          <w:rFonts w:ascii="Century" w:hAnsi="Century" w:cs="Times New Roman"/>
          <w:b/>
          <w:sz w:val="28"/>
          <w:szCs w:val="28"/>
        </w:rPr>
        <w:t xml:space="preserve">Joint </w:t>
      </w:r>
      <w:r w:rsidR="00796B2D" w:rsidRPr="001539FC">
        <w:rPr>
          <w:rFonts w:ascii="Century" w:hAnsi="Century" w:cs="Times New Roman"/>
          <w:b/>
          <w:sz w:val="28"/>
          <w:szCs w:val="28"/>
        </w:rPr>
        <w:t>Prehearing Statement.</w:t>
      </w:r>
      <w:r w:rsidR="00796B2D" w:rsidRPr="001539FC">
        <w:rPr>
          <w:rFonts w:ascii="Century" w:hAnsi="Century" w:cs="Times New Roman"/>
          <w:sz w:val="28"/>
          <w:szCs w:val="28"/>
        </w:rPr>
        <w:t xml:space="preserve"> </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00AF5A59">
        <w:rPr>
          <w:rFonts w:ascii="Century" w:hAnsi="Century" w:cs="Times New Roman"/>
          <w:b/>
          <w:sz w:val="28"/>
          <w:szCs w:val="28"/>
        </w:rPr>
        <w:t xml:space="preserve"> </w:t>
      </w:r>
      <w:r w:rsidRPr="001539FC">
        <w:rPr>
          <w:rFonts w:ascii="Century" w:hAnsi="Century" w:cs="Times New Roman"/>
          <w:b/>
          <w:i/>
          <w:sz w:val="28"/>
          <w:szCs w:val="28"/>
        </w:rPr>
        <w:t>Requirement.</w:t>
      </w:r>
      <w:r w:rsidRPr="001539FC">
        <w:rPr>
          <w:rFonts w:ascii="Century" w:hAnsi="Century" w:cs="Times New Roman"/>
          <w:sz w:val="28"/>
          <w:szCs w:val="28"/>
        </w:rPr>
        <w:t xml:space="preserve">  No later than 10 days before the hearing, the parties or their counsel must confer, prepare, and submit to the arbitrator a joint written prehearing statement. In preparing this prehearing statement, the parties and their counsel must consider that the purpose of compulsory arbitration is to provide for the efficient and inexpensive resolution of claims and the parties are encouraged to agree on facts and issues. </w:t>
      </w: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Content.</w:t>
      </w:r>
      <w:r w:rsidRPr="001539FC">
        <w:rPr>
          <w:rFonts w:ascii="Century" w:hAnsi="Century" w:cs="Times New Roman"/>
          <w:sz w:val="28"/>
          <w:szCs w:val="28"/>
        </w:rPr>
        <w:t xml:space="preserve">  The statement must contain the following: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00AF5A59">
        <w:rPr>
          <w:rFonts w:ascii="Century" w:hAnsi="Century" w:cs="Times New Roman"/>
          <w:b/>
          <w:sz w:val="28"/>
          <w:szCs w:val="28"/>
        </w:rPr>
        <w:t xml:space="preserve"> </w:t>
      </w:r>
      <w:proofErr w:type="gramStart"/>
      <w:r w:rsidRPr="001539FC">
        <w:rPr>
          <w:rFonts w:ascii="Century" w:hAnsi="Century" w:cs="Times New Roman"/>
          <w:sz w:val="28"/>
          <w:szCs w:val="28"/>
        </w:rPr>
        <w:t>a</w:t>
      </w:r>
      <w:proofErr w:type="gramEnd"/>
      <w:r w:rsidRPr="001539FC">
        <w:rPr>
          <w:rFonts w:ascii="Century" w:hAnsi="Century" w:cs="Times New Roman"/>
          <w:sz w:val="28"/>
          <w:szCs w:val="28"/>
        </w:rPr>
        <w:t xml:space="preserve"> brief statement of the nature of each party’s claims or defenses;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a</w:t>
      </w:r>
      <w:proofErr w:type="gramEnd"/>
      <w:r w:rsidRPr="001539FC">
        <w:rPr>
          <w:rFonts w:ascii="Century" w:hAnsi="Century" w:cs="Times New Roman"/>
          <w:sz w:val="28"/>
          <w:szCs w:val="28"/>
        </w:rPr>
        <w:t xml:space="preserve"> witness list including the subject matter of witness testimony for each witness who will be called to testify;</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an</w:t>
      </w:r>
      <w:proofErr w:type="gramEnd"/>
      <w:r w:rsidRPr="001539FC">
        <w:rPr>
          <w:rFonts w:ascii="Century" w:hAnsi="Century" w:cs="Times New Roman"/>
          <w:sz w:val="28"/>
          <w:szCs w:val="28"/>
        </w:rPr>
        <w:t xml:space="preserve"> exhibit list; and</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00AF5A59">
        <w:rPr>
          <w:rFonts w:ascii="Century" w:hAnsi="Century" w:cs="Times New Roman"/>
          <w:b/>
          <w:sz w:val="28"/>
          <w:szCs w:val="28"/>
        </w:rPr>
        <w:t xml:space="preserve"> </w:t>
      </w:r>
      <w:proofErr w:type="gramStart"/>
      <w:r w:rsidRPr="001539FC">
        <w:rPr>
          <w:rFonts w:ascii="Century" w:hAnsi="Century" w:cs="Times New Roman"/>
          <w:sz w:val="28"/>
          <w:szCs w:val="28"/>
        </w:rPr>
        <w:t>the</w:t>
      </w:r>
      <w:proofErr w:type="gramEnd"/>
      <w:r w:rsidRPr="001539FC">
        <w:rPr>
          <w:rFonts w:ascii="Century" w:hAnsi="Century" w:cs="Times New Roman"/>
          <w:sz w:val="28"/>
          <w:szCs w:val="28"/>
        </w:rPr>
        <w:t xml:space="preserve"> estimated time required for the arbitration hearing.</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(3)</w:t>
      </w:r>
      <w:r w:rsidR="00AF5A59">
        <w:rPr>
          <w:rFonts w:ascii="Century" w:hAnsi="Century" w:cs="Times New Roman"/>
          <w:b/>
          <w:sz w:val="28"/>
          <w:szCs w:val="28"/>
        </w:rPr>
        <w:t xml:space="preserve"> </w:t>
      </w:r>
      <w:r w:rsidRPr="001539FC">
        <w:rPr>
          <w:rFonts w:ascii="Century" w:hAnsi="Century" w:cs="Times New Roman"/>
          <w:b/>
          <w:i/>
          <w:sz w:val="28"/>
          <w:szCs w:val="28"/>
        </w:rPr>
        <w:t>Evidence Excluded.</w:t>
      </w:r>
      <w:r w:rsidRPr="001539FC">
        <w:rPr>
          <w:rFonts w:ascii="Century" w:hAnsi="Century" w:cs="Times New Roman"/>
          <w:sz w:val="28"/>
          <w:szCs w:val="28"/>
        </w:rPr>
        <w:t xml:space="preserve">  Unless the parties agree otherwise or the offering party shows good cause, no witness or exhibit may be offered at the hearing other than those listed and exchanged.</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240"/>
        <w:jc w:val="both"/>
        <w:rPr>
          <w:rFonts w:ascii="Century" w:eastAsia="Calibri" w:hAnsi="Century" w:cs="Times New Roman"/>
          <w:sz w:val="28"/>
          <w:szCs w:val="28"/>
        </w:rPr>
      </w:pPr>
    </w:p>
    <w:p w:rsidR="00796B2D" w:rsidRPr="001539FC" w:rsidRDefault="00796B2D" w:rsidP="00796B2D">
      <w:pPr>
        <w:jc w:val="both"/>
        <w:rPr>
          <w:rFonts w:ascii="Century" w:hAnsi="Century"/>
          <w:sz w:val="28"/>
          <w:szCs w:val="28"/>
        </w:rPr>
      </w:pPr>
    </w:p>
    <w:p w:rsidR="00796B2D" w:rsidRDefault="00796B2D" w:rsidP="00796B2D"/>
    <w:p w:rsidR="003E360E" w:rsidRDefault="005118D3">
      <w:r>
        <w:pict>
          <v:shapetype id="_x0000_t202" coordsize="21600,21600" o:spt="202" path="m,l,21600r21600,l21600,xe">
            <v:stroke joinstyle="miter"/>
            <v:path gradientshapeok="t" o:connecttype="rect"/>
          </v:shapetype>
          <v:shape id="zzmpTrailer_1079_10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3E360E" w:rsidRDefault="003E360E">
                  <w:pPr>
                    <w:pStyle w:val="MacPacTrailer"/>
                  </w:pPr>
                  <w:r>
                    <w:t>4843-9843-8986</w:t>
                  </w:r>
                </w:p>
                <w:p w:rsidR="003E360E" w:rsidRDefault="003E360E">
                  <w:pPr>
                    <w:pStyle w:val="MacPacTrailer"/>
                  </w:pPr>
                </w:p>
              </w:txbxContent>
            </v:textbox>
            <w10:wrap anchorx="margin"/>
          </v:shape>
        </w:pict>
      </w:r>
    </w:p>
    <w:sectPr w:rsidR="003E360E" w:rsidSect="00AC6FC4">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D3" w:rsidRDefault="005118D3" w:rsidP="00796B2D">
      <w:r>
        <w:separator/>
      </w:r>
    </w:p>
  </w:endnote>
  <w:endnote w:type="continuationSeparator" w:id="0">
    <w:p w:rsidR="005118D3" w:rsidRDefault="005118D3" w:rsidP="007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B0" w:rsidRDefault="00796B2D">
    <w:pPr>
      <w:pStyle w:val="Footer"/>
      <w:jc w:val="center"/>
      <w:rPr>
        <w:rFonts w:ascii="Century" w:hAnsi="Century"/>
        <w:sz w:val="28"/>
        <w:szCs w:val="28"/>
      </w:rPr>
    </w:pPr>
    <w:r w:rsidRPr="00595778">
      <w:rPr>
        <w:rFonts w:ascii="Century" w:hAnsi="Century"/>
        <w:sz w:val="28"/>
        <w:szCs w:val="28"/>
      </w:rPr>
      <w:t>Rule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835A02">
    <w:pPr>
      <w:pStyle w:val="Footer"/>
      <w:jc w:val="center"/>
      <w:rPr>
        <w:rFonts w:ascii="Century" w:hAnsi="Century"/>
        <w:sz w:val="28"/>
        <w:szCs w:val="28"/>
      </w:rPr>
    </w:pPr>
    <w:r>
      <w:rPr>
        <w:rFonts w:ascii="Century" w:hAnsi="Century"/>
        <w:sz w:val="28"/>
        <w:szCs w:val="28"/>
      </w:rPr>
      <w:t>Rule 55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90" w:rsidRDefault="00A90690">
    <w:pPr>
      <w:pStyle w:val="Footer"/>
      <w:jc w:val="center"/>
      <w:rPr>
        <w:rFonts w:ascii="Century" w:hAnsi="Century"/>
        <w:sz w:val="28"/>
        <w:szCs w:val="28"/>
      </w:rPr>
    </w:pPr>
    <w:r>
      <w:rPr>
        <w:rFonts w:ascii="Century" w:hAnsi="Century"/>
        <w:sz w:val="28"/>
        <w:szCs w:val="28"/>
      </w:rPr>
      <w:t>Rule 56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rPr>
        <w:rFonts w:ascii="Century" w:hAnsi="Century"/>
        <w:sz w:val="28"/>
        <w:szCs w:val="28"/>
      </w:rPr>
    </w:pPr>
    <w:r w:rsidRPr="00595778">
      <w:rPr>
        <w:rFonts w:ascii="Century" w:hAnsi="Century"/>
        <w:sz w:val="28"/>
        <w:szCs w:val="28"/>
      </w:rPr>
      <w:t>Rule 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8"/>
        <w:szCs w:val="28"/>
      </w:rPr>
      <w:id w:val="-2104250882"/>
      <w:docPartObj>
        <w:docPartGallery w:val="Page Numbers (Bottom of Page)"/>
        <w:docPartUnique/>
      </w:docPartObj>
    </w:sdtPr>
    <w:sdtEndPr>
      <w:rPr>
        <w:noProof/>
      </w:rPr>
    </w:sdtEndPr>
    <w:sdtContent>
      <w:p w:rsidR="00EF2653" w:rsidRDefault="00796B2D">
        <w:pPr>
          <w:pStyle w:val="Footer"/>
          <w:jc w:val="center"/>
          <w:rPr>
            <w:rFonts w:ascii="Century" w:hAnsi="Century"/>
            <w:noProof/>
            <w:sz w:val="28"/>
            <w:szCs w:val="28"/>
          </w:rPr>
        </w:pPr>
        <w:r w:rsidRPr="00595778">
          <w:rPr>
            <w:rFonts w:ascii="Century" w:hAnsi="Century"/>
            <w:sz w:val="28"/>
            <w:szCs w:val="28"/>
          </w:rPr>
          <w:t>Rule 4.2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pPr>
    <w:r>
      <w:t>Rule 4.2</w:t>
    </w:r>
  </w:p>
  <w:p w:rsidR="00EF2653" w:rsidRDefault="005118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rPr>
        <w:rFonts w:ascii="Century" w:hAnsi="Century"/>
        <w:sz w:val="28"/>
        <w:szCs w:val="28"/>
      </w:rPr>
    </w:pPr>
    <w:r w:rsidRPr="00595778">
      <w:rPr>
        <w:rFonts w:ascii="Century" w:hAnsi="Century"/>
        <w:sz w:val="28"/>
        <w:szCs w:val="28"/>
      </w:rPr>
      <w:t>Rule 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rPr>
        <w:rFonts w:ascii="Century" w:hAnsi="Century"/>
        <w:sz w:val="28"/>
        <w:szCs w:val="28"/>
      </w:rPr>
    </w:pPr>
    <w:r w:rsidRPr="00595778">
      <w:rPr>
        <w:rFonts w:ascii="Century" w:hAnsi="Century"/>
        <w:sz w:val="28"/>
        <w:szCs w:val="28"/>
      </w:rPr>
      <w:t>Rule 7.1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B328BC">
    <w:pPr>
      <w:pStyle w:val="Footer"/>
      <w:jc w:val="center"/>
      <w:rPr>
        <w:rFonts w:ascii="Century" w:hAnsi="Century"/>
        <w:sz w:val="28"/>
        <w:szCs w:val="28"/>
      </w:rPr>
    </w:pPr>
    <w:r>
      <w:rPr>
        <w:rFonts w:ascii="Century" w:hAnsi="Century"/>
        <w:sz w:val="28"/>
        <w:szCs w:val="28"/>
      </w:rPr>
      <w:t>Rule 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BC" w:rsidRDefault="00B328BC">
    <w:pPr>
      <w:pStyle w:val="Footer"/>
      <w:jc w:val="center"/>
      <w:rPr>
        <w:rFonts w:ascii="Century" w:hAnsi="Century"/>
        <w:sz w:val="28"/>
        <w:szCs w:val="28"/>
      </w:rPr>
    </w:pPr>
    <w:r>
      <w:rPr>
        <w:rFonts w:ascii="Century" w:hAnsi="Century"/>
        <w:sz w:val="28"/>
        <w:szCs w:val="28"/>
      </w:rPr>
      <w:t>Rule 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8"/>
        <w:szCs w:val="28"/>
      </w:rPr>
      <w:id w:val="-411544918"/>
      <w:docPartObj>
        <w:docPartGallery w:val="Page Numbers (Bottom of Page)"/>
        <w:docPartUnique/>
      </w:docPartObj>
    </w:sdtPr>
    <w:sdtEndPr>
      <w:rPr>
        <w:rFonts w:ascii="Times New Roman" w:hAnsi="Times New Roman"/>
        <w:noProof/>
        <w:sz w:val="24"/>
        <w:szCs w:val="22"/>
      </w:rPr>
    </w:sdtEndPr>
    <w:sdtContent>
      <w:p w:rsidR="00EF2653" w:rsidRDefault="00796B2D">
        <w:pPr>
          <w:pStyle w:val="Footer"/>
          <w:jc w:val="center"/>
          <w:rPr>
            <w:noProof/>
          </w:rPr>
        </w:pPr>
        <w:r w:rsidRPr="00595778">
          <w:rPr>
            <w:rFonts w:ascii="Century" w:hAnsi="Century"/>
            <w:sz w:val="28"/>
            <w:szCs w:val="28"/>
          </w:rPr>
          <w:t>Rule 54</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pPr>
    <w:r>
      <w:t>Rule 4.2</w:t>
    </w:r>
  </w:p>
  <w:p w:rsidR="00EF2653" w:rsidRDefault="00511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D3" w:rsidRDefault="005118D3" w:rsidP="00796B2D">
      <w:r>
        <w:separator/>
      </w:r>
    </w:p>
  </w:footnote>
  <w:footnote w:type="continuationSeparator" w:id="0">
    <w:p w:rsidR="005118D3" w:rsidRDefault="005118D3" w:rsidP="0079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0E" w:rsidRPr="001539FC" w:rsidRDefault="003E360E" w:rsidP="003E360E">
    <w:pPr>
      <w:spacing w:line="276" w:lineRule="auto"/>
      <w:jc w:val="center"/>
      <w:rPr>
        <w:rFonts w:ascii="Century" w:eastAsia="Times New Roman" w:hAnsi="Century" w:cs="Times New Roman"/>
        <w:b/>
        <w:sz w:val="28"/>
        <w:szCs w:val="28"/>
      </w:rPr>
    </w:pPr>
    <w:r w:rsidRPr="001539FC">
      <w:rPr>
        <w:rFonts w:ascii="Century" w:eastAsia="Times New Roman" w:hAnsi="Century" w:cs="Times New Roman"/>
        <w:b/>
        <w:sz w:val="28"/>
        <w:szCs w:val="28"/>
      </w:rPr>
      <w:t xml:space="preserve">Appendix </w:t>
    </w:r>
    <w:r>
      <w:rPr>
        <w:rFonts w:ascii="Century" w:eastAsia="Times New Roman" w:hAnsi="Century" w:cs="Times New Roman"/>
        <w:b/>
        <w:sz w:val="28"/>
        <w:szCs w:val="28"/>
      </w:rPr>
      <w:t>A</w:t>
    </w:r>
  </w:p>
  <w:p w:rsidR="003E360E" w:rsidRDefault="003E360E" w:rsidP="003E360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39E68818A2346379FE21CA5A9E54C8C"/>
      </w:placeholder>
      <w:temporary/>
      <w:showingPlcHdr/>
    </w:sdtPr>
    <w:sdtEndPr/>
    <w:sdtContent>
      <w:p w:rsidR="003E360E" w:rsidRDefault="003E360E">
        <w:pPr>
          <w:pStyle w:val="Header"/>
        </w:pPr>
        <w:r>
          <w:t>[Type text]</w:t>
        </w:r>
      </w:p>
    </w:sdtContent>
  </w:sdt>
  <w:p w:rsidR="003E360E" w:rsidRDefault="003E3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43-9843-8986||Version~3||Cabinet~NG-5ORJJGOT||FileName~Petitions' Reply to Comment about Technical Amendments to the ARCP_Appendix A.docx||LastModified~6/18/2017 2:24:56 PM||Client~99999||Matter~05739||Author~Schiavoni, Vince O.||Document Type~No Folder Match||Comments~||Legacy DocID~||Legacy Doc Name~||Legacy Where Used~||"/>
    <w:docVar w:name="zzmp10LastTrailerInserted" w:val="^`~#mp!@⌐⌟&quot;#1┖┧797zŖmà⌐“C⌖ Ò§pê⌈⌚ ⌂ìg'NC⌋!%ßrj&quot;«EìHóÕv@ù.1#`ˊ⌐ÎƂ;öÑ-î5wÏ·Z¢,»í»Rª¾⌜6w­‡­Y¯Æí⌑ÛFKŕU]S¿†”w{sïó6ÞQ[ô¶é⌎⌞⌚P«ä&amp;⌝mÑ⌄¼I⌙Â;⌒S:1óð!í⌎­⌟à$É,gi5+r&gt;[ƔOgÔúU9&lt;‚⌂mKêCñ=‴YdP¸f2+ï″⌞․µÍ ƁI0ì․r7ùŢ­Ké⌌L¿JìO37V011"/>
    <w:docVar w:name="zzmp10LastTrailerInserted_1078" w:val="^`~#mp!@E⌛?#D┖┪998zřmã⌒“V⌘†ÅMpÓ⌏.⌎³ò4⌚«&quot;Ƙ!ðó⌗⌈;N¿î~´@Ƅ§g⌑⌍⌒?rÔÒîÒô?c­RZ⌘6Øñ@°⌛xéR5QË Ŧ•ÊöKòÇ`PÇ„ƃBZ® üd)ó.»ë$:aS´[0Û₲q3‣,òÊz=―òˌÆ⌒={úÓ․¬mâæ&quot;|gÜqÊ•pxÿ;ÝUá5ţÄÑLPjA3‣þüÁPHÒaˈℨ¼tf±⌗⌓«Ü©µo⌂~¬3⌘⌠:Ƅ­ð/û⌎ÖXMřL;:S011"/>
    <w:docVar w:name="zzmp10LastTrailerInserted_1079" w:val="^`~#mp!@⌐⌟&quot;#1┖┧797zŖmà⌐“C⌖ Ò§pê⌈⌚ ⌂ìg'NC⌋!%ßrj&quot;«EìHóÕv@ù.1#`ˊ⌐ÎƂ;öÑ-î5wÏ·Z¢,»í»Rª¾⌜6w­‡­Y¯Æí⌑ÛFKŕU]S¿†”w{sïó6ÞQ[ô¶é⌎⌞⌚P«ä&amp;⌝mÑ⌄¼I⌙Â;⌒S:1óð!í⌎­⌟à$É,gi5+r&gt;[ƔOgÔúU9&lt;‚⌂mKêCñ=‴YdP¸f2+ï″⌞․µÍ ƁI0ì․r7ùŢ­Ké⌌L¿JìO37V011"/>
    <w:docVar w:name="zzmp10mSEGsValidated" w:val="1"/>
  </w:docVars>
  <w:rsids>
    <w:rsidRoot w:val="00796B2D"/>
    <w:rsid w:val="00033E99"/>
    <w:rsid w:val="00191CF4"/>
    <w:rsid w:val="001B7BAB"/>
    <w:rsid w:val="003E360E"/>
    <w:rsid w:val="004434EA"/>
    <w:rsid w:val="0045207B"/>
    <w:rsid w:val="004E4F33"/>
    <w:rsid w:val="004F1602"/>
    <w:rsid w:val="005118D3"/>
    <w:rsid w:val="005E7F4B"/>
    <w:rsid w:val="00613256"/>
    <w:rsid w:val="006213A8"/>
    <w:rsid w:val="00682DDD"/>
    <w:rsid w:val="00796B2D"/>
    <w:rsid w:val="007A3AE7"/>
    <w:rsid w:val="007F0247"/>
    <w:rsid w:val="00835A02"/>
    <w:rsid w:val="00856B75"/>
    <w:rsid w:val="008631D2"/>
    <w:rsid w:val="0090661A"/>
    <w:rsid w:val="009C6AFE"/>
    <w:rsid w:val="009F77F3"/>
    <w:rsid w:val="00A0221C"/>
    <w:rsid w:val="00A05A55"/>
    <w:rsid w:val="00A11F3E"/>
    <w:rsid w:val="00A542D2"/>
    <w:rsid w:val="00A86AB0"/>
    <w:rsid w:val="00A90690"/>
    <w:rsid w:val="00A92CF3"/>
    <w:rsid w:val="00AE78BC"/>
    <w:rsid w:val="00AF5A59"/>
    <w:rsid w:val="00B04308"/>
    <w:rsid w:val="00B328BC"/>
    <w:rsid w:val="00B44F9C"/>
    <w:rsid w:val="00BA43E2"/>
    <w:rsid w:val="00BE3246"/>
    <w:rsid w:val="00CE69DF"/>
    <w:rsid w:val="00CF0341"/>
    <w:rsid w:val="00CF09B7"/>
    <w:rsid w:val="00CF37F0"/>
    <w:rsid w:val="00D36EFD"/>
    <w:rsid w:val="00DB2BD3"/>
    <w:rsid w:val="00DC7CEC"/>
    <w:rsid w:val="00E12937"/>
    <w:rsid w:val="00E17295"/>
    <w:rsid w:val="00E2316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2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82DDD"/>
    <w:pPr>
      <w:keepNext/>
      <w:keepLines/>
      <w:widowControl w:val="0"/>
      <w:spacing w:after="2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682DDD"/>
    <w:pPr>
      <w:keepNext/>
      <w:keepLines/>
      <w:widowControl w:val="0"/>
      <w:spacing w:after="24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682DDD"/>
    <w:pPr>
      <w:keepNext/>
      <w:keepLines/>
      <w:widowControl w:val="0"/>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82DDD"/>
    <w:pPr>
      <w:keepNext/>
      <w:keepLines/>
      <w:widowControl w:val="0"/>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682DDD"/>
    <w:pPr>
      <w:keepNext/>
      <w:keepLines/>
      <w:widowControl w:val="0"/>
      <w:spacing w:after="24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682DDD"/>
    <w:pPr>
      <w:keepNext/>
      <w:keepLines/>
      <w:widowControl w:val="0"/>
      <w:spacing w:after="24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ind w:left="1440" w:right="1440"/>
    </w:pPr>
    <w:rPr>
      <w:iCs/>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ind w:firstLine="720"/>
    </w:p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jc w:val="center"/>
    </w:pPr>
    <w:rPr>
      <w:rFonts w:eastAsiaTheme="majorEastAsia" w:cstheme="majorBidi"/>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pPr>
    <w:rPr>
      <w:rFonts w:eastAsiaTheme="majorEastAsia" w:cstheme="majorBidi"/>
      <w:b/>
      <w:iCs/>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rFonts w:eastAsiaTheme="minorEastAsia"/>
      <w:iCs/>
    </w:rPr>
  </w:style>
  <w:style w:type="paragraph" w:styleId="BodyText2">
    <w:name w:val="Body Text 2"/>
    <w:basedOn w:val="Normal"/>
    <w:link w:val="BodyText2Char"/>
    <w:uiPriority w:val="99"/>
    <w:semiHidden/>
    <w:unhideWhenUsed/>
    <w:rsid w:val="005E7F4B"/>
    <w:pPr>
      <w:widowControl w:val="0"/>
      <w:spacing w:after="240"/>
    </w:p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pPr>
    <w:rPr>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p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p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Footer">
    <w:name w:val="footer"/>
    <w:basedOn w:val="Normal"/>
    <w:link w:val="FooterChar"/>
    <w:uiPriority w:val="99"/>
    <w:unhideWhenUsed/>
    <w:rsid w:val="00796B2D"/>
    <w:pPr>
      <w:tabs>
        <w:tab w:val="center" w:pos="4680"/>
        <w:tab w:val="right" w:pos="9360"/>
      </w:tabs>
    </w:pPr>
  </w:style>
  <w:style w:type="character" w:customStyle="1" w:styleId="FooterChar">
    <w:name w:val="Footer Char"/>
    <w:basedOn w:val="DefaultParagraphFont"/>
    <w:link w:val="Footer"/>
    <w:uiPriority w:val="99"/>
    <w:rsid w:val="00796B2D"/>
    <w:rPr>
      <w:rFonts w:ascii="Times New Roman" w:hAnsi="Times New Roman"/>
      <w:sz w:val="24"/>
    </w:rPr>
  </w:style>
  <w:style w:type="paragraph" w:customStyle="1" w:styleId="MacPacTrailer">
    <w:name w:val="MacPac Trailer"/>
    <w:rsid w:val="003E360E"/>
    <w:pPr>
      <w:widowControl w:val="0"/>
      <w:spacing w:after="0" w:line="200" w:lineRule="exact"/>
    </w:pPr>
    <w:rPr>
      <w:rFonts w:ascii="Times New Roman" w:eastAsia="Times New Roman" w:hAnsi="Times New Roman" w:cs="Times New Roman"/>
      <w:sz w:val="16"/>
    </w:rPr>
  </w:style>
  <w:style w:type="paragraph" w:styleId="Header">
    <w:name w:val="header"/>
    <w:basedOn w:val="Normal"/>
    <w:link w:val="HeaderChar"/>
    <w:uiPriority w:val="99"/>
    <w:unhideWhenUsed/>
    <w:rsid w:val="00796B2D"/>
    <w:pPr>
      <w:tabs>
        <w:tab w:val="center" w:pos="4680"/>
        <w:tab w:val="right" w:pos="9360"/>
      </w:tabs>
    </w:pPr>
  </w:style>
  <w:style w:type="character" w:customStyle="1" w:styleId="HeaderChar">
    <w:name w:val="Header Char"/>
    <w:basedOn w:val="DefaultParagraphFont"/>
    <w:link w:val="Header"/>
    <w:uiPriority w:val="99"/>
    <w:rsid w:val="00796B2D"/>
    <w:rPr>
      <w:rFonts w:ascii="Times New Roman" w:hAnsi="Times New Roman"/>
      <w:sz w:val="24"/>
    </w:rPr>
  </w:style>
  <w:style w:type="paragraph" w:styleId="BalloonText">
    <w:name w:val="Balloon Text"/>
    <w:basedOn w:val="Normal"/>
    <w:link w:val="BalloonTextChar"/>
    <w:uiPriority w:val="99"/>
    <w:semiHidden/>
    <w:unhideWhenUsed/>
    <w:rsid w:val="00796B2D"/>
    <w:rPr>
      <w:rFonts w:ascii="Tahoma" w:hAnsi="Tahoma" w:cs="Tahoma"/>
      <w:sz w:val="16"/>
      <w:szCs w:val="16"/>
    </w:rPr>
  </w:style>
  <w:style w:type="character" w:customStyle="1" w:styleId="BalloonTextChar">
    <w:name w:val="Balloon Text Char"/>
    <w:basedOn w:val="DefaultParagraphFont"/>
    <w:link w:val="BalloonText"/>
    <w:uiPriority w:val="99"/>
    <w:semiHidden/>
    <w:rsid w:val="00796B2D"/>
    <w:rPr>
      <w:rFonts w:ascii="Tahoma" w:hAnsi="Tahoma" w:cs="Tahoma"/>
      <w:sz w:val="16"/>
      <w:szCs w:val="16"/>
    </w:rPr>
  </w:style>
  <w:style w:type="character" w:styleId="PlaceholderText">
    <w:name w:val="Placeholder Text"/>
    <w:basedOn w:val="DefaultParagraphFont"/>
    <w:uiPriority w:val="99"/>
    <w:semiHidden/>
    <w:rsid w:val="00796B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2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82DDD"/>
    <w:pPr>
      <w:keepNext/>
      <w:keepLines/>
      <w:widowControl w:val="0"/>
      <w:spacing w:after="2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682DDD"/>
    <w:pPr>
      <w:keepNext/>
      <w:keepLines/>
      <w:widowControl w:val="0"/>
      <w:spacing w:after="24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682DDD"/>
    <w:pPr>
      <w:keepNext/>
      <w:keepLines/>
      <w:widowControl w:val="0"/>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82DDD"/>
    <w:pPr>
      <w:keepNext/>
      <w:keepLines/>
      <w:widowControl w:val="0"/>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682DDD"/>
    <w:pPr>
      <w:keepNext/>
      <w:keepLines/>
      <w:widowControl w:val="0"/>
      <w:spacing w:after="24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682DDD"/>
    <w:pPr>
      <w:keepNext/>
      <w:keepLines/>
      <w:widowControl w:val="0"/>
      <w:spacing w:after="24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ind w:left="1440" w:right="1440"/>
    </w:pPr>
    <w:rPr>
      <w:iCs/>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ind w:firstLine="720"/>
    </w:p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jc w:val="center"/>
    </w:pPr>
    <w:rPr>
      <w:rFonts w:eastAsiaTheme="majorEastAsia" w:cstheme="majorBidi"/>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pPr>
    <w:rPr>
      <w:rFonts w:eastAsiaTheme="majorEastAsia" w:cstheme="majorBidi"/>
      <w:b/>
      <w:iCs/>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rFonts w:eastAsiaTheme="minorEastAsia"/>
      <w:iCs/>
    </w:rPr>
  </w:style>
  <w:style w:type="paragraph" w:styleId="BodyText2">
    <w:name w:val="Body Text 2"/>
    <w:basedOn w:val="Normal"/>
    <w:link w:val="BodyText2Char"/>
    <w:uiPriority w:val="99"/>
    <w:semiHidden/>
    <w:unhideWhenUsed/>
    <w:rsid w:val="005E7F4B"/>
    <w:pPr>
      <w:widowControl w:val="0"/>
      <w:spacing w:after="240"/>
    </w:p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pPr>
    <w:rPr>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p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p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Footer">
    <w:name w:val="footer"/>
    <w:basedOn w:val="Normal"/>
    <w:link w:val="FooterChar"/>
    <w:uiPriority w:val="99"/>
    <w:unhideWhenUsed/>
    <w:rsid w:val="00796B2D"/>
    <w:pPr>
      <w:tabs>
        <w:tab w:val="center" w:pos="4680"/>
        <w:tab w:val="right" w:pos="9360"/>
      </w:tabs>
    </w:pPr>
  </w:style>
  <w:style w:type="character" w:customStyle="1" w:styleId="FooterChar">
    <w:name w:val="Footer Char"/>
    <w:basedOn w:val="DefaultParagraphFont"/>
    <w:link w:val="Footer"/>
    <w:uiPriority w:val="99"/>
    <w:rsid w:val="00796B2D"/>
    <w:rPr>
      <w:rFonts w:ascii="Times New Roman" w:hAnsi="Times New Roman"/>
      <w:sz w:val="24"/>
    </w:rPr>
  </w:style>
  <w:style w:type="paragraph" w:customStyle="1" w:styleId="MacPacTrailer">
    <w:name w:val="MacPac Trailer"/>
    <w:rsid w:val="003E360E"/>
    <w:pPr>
      <w:widowControl w:val="0"/>
      <w:spacing w:after="0" w:line="200" w:lineRule="exact"/>
    </w:pPr>
    <w:rPr>
      <w:rFonts w:ascii="Times New Roman" w:eastAsia="Times New Roman" w:hAnsi="Times New Roman" w:cs="Times New Roman"/>
      <w:sz w:val="16"/>
    </w:rPr>
  </w:style>
  <w:style w:type="paragraph" w:styleId="Header">
    <w:name w:val="header"/>
    <w:basedOn w:val="Normal"/>
    <w:link w:val="HeaderChar"/>
    <w:uiPriority w:val="99"/>
    <w:unhideWhenUsed/>
    <w:rsid w:val="00796B2D"/>
    <w:pPr>
      <w:tabs>
        <w:tab w:val="center" w:pos="4680"/>
        <w:tab w:val="right" w:pos="9360"/>
      </w:tabs>
    </w:pPr>
  </w:style>
  <w:style w:type="character" w:customStyle="1" w:styleId="HeaderChar">
    <w:name w:val="Header Char"/>
    <w:basedOn w:val="DefaultParagraphFont"/>
    <w:link w:val="Header"/>
    <w:uiPriority w:val="99"/>
    <w:rsid w:val="00796B2D"/>
    <w:rPr>
      <w:rFonts w:ascii="Times New Roman" w:hAnsi="Times New Roman"/>
      <w:sz w:val="24"/>
    </w:rPr>
  </w:style>
  <w:style w:type="paragraph" w:styleId="BalloonText">
    <w:name w:val="Balloon Text"/>
    <w:basedOn w:val="Normal"/>
    <w:link w:val="BalloonTextChar"/>
    <w:uiPriority w:val="99"/>
    <w:semiHidden/>
    <w:unhideWhenUsed/>
    <w:rsid w:val="00796B2D"/>
    <w:rPr>
      <w:rFonts w:ascii="Tahoma" w:hAnsi="Tahoma" w:cs="Tahoma"/>
      <w:sz w:val="16"/>
      <w:szCs w:val="16"/>
    </w:rPr>
  </w:style>
  <w:style w:type="character" w:customStyle="1" w:styleId="BalloonTextChar">
    <w:name w:val="Balloon Text Char"/>
    <w:basedOn w:val="DefaultParagraphFont"/>
    <w:link w:val="BalloonText"/>
    <w:uiPriority w:val="99"/>
    <w:semiHidden/>
    <w:rsid w:val="00796B2D"/>
    <w:rPr>
      <w:rFonts w:ascii="Tahoma" w:hAnsi="Tahoma" w:cs="Tahoma"/>
      <w:sz w:val="16"/>
      <w:szCs w:val="16"/>
    </w:rPr>
  </w:style>
  <w:style w:type="character" w:styleId="PlaceholderText">
    <w:name w:val="Placeholder Text"/>
    <w:basedOn w:val="DefaultParagraphFont"/>
    <w:uiPriority w:val="99"/>
    <w:semiHidden/>
    <w:rsid w:val="00796B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9E68818A2346379FE21CA5A9E54C8C"/>
        <w:category>
          <w:name w:val="General"/>
          <w:gallery w:val="placeholder"/>
        </w:category>
        <w:types>
          <w:type w:val="bbPlcHdr"/>
        </w:types>
        <w:behaviors>
          <w:behavior w:val="content"/>
        </w:behaviors>
        <w:guid w:val="{F0A9FD91-33CB-493D-B075-E4BCC818E360}"/>
      </w:docPartPr>
      <w:docPartBody>
        <w:p w:rsidR="00BE3DB5" w:rsidRDefault="003548FA" w:rsidP="003548FA">
          <w:pPr>
            <w:pStyle w:val="A39E68818A2346379FE21CA5A9E54C8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FA"/>
    <w:rsid w:val="00295485"/>
    <w:rsid w:val="003548FA"/>
    <w:rsid w:val="00BE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9E68818A2346379FE21CA5A9E54C8C">
    <w:name w:val="A39E68818A2346379FE21CA5A9E54C8C"/>
    <w:rsid w:val="003548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9E68818A2346379FE21CA5A9E54C8C">
    <w:name w:val="A39E68818A2346379FE21CA5A9E54C8C"/>
    <w:rsid w:val="00354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4EB3-96F4-45E4-BC7B-776DB7EC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Schiavoni, Vince</dc:creator>
  <cp:lastModifiedBy>Hobbs, Tracy</cp:lastModifiedBy>
  <cp:revision>2</cp:revision>
  <cp:lastPrinted>2017-06-16T21:02:00Z</cp:lastPrinted>
  <dcterms:created xsi:type="dcterms:W3CDTF">2017-06-22T20:56:00Z</dcterms:created>
  <dcterms:modified xsi:type="dcterms:W3CDTF">2017-06-22T20:56:00Z</dcterms:modified>
</cp:coreProperties>
</file>