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2" w:type="dxa"/>
        <w:tblLayout w:type="fixed"/>
        <w:tblLook w:val="0000" w:firstRow="0" w:lastRow="0" w:firstColumn="0" w:lastColumn="0" w:noHBand="0" w:noVBand="0"/>
      </w:tblPr>
      <w:tblGrid>
        <w:gridCol w:w="6588"/>
        <w:gridCol w:w="3084"/>
      </w:tblGrid>
      <w:tr w:rsidR="00F02A99" w:rsidTr="00571E21">
        <w:trPr>
          <w:trHeight w:val="2880"/>
        </w:trPr>
        <w:tc>
          <w:tcPr>
            <w:tcW w:w="6588" w:type="dxa"/>
          </w:tcPr>
          <w:p w:rsidR="006A74C8" w:rsidRPr="001539FC" w:rsidRDefault="00143D76" w:rsidP="00966585">
            <w:pPr>
              <w:ind w:right="144"/>
              <w:rPr>
                <w:rFonts w:ascii="Century" w:hAnsi="Century" w:cs="Times New Roman"/>
                <w:sz w:val="28"/>
                <w:szCs w:val="28"/>
              </w:rPr>
            </w:pPr>
            <w:r w:rsidRPr="001539FC">
              <w:rPr>
                <w:rFonts w:ascii="Century" w:hAnsi="Century" w:cs="Times New Roman"/>
                <w:sz w:val="28"/>
                <w:szCs w:val="28"/>
              </w:rPr>
              <w:t>Sara J. Agne (#026950)</w:t>
            </w:r>
          </w:p>
          <w:p w:rsidR="006A74C8" w:rsidRPr="001539FC" w:rsidRDefault="00143D76" w:rsidP="00966585">
            <w:pPr>
              <w:ind w:right="144"/>
              <w:rPr>
                <w:rFonts w:ascii="Century" w:hAnsi="Century" w:cs="Times New Roman"/>
                <w:sz w:val="28"/>
                <w:szCs w:val="28"/>
              </w:rPr>
            </w:pPr>
            <w:r w:rsidRPr="001539FC">
              <w:rPr>
                <w:rFonts w:ascii="Century" w:hAnsi="Century" w:cs="Times New Roman"/>
                <w:sz w:val="28"/>
                <w:szCs w:val="28"/>
              </w:rPr>
              <w:t>sagne@swlaw.com</w:t>
            </w:r>
          </w:p>
          <w:p w:rsidR="006A74C8" w:rsidRPr="001539FC" w:rsidRDefault="00143D76" w:rsidP="00966585">
            <w:pPr>
              <w:ind w:right="144"/>
              <w:rPr>
                <w:rFonts w:ascii="Century" w:hAnsi="Century" w:cs="Times New Roman"/>
                <w:caps/>
                <w:sz w:val="28"/>
                <w:szCs w:val="28"/>
              </w:rPr>
            </w:pPr>
            <w:r w:rsidRPr="001539FC">
              <w:rPr>
                <w:rFonts w:ascii="Century" w:hAnsi="Century" w:cs="Times New Roman"/>
                <w:caps/>
                <w:sz w:val="28"/>
                <w:szCs w:val="28"/>
              </w:rPr>
              <w:t>Snell &amp; Wilmer l.l.p.</w:t>
            </w:r>
          </w:p>
          <w:p w:rsidR="006A74C8" w:rsidRPr="001539FC" w:rsidRDefault="00143D76" w:rsidP="00966585">
            <w:pPr>
              <w:rPr>
                <w:rFonts w:ascii="Century" w:hAnsi="Century" w:cs="Times New Roman"/>
                <w:sz w:val="28"/>
                <w:szCs w:val="28"/>
              </w:rPr>
            </w:pPr>
            <w:r w:rsidRPr="001539FC">
              <w:rPr>
                <w:rFonts w:ascii="Century" w:hAnsi="Century" w:cs="Times New Roman"/>
                <w:sz w:val="28"/>
                <w:szCs w:val="28"/>
              </w:rPr>
              <w:t>One Arizona Center</w:t>
            </w:r>
            <w:r w:rsidRPr="001539FC">
              <w:rPr>
                <w:rFonts w:ascii="Century" w:hAnsi="Century" w:cs="Times New Roman"/>
                <w:sz w:val="28"/>
                <w:szCs w:val="28"/>
              </w:rPr>
              <w:br/>
              <w:t>400 E. Van Buren</w:t>
            </w:r>
            <w:r w:rsidRPr="001539FC">
              <w:rPr>
                <w:rFonts w:ascii="Century" w:hAnsi="Century" w:cs="Times New Roman"/>
                <w:sz w:val="28"/>
                <w:szCs w:val="28"/>
              </w:rPr>
              <w:br/>
              <w:t>Phoenix, AZ  85004-2202</w:t>
            </w:r>
            <w:r w:rsidRPr="001539FC">
              <w:rPr>
                <w:rFonts w:ascii="Century" w:hAnsi="Century" w:cs="Times New Roman"/>
                <w:sz w:val="28"/>
                <w:szCs w:val="28"/>
              </w:rPr>
              <w:br/>
              <w:t>Telephone: (602) 382-6000</w:t>
            </w:r>
          </w:p>
          <w:p w:rsidR="00966585" w:rsidRPr="001539FC" w:rsidRDefault="005666AC" w:rsidP="00966585">
            <w:pPr>
              <w:rPr>
                <w:rFonts w:ascii="Century" w:hAnsi="Century" w:cs="Times New Roman"/>
                <w:sz w:val="28"/>
                <w:szCs w:val="28"/>
              </w:rPr>
            </w:pPr>
          </w:p>
          <w:p w:rsidR="00966585" w:rsidRPr="001539FC" w:rsidRDefault="00143D76" w:rsidP="00966585">
            <w:pPr>
              <w:rPr>
                <w:rFonts w:ascii="Century" w:hAnsi="Century" w:cs="Times New Roman"/>
                <w:sz w:val="28"/>
                <w:szCs w:val="28"/>
              </w:rPr>
            </w:pPr>
            <w:r w:rsidRPr="001539FC">
              <w:rPr>
                <w:rFonts w:ascii="Century" w:hAnsi="Century" w:cs="Times New Roman"/>
                <w:sz w:val="28"/>
                <w:szCs w:val="28"/>
              </w:rPr>
              <w:t>Shirley J. McAuliffe (#006507)</w:t>
            </w:r>
          </w:p>
          <w:p w:rsidR="00966585" w:rsidRPr="001539FC" w:rsidRDefault="00143D76" w:rsidP="00966585">
            <w:pPr>
              <w:rPr>
                <w:rFonts w:ascii="Century" w:hAnsi="Century" w:cs="Times New Roman"/>
                <w:sz w:val="28"/>
                <w:szCs w:val="28"/>
              </w:rPr>
            </w:pPr>
            <w:r w:rsidRPr="001539FC">
              <w:rPr>
                <w:rFonts w:ascii="Century" w:hAnsi="Century" w:cs="Times New Roman"/>
                <w:sz w:val="28"/>
                <w:szCs w:val="28"/>
              </w:rPr>
              <w:t>McAULIFFE LAW OFFICE PLLC</w:t>
            </w:r>
          </w:p>
          <w:p w:rsidR="00966585" w:rsidRPr="001539FC" w:rsidRDefault="00143D76" w:rsidP="00966585">
            <w:pPr>
              <w:rPr>
                <w:rFonts w:ascii="Century" w:hAnsi="Century" w:cs="Times New Roman"/>
                <w:sz w:val="28"/>
                <w:szCs w:val="28"/>
              </w:rPr>
            </w:pPr>
            <w:r w:rsidRPr="001539FC">
              <w:rPr>
                <w:rFonts w:ascii="Century" w:hAnsi="Century" w:cs="Times New Roman"/>
                <w:sz w:val="28"/>
                <w:szCs w:val="28"/>
              </w:rPr>
              <w:t>77 E. Missouri Avenue, Unit 66</w:t>
            </w:r>
          </w:p>
          <w:p w:rsidR="00966585" w:rsidRPr="001539FC" w:rsidRDefault="00143D76" w:rsidP="00966585">
            <w:pPr>
              <w:rPr>
                <w:rFonts w:ascii="Century" w:hAnsi="Century" w:cs="Times New Roman"/>
                <w:sz w:val="28"/>
                <w:szCs w:val="28"/>
              </w:rPr>
            </w:pPr>
            <w:r w:rsidRPr="001539FC">
              <w:rPr>
                <w:rFonts w:ascii="Century" w:hAnsi="Century" w:cs="Times New Roman"/>
                <w:sz w:val="28"/>
                <w:szCs w:val="28"/>
              </w:rPr>
              <w:t>Phoenix, AZ 85012-1386</w:t>
            </w:r>
          </w:p>
          <w:p w:rsidR="006A74C8" w:rsidRPr="001539FC" w:rsidRDefault="005666AC" w:rsidP="00966585">
            <w:pPr>
              <w:rPr>
                <w:rFonts w:ascii="Century" w:hAnsi="Century" w:cs="Times New Roman"/>
                <w:sz w:val="28"/>
                <w:szCs w:val="28"/>
              </w:rPr>
            </w:pPr>
          </w:p>
          <w:p w:rsidR="006A74C8" w:rsidRPr="001539FC" w:rsidRDefault="005666AC" w:rsidP="00966585">
            <w:pPr>
              <w:rPr>
                <w:rFonts w:ascii="Century" w:hAnsi="Century" w:cs="Times New Roman"/>
                <w:sz w:val="28"/>
                <w:szCs w:val="28"/>
              </w:rPr>
            </w:pPr>
          </w:p>
        </w:tc>
        <w:tc>
          <w:tcPr>
            <w:tcW w:w="3084" w:type="dxa"/>
          </w:tcPr>
          <w:p w:rsidR="006A74C8" w:rsidRPr="001539FC" w:rsidRDefault="005666AC" w:rsidP="00966585">
            <w:pPr>
              <w:ind w:left="113" w:right="113"/>
              <w:rPr>
                <w:rFonts w:ascii="Century" w:hAnsi="Century" w:cs="Times New Roman"/>
                <w:sz w:val="28"/>
                <w:szCs w:val="28"/>
              </w:rPr>
            </w:pPr>
          </w:p>
        </w:tc>
      </w:tr>
    </w:tbl>
    <w:p w:rsidR="006A74C8" w:rsidRPr="001539FC" w:rsidRDefault="005666AC" w:rsidP="00966585">
      <w:pPr>
        <w:rPr>
          <w:rFonts w:ascii="Century" w:hAnsi="Century" w:cs="Times New Roman"/>
          <w:sz w:val="28"/>
          <w:szCs w:val="28"/>
        </w:rPr>
      </w:pPr>
    </w:p>
    <w:p w:rsidR="006A74C8" w:rsidRPr="001539FC" w:rsidRDefault="00143D76" w:rsidP="00966585">
      <w:pPr>
        <w:jc w:val="center"/>
        <w:rPr>
          <w:rFonts w:ascii="Century" w:hAnsi="Century" w:cs="Times New Roman"/>
          <w:b/>
          <w:sz w:val="28"/>
          <w:szCs w:val="28"/>
        </w:rPr>
      </w:pPr>
      <w:r w:rsidRPr="001539FC">
        <w:rPr>
          <w:rFonts w:ascii="Century" w:hAnsi="Century" w:cs="Times New Roman"/>
          <w:b/>
          <w:sz w:val="28"/>
          <w:szCs w:val="28"/>
        </w:rPr>
        <w:t>IN THE SUPREME COURT</w:t>
      </w:r>
    </w:p>
    <w:p w:rsidR="006A74C8" w:rsidRPr="001539FC" w:rsidRDefault="00143D76" w:rsidP="00966585">
      <w:pPr>
        <w:jc w:val="center"/>
        <w:rPr>
          <w:rFonts w:ascii="Century" w:hAnsi="Century" w:cs="Times New Roman"/>
          <w:sz w:val="28"/>
          <w:szCs w:val="28"/>
        </w:rPr>
      </w:pPr>
      <w:r w:rsidRPr="001539FC">
        <w:rPr>
          <w:rFonts w:ascii="Century" w:hAnsi="Century" w:cs="Times New Roman"/>
          <w:b/>
          <w:sz w:val="28"/>
          <w:szCs w:val="28"/>
        </w:rPr>
        <w:t>STATE OF ARIZONA</w:t>
      </w:r>
    </w:p>
    <w:p w:rsidR="006A74C8" w:rsidRPr="001539FC" w:rsidRDefault="005666AC" w:rsidP="00966585">
      <w:pPr>
        <w:rPr>
          <w:rFonts w:ascii="Century" w:hAnsi="Century" w:cs="Times New Roman"/>
          <w:sz w:val="28"/>
          <w:szCs w:val="28"/>
        </w:rPr>
      </w:pPr>
    </w:p>
    <w:tbl>
      <w:tblPr>
        <w:tblW w:w="9672" w:type="dxa"/>
        <w:tblLayout w:type="fixed"/>
        <w:tblLook w:val="0000" w:firstRow="0" w:lastRow="0" w:firstColumn="0" w:lastColumn="0" w:noHBand="0" w:noVBand="0"/>
      </w:tblPr>
      <w:tblGrid>
        <w:gridCol w:w="4608"/>
        <w:gridCol w:w="5064"/>
      </w:tblGrid>
      <w:tr w:rsidR="00F02A99" w:rsidTr="00571E21">
        <w:tc>
          <w:tcPr>
            <w:tcW w:w="4608" w:type="dxa"/>
            <w:tcBorders>
              <w:bottom w:val="single" w:sz="4" w:space="0" w:color="auto"/>
              <w:right w:val="single" w:sz="4" w:space="0" w:color="auto"/>
            </w:tcBorders>
            <w:shd w:val="clear" w:color="auto" w:fill="auto"/>
          </w:tcPr>
          <w:p w:rsidR="006A74C8" w:rsidRPr="001539FC" w:rsidRDefault="005666AC" w:rsidP="00966585">
            <w:pPr>
              <w:ind w:right="144"/>
              <w:rPr>
                <w:rFonts w:ascii="Century" w:hAnsi="Century" w:cs="Times New Roman"/>
                <w:sz w:val="28"/>
                <w:szCs w:val="28"/>
              </w:rPr>
            </w:pPr>
          </w:p>
          <w:p w:rsidR="006A74C8" w:rsidRPr="001539FC" w:rsidRDefault="00143D76" w:rsidP="00966585">
            <w:pPr>
              <w:ind w:right="144"/>
              <w:rPr>
                <w:rFonts w:ascii="Century" w:hAnsi="Century" w:cs="Times New Roman"/>
                <w:sz w:val="28"/>
                <w:szCs w:val="28"/>
              </w:rPr>
            </w:pPr>
            <w:r w:rsidRPr="001539FC">
              <w:rPr>
                <w:rFonts w:ascii="Century" w:hAnsi="Century" w:cs="Times New Roman"/>
                <w:sz w:val="28"/>
                <w:szCs w:val="28"/>
              </w:rPr>
              <w:t>In the Matter of:</w:t>
            </w:r>
          </w:p>
          <w:p w:rsidR="006A74C8" w:rsidRPr="001539FC" w:rsidRDefault="005666AC" w:rsidP="00966585">
            <w:pPr>
              <w:ind w:right="144"/>
              <w:rPr>
                <w:rFonts w:ascii="Century" w:hAnsi="Century" w:cs="Times New Roman"/>
                <w:sz w:val="28"/>
                <w:szCs w:val="28"/>
              </w:rPr>
            </w:pPr>
          </w:p>
          <w:p w:rsidR="006A74C8" w:rsidRPr="001539FC" w:rsidRDefault="00143D76" w:rsidP="00966585">
            <w:pPr>
              <w:ind w:right="144"/>
              <w:rPr>
                <w:rFonts w:ascii="Century" w:hAnsi="Century" w:cs="Times New Roman"/>
                <w:caps/>
                <w:sz w:val="28"/>
                <w:szCs w:val="28"/>
              </w:rPr>
            </w:pPr>
            <w:r w:rsidRPr="001539FC">
              <w:rPr>
                <w:rFonts w:ascii="Century" w:hAnsi="Century" w:cs="Times New Roman"/>
                <w:sz w:val="28"/>
                <w:szCs w:val="28"/>
              </w:rPr>
              <w:t>PETITION FOR NECESSARY TECHNICAL AMENDMENTS TO THE ARIZONA RULES OF CIVIL PROCEDURE</w:t>
            </w:r>
          </w:p>
          <w:p w:rsidR="006A74C8" w:rsidRPr="001539FC" w:rsidRDefault="005666AC" w:rsidP="00966585">
            <w:pPr>
              <w:ind w:right="144"/>
              <w:rPr>
                <w:rFonts w:ascii="Century" w:hAnsi="Century" w:cs="Times New Roman"/>
                <w:sz w:val="28"/>
                <w:szCs w:val="28"/>
              </w:rPr>
            </w:pPr>
          </w:p>
        </w:tc>
        <w:tc>
          <w:tcPr>
            <w:tcW w:w="5064" w:type="dxa"/>
            <w:tcBorders>
              <w:left w:val="nil"/>
            </w:tcBorders>
          </w:tcPr>
          <w:p w:rsidR="006A74C8" w:rsidRPr="001539FC" w:rsidRDefault="00143D76" w:rsidP="00966585">
            <w:pPr>
              <w:tabs>
                <w:tab w:val="left" w:pos="1242"/>
              </w:tabs>
              <w:ind w:left="259" w:right="115"/>
              <w:rPr>
                <w:rFonts w:ascii="Century" w:hAnsi="Century" w:cs="Times New Roman"/>
                <w:sz w:val="28"/>
                <w:szCs w:val="28"/>
              </w:rPr>
            </w:pPr>
            <w:r w:rsidRPr="001539FC">
              <w:rPr>
                <w:rFonts w:ascii="Century" w:hAnsi="Century" w:cs="Times New Roman"/>
                <w:sz w:val="28"/>
                <w:szCs w:val="28"/>
              </w:rPr>
              <w:t>Supreme Court No. R-17-</w:t>
            </w:r>
            <w:r w:rsidR="00C110D5">
              <w:rPr>
                <w:rFonts w:ascii="Century" w:hAnsi="Century" w:cs="Times New Roman"/>
                <w:sz w:val="28"/>
                <w:szCs w:val="28"/>
              </w:rPr>
              <w:t>0009</w:t>
            </w:r>
          </w:p>
          <w:p w:rsidR="00233AEF" w:rsidRPr="001539FC" w:rsidRDefault="005666AC" w:rsidP="00966585">
            <w:pPr>
              <w:tabs>
                <w:tab w:val="left" w:pos="1242"/>
              </w:tabs>
              <w:ind w:left="259" w:right="115"/>
              <w:rPr>
                <w:rFonts w:ascii="Century" w:hAnsi="Century" w:cs="Times New Roman"/>
                <w:sz w:val="28"/>
                <w:szCs w:val="28"/>
              </w:rPr>
            </w:pPr>
          </w:p>
          <w:p w:rsidR="00C51073" w:rsidRPr="001539FC" w:rsidRDefault="005666AC" w:rsidP="00966585">
            <w:pPr>
              <w:tabs>
                <w:tab w:val="left" w:pos="1242"/>
              </w:tabs>
              <w:ind w:left="259" w:right="115"/>
              <w:rPr>
                <w:rFonts w:ascii="Century" w:hAnsi="Century" w:cs="Times New Roman"/>
                <w:sz w:val="28"/>
                <w:szCs w:val="28"/>
              </w:rPr>
            </w:pPr>
          </w:p>
          <w:p w:rsidR="006A74C8" w:rsidRPr="001539FC" w:rsidRDefault="00143D76" w:rsidP="0016266E">
            <w:pPr>
              <w:ind w:left="259" w:right="115"/>
              <w:rPr>
                <w:rFonts w:ascii="Century" w:hAnsi="Century" w:cs="Times New Roman"/>
                <w:b/>
                <w:sz w:val="28"/>
                <w:szCs w:val="28"/>
              </w:rPr>
            </w:pPr>
            <w:r w:rsidRPr="001539FC">
              <w:rPr>
                <w:rFonts w:ascii="Century" w:hAnsi="Century" w:cs="Times New Roman"/>
                <w:b/>
                <w:sz w:val="28"/>
                <w:szCs w:val="28"/>
              </w:rPr>
              <w:t>Petition</w:t>
            </w:r>
            <w:r w:rsidR="0016266E">
              <w:rPr>
                <w:rFonts w:ascii="Century" w:hAnsi="Century" w:cs="Times New Roman"/>
                <w:b/>
                <w:sz w:val="28"/>
                <w:szCs w:val="28"/>
              </w:rPr>
              <w:t>ers’ Reply to Comment of the State Bar of Arizona</w:t>
            </w:r>
          </w:p>
        </w:tc>
      </w:tr>
    </w:tbl>
    <w:p w:rsidR="00AC6FC4" w:rsidRPr="001539FC" w:rsidRDefault="005666AC" w:rsidP="00BB5577">
      <w:pPr>
        <w:pStyle w:val="BodyText"/>
        <w:spacing w:after="0"/>
        <w:ind w:firstLine="0"/>
        <w:rPr>
          <w:rFonts w:ascii="Century" w:hAnsi="Century"/>
          <w:sz w:val="28"/>
          <w:szCs w:val="28"/>
        </w:rPr>
      </w:pPr>
    </w:p>
    <w:p w:rsidR="00230C23" w:rsidRPr="001539FC" w:rsidRDefault="00143D76" w:rsidP="00AE675D">
      <w:pPr>
        <w:pStyle w:val="BodyText"/>
        <w:spacing w:after="0" w:line="480" w:lineRule="auto"/>
        <w:jc w:val="both"/>
        <w:rPr>
          <w:rFonts w:ascii="Century" w:hAnsi="Century"/>
          <w:sz w:val="28"/>
          <w:szCs w:val="28"/>
        </w:rPr>
      </w:pPr>
      <w:r w:rsidRPr="001539FC">
        <w:rPr>
          <w:rFonts w:ascii="Century" w:hAnsi="Century"/>
          <w:sz w:val="28"/>
          <w:szCs w:val="28"/>
        </w:rPr>
        <w:t>Pursuant to Rule 28</w:t>
      </w:r>
      <w:r w:rsidR="0016266E">
        <w:rPr>
          <w:rFonts w:ascii="Century" w:hAnsi="Century"/>
          <w:sz w:val="28"/>
          <w:szCs w:val="28"/>
        </w:rPr>
        <w:t>(D)(2)</w:t>
      </w:r>
      <w:r w:rsidRPr="001539FC">
        <w:rPr>
          <w:rFonts w:ascii="Century" w:hAnsi="Century"/>
          <w:sz w:val="28"/>
          <w:szCs w:val="28"/>
        </w:rPr>
        <w:t xml:space="preserve">, Rules of the Arizona Supreme Court, </w:t>
      </w:r>
      <w:r w:rsidR="003C7684">
        <w:rPr>
          <w:rFonts w:ascii="Century" w:hAnsi="Century"/>
          <w:sz w:val="28"/>
          <w:szCs w:val="28"/>
        </w:rPr>
        <w:t>Petitio</w:t>
      </w:r>
      <w:r w:rsidR="00042277">
        <w:rPr>
          <w:rFonts w:ascii="Century" w:hAnsi="Century"/>
          <w:sz w:val="28"/>
          <w:szCs w:val="28"/>
        </w:rPr>
        <w:t>ners reply in support of their P</w:t>
      </w:r>
      <w:r w:rsidR="003C7684">
        <w:rPr>
          <w:rFonts w:ascii="Century" w:hAnsi="Century"/>
          <w:sz w:val="28"/>
          <w:szCs w:val="28"/>
        </w:rPr>
        <w:t xml:space="preserve">etition to amend the Arizona Rules of Civil Procedure. </w:t>
      </w:r>
      <w:r w:rsidR="00042277">
        <w:rPr>
          <w:rFonts w:ascii="Century" w:hAnsi="Century"/>
          <w:sz w:val="28"/>
          <w:szCs w:val="28"/>
        </w:rPr>
        <w:t>Initially</w:t>
      </w:r>
      <w:r w:rsidR="00A30367">
        <w:rPr>
          <w:rFonts w:ascii="Century" w:hAnsi="Century"/>
          <w:sz w:val="28"/>
          <w:szCs w:val="28"/>
        </w:rPr>
        <w:t xml:space="preserve">, Petitioners proposed roughly eleven technical amendments to eight of the Arizona Rules of Civil Procedure. </w:t>
      </w:r>
      <w:r w:rsidR="006761CF">
        <w:rPr>
          <w:rFonts w:ascii="Century" w:hAnsi="Century"/>
          <w:sz w:val="28"/>
          <w:szCs w:val="28"/>
        </w:rPr>
        <w:t>Subsequently,</w:t>
      </w:r>
      <w:r w:rsidR="004B0704">
        <w:rPr>
          <w:rFonts w:ascii="Century" w:hAnsi="Century"/>
          <w:sz w:val="28"/>
          <w:szCs w:val="28"/>
        </w:rPr>
        <w:t xml:space="preserve"> t</w:t>
      </w:r>
      <w:r w:rsidR="00A30367">
        <w:rPr>
          <w:rFonts w:ascii="Century" w:hAnsi="Century"/>
          <w:sz w:val="28"/>
          <w:szCs w:val="28"/>
        </w:rPr>
        <w:t xml:space="preserve">he State Bar of Arizona (“State Bar”) </w:t>
      </w:r>
      <w:r w:rsidR="004B0704">
        <w:rPr>
          <w:rFonts w:ascii="Century" w:hAnsi="Century"/>
          <w:sz w:val="28"/>
          <w:szCs w:val="28"/>
        </w:rPr>
        <w:t>submitted a comment addressing the proposed amendments</w:t>
      </w:r>
      <w:r w:rsidR="00A30367">
        <w:rPr>
          <w:rFonts w:ascii="Century" w:hAnsi="Century"/>
          <w:sz w:val="28"/>
          <w:szCs w:val="28"/>
        </w:rPr>
        <w:t xml:space="preserve">. </w:t>
      </w:r>
      <w:r w:rsidR="00167A52">
        <w:rPr>
          <w:rFonts w:ascii="Century" w:hAnsi="Century"/>
          <w:sz w:val="28"/>
          <w:szCs w:val="28"/>
        </w:rPr>
        <w:t xml:space="preserve">After carefully </w:t>
      </w:r>
      <w:r w:rsidR="00167A52">
        <w:rPr>
          <w:rFonts w:ascii="Century" w:hAnsi="Century"/>
          <w:sz w:val="28"/>
          <w:szCs w:val="28"/>
        </w:rPr>
        <w:lastRenderedPageBreak/>
        <w:t xml:space="preserve">reviewing the Comment of the State Bar (“Comment”), Petitioners accept and support all </w:t>
      </w:r>
      <w:r w:rsidR="00D671ED">
        <w:rPr>
          <w:rFonts w:ascii="Century" w:hAnsi="Century"/>
          <w:sz w:val="28"/>
          <w:szCs w:val="28"/>
        </w:rPr>
        <w:t>proposed technical amendments</w:t>
      </w:r>
      <w:r w:rsidR="00167A52">
        <w:rPr>
          <w:rFonts w:ascii="Century" w:hAnsi="Century"/>
          <w:sz w:val="28"/>
          <w:szCs w:val="28"/>
        </w:rPr>
        <w:t xml:space="preserve"> contained therein.  </w:t>
      </w:r>
      <w:r w:rsidRPr="001539FC">
        <w:rPr>
          <w:rFonts w:ascii="Century" w:hAnsi="Century"/>
          <w:sz w:val="28"/>
          <w:szCs w:val="28"/>
        </w:rPr>
        <w:t xml:space="preserve">  </w:t>
      </w:r>
    </w:p>
    <w:p w:rsidR="00E16E5B" w:rsidRDefault="00143D76" w:rsidP="00AE675D">
      <w:pPr>
        <w:pStyle w:val="Pleading1L1"/>
        <w:spacing w:after="0" w:line="480" w:lineRule="auto"/>
        <w:rPr>
          <w:rFonts w:ascii="Century" w:hAnsi="Century"/>
          <w:sz w:val="28"/>
          <w:szCs w:val="28"/>
        </w:rPr>
      </w:pPr>
      <w:r w:rsidRPr="001539FC">
        <w:rPr>
          <w:rFonts w:ascii="Century" w:hAnsi="Century"/>
          <w:sz w:val="28"/>
          <w:szCs w:val="28"/>
        </w:rPr>
        <w:t>summary</w:t>
      </w:r>
      <w:r w:rsidR="00F54EF6">
        <w:rPr>
          <w:rFonts w:ascii="Century" w:hAnsi="Century"/>
          <w:sz w:val="28"/>
          <w:szCs w:val="28"/>
        </w:rPr>
        <w:t xml:space="preserve"> and rationale</w:t>
      </w:r>
      <w:r w:rsidRPr="001539FC">
        <w:rPr>
          <w:rFonts w:ascii="Century" w:hAnsi="Century"/>
          <w:sz w:val="28"/>
          <w:szCs w:val="28"/>
        </w:rPr>
        <w:t xml:space="preserve"> of</w:t>
      </w:r>
      <w:r w:rsidR="00F54EF6">
        <w:rPr>
          <w:rFonts w:ascii="Century" w:hAnsi="Century"/>
          <w:sz w:val="28"/>
          <w:szCs w:val="28"/>
        </w:rPr>
        <w:t xml:space="preserve"> the Petition</w:t>
      </w:r>
    </w:p>
    <w:p w:rsidR="006B35AE" w:rsidRDefault="00B45987" w:rsidP="007B7340">
      <w:pPr>
        <w:spacing w:line="480" w:lineRule="auto"/>
        <w:ind w:firstLine="720"/>
        <w:jc w:val="both"/>
        <w:rPr>
          <w:rFonts w:ascii="Century" w:hAnsi="Century"/>
          <w:sz w:val="28"/>
          <w:szCs w:val="28"/>
        </w:rPr>
      </w:pPr>
      <w:r>
        <w:rPr>
          <w:rFonts w:ascii="Century" w:hAnsi="Century"/>
          <w:sz w:val="28"/>
          <w:szCs w:val="28"/>
        </w:rPr>
        <w:t xml:space="preserve">The current Arizona Rules of Civil Procedure, which took effect on January 1, 2017, underwent significant restructuring at the hands of this Court’s Task Force on the Arizona Rules of Civil Procedure (“Task Force”). </w:t>
      </w:r>
      <w:r w:rsidR="00AD4C6D">
        <w:rPr>
          <w:rFonts w:ascii="Century" w:hAnsi="Century"/>
          <w:sz w:val="28"/>
          <w:szCs w:val="28"/>
        </w:rPr>
        <w:t xml:space="preserve">During </w:t>
      </w:r>
      <w:r w:rsidR="009B1937">
        <w:rPr>
          <w:rFonts w:ascii="Century" w:hAnsi="Century"/>
          <w:sz w:val="28"/>
          <w:szCs w:val="28"/>
        </w:rPr>
        <w:t>its efforts, the Task Force re</w:t>
      </w:r>
      <w:r w:rsidR="00C71DF7">
        <w:rPr>
          <w:rFonts w:ascii="Century" w:hAnsi="Century"/>
          <w:sz w:val="28"/>
          <w:szCs w:val="28"/>
        </w:rPr>
        <w:t xml:space="preserve">cognized </w:t>
      </w:r>
      <w:r w:rsidR="00F67F0E">
        <w:rPr>
          <w:rFonts w:ascii="Century" w:hAnsi="Century"/>
          <w:sz w:val="28"/>
          <w:szCs w:val="28"/>
        </w:rPr>
        <w:t xml:space="preserve">that </w:t>
      </w:r>
      <w:r w:rsidR="00C71DF7">
        <w:rPr>
          <w:rFonts w:ascii="Century" w:hAnsi="Century"/>
          <w:sz w:val="28"/>
          <w:szCs w:val="28"/>
        </w:rPr>
        <w:t xml:space="preserve">certain </w:t>
      </w:r>
      <w:r w:rsidR="009B1937">
        <w:rPr>
          <w:rFonts w:ascii="Century" w:hAnsi="Century"/>
          <w:sz w:val="28"/>
          <w:szCs w:val="28"/>
        </w:rPr>
        <w:t xml:space="preserve">technical amendments </w:t>
      </w:r>
      <w:r w:rsidR="00C71DF7">
        <w:rPr>
          <w:rFonts w:ascii="Century" w:hAnsi="Century"/>
          <w:sz w:val="28"/>
          <w:szCs w:val="28"/>
        </w:rPr>
        <w:t xml:space="preserve">would later be required </w:t>
      </w:r>
      <w:r w:rsidR="009B1937">
        <w:rPr>
          <w:rFonts w:ascii="Century" w:hAnsi="Century"/>
          <w:sz w:val="28"/>
          <w:szCs w:val="28"/>
        </w:rPr>
        <w:t xml:space="preserve">to tie up loose ends or fix cross-references inadvertently left unaddressed when the entirety of the civil rules were restyled. </w:t>
      </w:r>
    </w:p>
    <w:p w:rsidR="00230C23" w:rsidRPr="009B1937" w:rsidRDefault="009B1937" w:rsidP="009B1937">
      <w:pPr>
        <w:spacing w:line="480" w:lineRule="auto"/>
        <w:ind w:firstLine="720"/>
        <w:jc w:val="both"/>
        <w:rPr>
          <w:rFonts w:ascii="Century" w:hAnsi="Century"/>
          <w:sz w:val="28"/>
          <w:szCs w:val="28"/>
        </w:rPr>
      </w:pPr>
      <w:r>
        <w:rPr>
          <w:rFonts w:ascii="Century" w:hAnsi="Century"/>
          <w:sz w:val="28"/>
          <w:szCs w:val="28"/>
        </w:rPr>
        <w:t>As a result, t</w:t>
      </w:r>
      <w:r w:rsidR="00DD3FCF">
        <w:rPr>
          <w:rFonts w:ascii="Century" w:hAnsi="Century"/>
          <w:sz w:val="28"/>
          <w:szCs w:val="28"/>
        </w:rPr>
        <w:t>he Petition</w:t>
      </w:r>
      <w:r w:rsidR="00042277">
        <w:rPr>
          <w:rFonts w:ascii="Century" w:hAnsi="Century"/>
          <w:sz w:val="28"/>
          <w:szCs w:val="28"/>
        </w:rPr>
        <w:t xml:space="preserve"> </w:t>
      </w:r>
      <w:r w:rsidR="00143D76" w:rsidRPr="001539FC">
        <w:rPr>
          <w:rFonts w:ascii="Century" w:hAnsi="Century"/>
          <w:sz w:val="28"/>
          <w:szCs w:val="28"/>
        </w:rPr>
        <w:t>propose</w:t>
      </w:r>
      <w:r w:rsidR="00042277">
        <w:rPr>
          <w:rFonts w:ascii="Century" w:hAnsi="Century"/>
          <w:sz w:val="28"/>
          <w:szCs w:val="28"/>
        </w:rPr>
        <w:t>d</w:t>
      </w:r>
      <w:r w:rsidR="00143D76" w:rsidRPr="001539FC">
        <w:rPr>
          <w:rFonts w:ascii="Century" w:hAnsi="Century"/>
          <w:sz w:val="28"/>
          <w:szCs w:val="28"/>
        </w:rPr>
        <w:t xml:space="preserve"> technical amendments to the Arizona Rules of Civil Procedure</w:t>
      </w:r>
      <w:r w:rsidR="00042277">
        <w:rPr>
          <w:rFonts w:ascii="Century" w:hAnsi="Century"/>
          <w:sz w:val="28"/>
          <w:szCs w:val="28"/>
        </w:rPr>
        <w:t xml:space="preserve"> in order to enhance the </w:t>
      </w:r>
      <w:r w:rsidR="00143D76" w:rsidRPr="001539FC">
        <w:rPr>
          <w:rFonts w:ascii="Century" w:hAnsi="Century"/>
          <w:sz w:val="28"/>
          <w:szCs w:val="28"/>
        </w:rPr>
        <w:t>clarity and accessibility of those rules</w:t>
      </w:r>
      <w:r w:rsidR="007B7340">
        <w:rPr>
          <w:rFonts w:ascii="Century" w:hAnsi="Century"/>
          <w:sz w:val="28"/>
          <w:szCs w:val="28"/>
        </w:rPr>
        <w:t>. The proposed amendments were initially identified by Petitioner Shirley J. McAuliffe as she revised and updated the civil practice guide</w:t>
      </w:r>
      <w:r w:rsidR="00C71DF7">
        <w:rPr>
          <w:rFonts w:ascii="Century" w:hAnsi="Century"/>
          <w:sz w:val="28"/>
          <w:szCs w:val="28"/>
        </w:rPr>
        <w:t>.</w:t>
      </w:r>
      <w:r w:rsidR="007B7340">
        <w:rPr>
          <w:rStyle w:val="FootnoteReference"/>
          <w:rFonts w:ascii="Century" w:hAnsi="Century"/>
          <w:sz w:val="28"/>
          <w:szCs w:val="28"/>
        </w:rPr>
        <w:footnoteReference w:id="1"/>
      </w:r>
      <w:r w:rsidR="007B7340">
        <w:rPr>
          <w:rFonts w:cs="Times New Roman"/>
          <w:szCs w:val="24"/>
        </w:rPr>
        <w:t xml:space="preserve"> </w:t>
      </w:r>
      <w:r w:rsidR="00B45987">
        <w:rPr>
          <w:rFonts w:ascii="Century" w:hAnsi="Century"/>
          <w:sz w:val="28"/>
          <w:szCs w:val="28"/>
        </w:rPr>
        <w:t xml:space="preserve">After conferring with the Civil Practice and Procedure Committee of the State Bar of Arizona (“Committee”), Petitioners and Committee agreed to submit only those amendments </w:t>
      </w:r>
      <w:r w:rsidR="00B45987">
        <w:rPr>
          <w:rFonts w:ascii="Century" w:hAnsi="Century"/>
          <w:sz w:val="28"/>
          <w:szCs w:val="28"/>
        </w:rPr>
        <w:lastRenderedPageBreak/>
        <w:t xml:space="preserve">that were technical in nature (saving substantive amendments for future petitions). </w:t>
      </w:r>
      <w:r w:rsidR="007B7340">
        <w:rPr>
          <w:rFonts w:ascii="Century" w:hAnsi="Century"/>
          <w:sz w:val="28"/>
          <w:szCs w:val="28"/>
        </w:rPr>
        <w:t xml:space="preserve"> </w:t>
      </w:r>
    </w:p>
    <w:p w:rsidR="00A816AB" w:rsidRPr="001539FC" w:rsidRDefault="0001099F" w:rsidP="004C68BE">
      <w:pPr>
        <w:pStyle w:val="BodyText"/>
        <w:spacing w:after="0" w:line="480" w:lineRule="auto"/>
        <w:jc w:val="both"/>
        <w:rPr>
          <w:rFonts w:ascii="Century" w:hAnsi="Century"/>
          <w:sz w:val="28"/>
          <w:szCs w:val="28"/>
        </w:rPr>
      </w:pPr>
      <w:r>
        <w:rPr>
          <w:rFonts w:ascii="Century" w:hAnsi="Century"/>
          <w:sz w:val="28"/>
          <w:szCs w:val="28"/>
        </w:rPr>
        <w:t>In order to ensure</w:t>
      </w:r>
      <w:r w:rsidR="004C68BE">
        <w:rPr>
          <w:rFonts w:ascii="Century" w:hAnsi="Century"/>
          <w:sz w:val="28"/>
          <w:szCs w:val="28"/>
        </w:rPr>
        <w:t xml:space="preserve"> the</w:t>
      </w:r>
      <w:r w:rsidR="00143D76" w:rsidRPr="001539FC">
        <w:rPr>
          <w:rFonts w:ascii="Century" w:hAnsi="Century"/>
          <w:sz w:val="28"/>
          <w:szCs w:val="28"/>
        </w:rPr>
        <w:t xml:space="preserve"> Task Force’s herculean restyling and rule change effort</w:t>
      </w:r>
      <w:r w:rsidR="004C68BE">
        <w:rPr>
          <w:rFonts w:ascii="Century" w:hAnsi="Century"/>
          <w:sz w:val="28"/>
          <w:szCs w:val="28"/>
        </w:rPr>
        <w:t xml:space="preserve"> did not </w:t>
      </w:r>
      <w:r>
        <w:rPr>
          <w:rFonts w:ascii="Century" w:hAnsi="Century"/>
          <w:sz w:val="28"/>
          <w:szCs w:val="28"/>
        </w:rPr>
        <w:t>become a</w:t>
      </w:r>
      <w:r w:rsidR="004C68BE">
        <w:rPr>
          <w:rFonts w:ascii="Century" w:hAnsi="Century"/>
          <w:sz w:val="28"/>
          <w:szCs w:val="28"/>
        </w:rPr>
        <w:t xml:space="preserve"> </w:t>
      </w:r>
      <w:r>
        <w:rPr>
          <w:rFonts w:ascii="Century" w:hAnsi="Century"/>
          <w:sz w:val="28"/>
          <w:szCs w:val="28"/>
        </w:rPr>
        <w:t>S</w:t>
      </w:r>
      <w:r w:rsidR="00BE6F45">
        <w:rPr>
          <w:rFonts w:ascii="Century" w:hAnsi="Century"/>
          <w:sz w:val="28"/>
          <w:szCs w:val="28"/>
        </w:rPr>
        <w:t>isyphea</w:t>
      </w:r>
      <w:r w:rsidR="004C68BE">
        <w:rPr>
          <w:rFonts w:ascii="Century" w:hAnsi="Century"/>
          <w:sz w:val="28"/>
          <w:szCs w:val="28"/>
        </w:rPr>
        <w:t xml:space="preserve">n </w:t>
      </w:r>
      <w:r>
        <w:rPr>
          <w:rFonts w:ascii="Century" w:hAnsi="Century"/>
          <w:sz w:val="28"/>
          <w:szCs w:val="28"/>
        </w:rPr>
        <w:t>endeavor</w:t>
      </w:r>
      <w:r w:rsidR="004C68BE">
        <w:rPr>
          <w:rFonts w:ascii="Century" w:hAnsi="Century"/>
          <w:sz w:val="28"/>
          <w:szCs w:val="28"/>
        </w:rPr>
        <w:t>, Petitioners</w:t>
      </w:r>
      <w:r w:rsidR="00143D76" w:rsidRPr="001539FC">
        <w:rPr>
          <w:rFonts w:ascii="Century" w:hAnsi="Century"/>
          <w:sz w:val="28"/>
          <w:szCs w:val="28"/>
        </w:rPr>
        <w:t xml:space="preserve"> proposed </w:t>
      </w:r>
      <w:r w:rsidR="004C68BE">
        <w:rPr>
          <w:rFonts w:ascii="Century" w:hAnsi="Century"/>
          <w:sz w:val="28"/>
          <w:szCs w:val="28"/>
        </w:rPr>
        <w:t xml:space="preserve">the following technical </w:t>
      </w:r>
      <w:r w:rsidR="00143D76" w:rsidRPr="001539FC">
        <w:rPr>
          <w:rFonts w:ascii="Century" w:hAnsi="Century"/>
          <w:sz w:val="28"/>
          <w:szCs w:val="28"/>
        </w:rPr>
        <w:t>amendments:</w:t>
      </w:r>
    </w:p>
    <w:p w:rsidR="00FE5051" w:rsidRPr="001539FC" w:rsidRDefault="00143D76" w:rsidP="00AE675D">
      <w:pPr>
        <w:pStyle w:val="PlainText"/>
        <w:numPr>
          <w:ilvl w:val="0"/>
          <w:numId w:val="11"/>
        </w:numPr>
        <w:spacing w:line="480" w:lineRule="auto"/>
        <w:jc w:val="both"/>
        <w:rPr>
          <w:rFonts w:ascii="Century" w:hAnsi="Century"/>
          <w:sz w:val="28"/>
          <w:szCs w:val="28"/>
        </w:rPr>
      </w:pPr>
      <w:r w:rsidRPr="001539FC">
        <w:rPr>
          <w:rFonts w:ascii="Century" w:hAnsi="Century"/>
          <w:sz w:val="28"/>
          <w:szCs w:val="28"/>
        </w:rPr>
        <w:t xml:space="preserve">Amending Rules 4(f)(1) and (2) to </w:t>
      </w:r>
      <w:r>
        <w:rPr>
          <w:rFonts w:ascii="Century" w:hAnsi="Century"/>
          <w:sz w:val="28"/>
          <w:szCs w:val="28"/>
        </w:rPr>
        <w:t>delete erroneous references to “this rule”</w:t>
      </w:r>
      <w:r w:rsidRPr="001539FC">
        <w:rPr>
          <w:rFonts w:ascii="Century" w:hAnsi="Century"/>
          <w:sz w:val="28"/>
          <w:szCs w:val="28"/>
        </w:rPr>
        <w:t xml:space="preserve"> when referring to parties subject to service, as none are actually subject to service under Rule 4—parties are subject to service only</w:t>
      </w:r>
      <w:r>
        <w:rPr>
          <w:rFonts w:ascii="Century" w:hAnsi="Century"/>
          <w:sz w:val="28"/>
          <w:szCs w:val="28"/>
        </w:rPr>
        <w:t xml:space="preserve"> under</w:t>
      </w:r>
      <w:r w:rsidRPr="001539FC">
        <w:rPr>
          <w:rFonts w:ascii="Century" w:hAnsi="Century"/>
          <w:sz w:val="28"/>
          <w:szCs w:val="28"/>
        </w:rPr>
        <w:t xml:space="preserve"> Rules 4.1 and 4.2, for which references are retained.</w:t>
      </w:r>
    </w:p>
    <w:p w:rsidR="00FE5051" w:rsidRPr="001539FC" w:rsidRDefault="00143D76" w:rsidP="00AE675D">
      <w:pPr>
        <w:pStyle w:val="PlainText"/>
        <w:numPr>
          <w:ilvl w:val="0"/>
          <w:numId w:val="11"/>
        </w:numPr>
        <w:spacing w:line="480" w:lineRule="auto"/>
        <w:jc w:val="both"/>
        <w:rPr>
          <w:rFonts w:ascii="Century" w:hAnsi="Century"/>
          <w:sz w:val="28"/>
          <w:szCs w:val="28"/>
        </w:rPr>
      </w:pPr>
      <w:r w:rsidRPr="001539FC">
        <w:rPr>
          <w:rFonts w:ascii="Century" w:hAnsi="Century"/>
          <w:sz w:val="28"/>
          <w:szCs w:val="28"/>
        </w:rPr>
        <w:t>Amending Rule 4.2(b) to correct an errant cross-reference: The rule currently refers to “4.1(d) through (i)” when the cross-reference should be to “Rule 4.1(d) through (j).”</w:t>
      </w:r>
    </w:p>
    <w:p w:rsidR="00A71A00" w:rsidRPr="001539FC" w:rsidRDefault="00143D76" w:rsidP="00AE675D">
      <w:pPr>
        <w:pStyle w:val="PlainText"/>
        <w:numPr>
          <w:ilvl w:val="0"/>
          <w:numId w:val="11"/>
        </w:numPr>
        <w:spacing w:line="480" w:lineRule="auto"/>
        <w:jc w:val="both"/>
        <w:rPr>
          <w:rFonts w:ascii="Century" w:hAnsi="Century"/>
          <w:sz w:val="28"/>
          <w:szCs w:val="28"/>
        </w:rPr>
      </w:pPr>
      <w:r w:rsidRPr="001539FC">
        <w:rPr>
          <w:rFonts w:ascii="Century" w:hAnsi="Century"/>
          <w:sz w:val="28"/>
          <w:szCs w:val="28"/>
        </w:rPr>
        <w:t xml:space="preserve">Deleting the </w:t>
      </w:r>
      <w:r>
        <w:rPr>
          <w:rFonts w:ascii="Century" w:hAnsi="Century"/>
          <w:sz w:val="28"/>
          <w:szCs w:val="28"/>
        </w:rPr>
        <w:t>“</w:t>
      </w:r>
      <w:r w:rsidRPr="001539FC">
        <w:rPr>
          <w:rFonts w:ascii="Century" w:hAnsi="Century"/>
          <w:sz w:val="28"/>
          <w:szCs w:val="28"/>
        </w:rPr>
        <w:t>or” following clause (B) of Rule 4.2(i)(2) to be more faithful to both meaning and flow of that rule in the structuring of its list of options for accomplishing service on an individual in a foreign country when</w:t>
      </w:r>
      <w:r w:rsidRPr="001539FC">
        <w:rPr>
          <w:rFonts w:ascii="Century" w:hAnsi="Century" w:cs="Times New Roman"/>
          <w:sz w:val="28"/>
          <w:szCs w:val="28"/>
        </w:rPr>
        <w:t xml:space="preserve"> there is no internationally agreed means, or if an international agreement allows but does not specify other means.</w:t>
      </w:r>
    </w:p>
    <w:p w:rsidR="00FE5051" w:rsidRPr="001539FC" w:rsidRDefault="00143D76" w:rsidP="00AE675D">
      <w:pPr>
        <w:pStyle w:val="PlainText"/>
        <w:numPr>
          <w:ilvl w:val="0"/>
          <w:numId w:val="11"/>
        </w:numPr>
        <w:spacing w:line="480" w:lineRule="auto"/>
        <w:jc w:val="both"/>
        <w:rPr>
          <w:rFonts w:ascii="Century" w:hAnsi="Century"/>
          <w:sz w:val="28"/>
          <w:szCs w:val="28"/>
        </w:rPr>
      </w:pPr>
      <w:r w:rsidRPr="001539FC">
        <w:rPr>
          <w:rFonts w:ascii="Century" w:hAnsi="Century"/>
          <w:sz w:val="28"/>
          <w:szCs w:val="28"/>
        </w:rPr>
        <w:lastRenderedPageBreak/>
        <w:t>Retitling Rule 6(d) “Orders and Other Court-Generated Documents” (instead of “Minute Entries and Other Court-Generated Documents”) for clarity. To slightly restyle the rule</w:t>
      </w:r>
      <w:r>
        <w:rPr>
          <w:rFonts w:ascii="Century" w:hAnsi="Century"/>
          <w:sz w:val="28"/>
          <w:szCs w:val="28"/>
        </w:rPr>
        <w:t>, also for clarity, Petitioners</w:t>
      </w:r>
      <w:r w:rsidRPr="001539FC">
        <w:rPr>
          <w:rFonts w:ascii="Century" w:hAnsi="Century"/>
          <w:sz w:val="28"/>
          <w:szCs w:val="28"/>
        </w:rPr>
        <w:t xml:space="preserve"> propose that reference to “an order” become “an order or other court-generated document” and that subsequent references refer collectively then to court-generated documents.</w:t>
      </w:r>
    </w:p>
    <w:p w:rsidR="00CB1BCE" w:rsidRPr="001539FC" w:rsidRDefault="00143D76" w:rsidP="00AE675D">
      <w:pPr>
        <w:pStyle w:val="PlainText"/>
        <w:numPr>
          <w:ilvl w:val="0"/>
          <w:numId w:val="11"/>
        </w:numPr>
        <w:spacing w:line="480" w:lineRule="auto"/>
        <w:jc w:val="both"/>
        <w:rPr>
          <w:rFonts w:ascii="Century" w:hAnsi="Century"/>
          <w:sz w:val="28"/>
          <w:szCs w:val="28"/>
        </w:rPr>
      </w:pPr>
      <w:r w:rsidRPr="001539FC">
        <w:rPr>
          <w:rFonts w:ascii="Century" w:hAnsi="Century"/>
          <w:sz w:val="28"/>
          <w:szCs w:val="28"/>
        </w:rPr>
        <w:t>Amending Rule 7.1(f)(3), which addresses objections to admission of evidence on written motions, to shorten, for clarity, and to work a bit better with Rule 56(c)(4), which provides the slightly separate procedure for raising objections to the admissibility of evidence offered in support of, or in opposition to, motions for summary judgment.</w:t>
      </w:r>
    </w:p>
    <w:p w:rsidR="00416347" w:rsidRPr="001539FC" w:rsidRDefault="00143D76" w:rsidP="00AE675D">
      <w:pPr>
        <w:pStyle w:val="PlainText"/>
        <w:numPr>
          <w:ilvl w:val="0"/>
          <w:numId w:val="11"/>
        </w:numPr>
        <w:spacing w:line="480" w:lineRule="auto"/>
        <w:jc w:val="both"/>
        <w:rPr>
          <w:rFonts w:ascii="Century" w:hAnsi="Century"/>
          <w:sz w:val="28"/>
          <w:szCs w:val="28"/>
        </w:rPr>
      </w:pPr>
      <w:r w:rsidRPr="001539FC">
        <w:rPr>
          <w:rFonts w:ascii="Century" w:hAnsi="Century"/>
          <w:sz w:val="28"/>
          <w:szCs w:val="28"/>
        </w:rPr>
        <w:t xml:space="preserve">Aligning discovery obligations under Rule 26(e), which addresses supplementing and correcting of discovery responses, with corresponding disclosure obligations under Rule 26.1(d)(2): Specifically, Petitioners propose amending Rule 26(e) to provide the procedure for supplementing or correcting a discovery response when a party knows or reasonably should know </w:t>
      </w:r>
      <w:r w:rsidRPr="001539FC">
        <w:rPr>
          <w:rFonts w:ascii="Century" w:hAnsi="Century"/>
          <w:sz w:val="28"/>
          <w:szCs w:val="28"/>
        </w:rPr>
        <w:lastRenderedPageBreak/>
        <w:t>additional or corrective information is relevant to a hearing or deposition scheduled to occur in less than 30 days. The procedure, which matches that already provided in Rule 26.1(d)(2) of the disclosure rules, is that “the party must supplement or correct the discovery response reasonably in advance of the hearing or deposition.”</w:t>
      </w:r>
    </w:p>
    <w:p w:rsidR="00FE5051" w:rsidRPr="001539FC" w:rsidRDefault="00143D76" w:rsidP="006C3434">
      <w:pPr>
        <w:pStyle w:val="PlainText"/>
        <w:numPr>
          <w:ilvl w:val="0"/>
          <w:numId w:val="11"/>
        </w:numPr>
        <w:spacing w:line="480" w:lineRule="auto"/>
        <w:jc w:val="both"/>
        <w:rPr>
          <w:rFonts w:ascii="Century" w:hAnsi="Century"/>
          <w:sz w:val="28"/>
          <w:szCs w:val="28"/>
        </w:rPr>
      </w:pPr>
      <w:r w:rsidRPr="001539FC">
        <w:rPr>
          <w:rFonts w:ascii="Century" w:hAnsi="Century"/>
          <w:sz w:val="28"/>
          <w:szCs w:val="28"/>
        </w:rPr>
        <w:t xml:space="preserve">Adding the missing word “verified” before “request” in Rule 54(f)(2): Both Rules 54(f)(1) and 54(f)(2) refer to verified requests so the word should appear in both places. </w:t>
      </w:r>
    </w:p>
    <w:p w:rsidR="00FE5051" w:rsidRPr="001539FC" w:rsidRDefault="00143D76" w:rsidP="006C3434">
      <w:pPr>
        <w:pStyle w:val="PlainText"/>
        <w:numPr>
          <w:ilvl w:val="0"/>
          <w:numId w:val="11"/>
        </w:numPr>
        <w:spacing w:line="480" w:lineRule="auto"/>
        <w:jc w:val="both"/>
        <w:rPr>
          <w:rFonts w:ascii="Century" w:hAnsi="Century"/>
          <w:sz w:val="28"/>
          <w:szCs w:val="28"/>
        </w:rPr>
      </w:pPr>
      <w:r w:rsidRPr="001539FC">
        <w:rPr>
          <w:rFonts w:ascii="Century" w:hAnsi="Century"/>
          <w:sz w:val="28"/>
          <w:szCs w:val="28"/>
        </w:rPr>
        <w:t xml:space="preserve">Adding Rule 54(f)(3) to better structure Rule 54(f): Rule 54(f)(1) refers to requests for costs when attorney’s fees are also requested and Rule 54(f)(2) refers to requests for costs when attorney’s fees are not requested, but only Rule 54(f)(2)(D) currently explains the procedure for responses in opposition to (and replies in </w:t>
      </w:r>
      <w:r>
        <w:rPr>
          <w:rFonts w:ascii="Century" w:hAnsi="Century"/>
          <w:sz w:val="28"/>
          <w:szCs w:val="28"/>
        </w:rPr>
        <w:t>support of) requests for costs—</w:t>
      </w:r>
      <w:r w:rsidRPr="001539FC">
        <w:rPr>
          <w:rFonts w:ascii="Century" w:hAnsi="Century"/>
          <w:sz w:val="28"/>
          <w:szCs w:val="28"/>
        </w:rPr>
        <w:t>when the procedure applies to both situations. Turning Rule 54(f)(2)(D) into Rule 54(f)(3) better structures the rule to make that clear.</w:t>
      </w:r>
    </w:p>
    <w:p w:rsidR="00405885" w:rsidRPr="001539FC" w:rsidRDefault="00143D76" w:rsidP="006C3434">
      <w:pPr>
        <w:pStyle w:val="PlainText"/>
        <w:numPr>
          <w:ilvl w:val="0"/>
          <w:numId w:val="11"/>
        </w:numPr>
        <w:spacing w:line="480" w:lineRule="auto"/>
        <w:jc w:val="both"/>
        <w:rPr>
          <w:rFonts w:ascii="Century" w:hAnsi="Century"/>
          <w:sz w:val="28"/>
          <w:szCs w:val="28"/>
        </w:rPr>
      </w:pPr>
      <w:r w:rsidRPr="001539FC">
        <w:rPr>
          <w:rFonts w:ascii="Century" w:hAnsi="Century"/>
          <w:sz w:val="28"/>
          <w:szCs w:val="28"/>
        </w:rPr>
        <w:lastRenderedPageBreak/>
        <w:t xml:space="preserve">Changing Rule 54(i)(1) to add the words “taxable </w:t>
      </w:r>
      <w:r>
        <w:rPr>
          <w:rFonts w:ascii="Century" w:hAnsi="Century"/>
          <w:sz w:val="28"/>
          <w:szCs w:val="28"/>
        </w:rPr>
        <w:t>costs, and” before “attorney</w:t>
      </w:r>
      <w:r w:rsidRPr="001539FC">
        <w:rPr>
          <w:rFonts w:ascii="Century" w:hAnsi="Century"/>
          <w:sz w:val="28"/>
          <w:szCs w:val="28"/>
        </w:rPr>
        <w:t>s</w:t>
      </w:r>
      <w:r>
        <w:rPr>
          <w:rFonts w:ascii="Century" w:hAnsi="Century"/>
          <w:sz w:val="28"/>
          <w:szCs w:val="28"/>
        </w:rPr>
        <w:t>’</w:t>
      </w:r>
      <w:r w:rsidRPr="001539FC">
        <w:rPr>
          <w:rFonts w:ascii="Century" w:hAnsi="Century"/>
          <w:sz w:val="28"/>
          <w:szCs w:val="28"/>
        </w:rPr>
        <w:t xml:space="preserve"> fees” and omit the words “and expenses,” so that it is clear that the expenses referred to are actually taxable costs.</w:t>
      </w:r>
    </w:p>
    <w:p w:rsidR="00FE5051" w:rsidRPr="001539FC" w:rsidRDefault="00143D76" w:rsidP="006C3434">
      <w:pPr>
        <w:pStyle w:val="PlainText"/>
        <w:numPr>
          <w:ilvl w:val="0"/>
          <w:numId w:val="11"/>
        </w:numPr>
        <w:spacing w:line="480" w:lineRule="auto"/>
        <w:jc w:val="both"/>
        <w:rPr>
          <w:rFonts w:ascii="Century" w:hAnsi="Century"/>
          <w:sz w:val="28"/>
          <w:szCs w:val="28"/>
        </w:rPr>
      </w:pPr>
      <w:r w:rsidRPr="001539FC">
        <w:rPr>
          <w:rFonts w:ascii="Century" w:hAnsi="Century"/>
          <w:sz w:val="28"/>
          <w:szCs w:val="28"/>
        </w:rPr>
        <w:t>Revising the second paragraph of the comment to Rule 56 to omit the word “current,” for clarity and to correct erroneous subsection references.</w:t>
      </w:r>
    </w:p>
    <w:p w:rsidR="0001099F" w:rsidRPr="0001099F" w:rsidRDefault="00143D76" w:rsidP="0001099F">
      <w:pPr>
        <w:pStyle w:val="PlainText"/>
        <w:numPr>
          <w:ilvl w:val="0"/>
          <w:numId w:val="11"/>
        </w:numPr>
        <w:spacing w:line="480" w:lineRule="auto"/>
        <w:jc w:val="both"/>
        <w:rPr>
          <w:rFonts w:ascii="Century" w:hAnsi="Century"/>
          <w:sz w:val="28"/>
          <w:szCs w:val="28"/>
        </w:rPr>
      </w:pPr>
      <w:r w:rsidRPr="001539FC">
        <w:rPr>
          <w:rFonts w:ascii="Century" w:hAnsi="Century"/>
          <w:sz w:val="28"/>
          <w:szCs w:val="28"/>
        </w:rPr>
        <w:t xml:space="preserve">Retitling Rule 75(b) to refer to a “Joint Prehearing Statement,” instead of just a “Prehearing Statement” so the joint nature of that document is clear. </w:t>
      </w:r>
    </w:p>
    <w:p w:rsidR="00230C23" w:rsidRPr="001539FC" w:rsidRDefault="006533DB" w:rsidP="00BB5577">
      <w:pPr>
        <w:pStyle w:val="Pleading1L1"/>
        <w:spacing w:after="0" w:line="480" w:lineRule="auto"/>
        <w:rPr>
          <w:rFonts w:ascii="Century" w:hAnsi="Century"/>
          <w:sz w:val="28"/>
          <w:szCs w:val="28"/>
        </w:rPr>
      </w:pPr>
      <w:r>
        <w:rPr>
          <w:rFonts w:ascii="Century" w:hAnsi="Century"/>
          <w:sz w:val="28"/>
          <w:szCs w:val="28"/>
        </w:rPr>
        <w:t>Reply to comment of the state bar</w:t>
      </w:r>
    </w:p>
    <w:p w:rsidR="00CF0EA7" w:rsidRDefault="006533DB" w:rsidP="00741BD5">
      <w:pPr>
        <w:pStyle w:val="BodyText"/>
        <w:spacing w:after="0" w:line="480" w:lineRule="auto"/>
        <w:jc w:val="both"/>
        <w:rPr>
          <w:rFonts w:ascii="Century" w:hAnsi="Century"/>
          <w:sz w:val="28"/>
          <w:szCs w:val="28"/>
        </w:rPr>
      </w:pPr>
      <w:r>
        <w:rPr>
          <w:rFonts w:ascii="Century" w:hAnsi="Century"/>
          <w:sz w:val="28"/>
          <w:szCs w:val="28"/>
        </w:rPr>
        <w:t xml:space="preserve">The State Bar agreed with </w:t>
      </w:r>
      <w:r w:rsidR="00741BD5">
        <w:rPr>
          <w:rFonts w:ascii="Century" w:hAnsi="Century"/>
          <w:sz w:val="28"/>
          <w:szCs w:val="28"/>
        </w:rPr>
        <w:t xml:space="preserve">the </w:t>
      </w:r>
      <w:r>
        <w:rPr>
          <w:rFonts w:ascii="Century" w:hAnsi="Century"/>
          <w:sz w:val="28"/>
          <w:szCs w:val="28"/>
        </w:rPr>
        <w:t>Petitioners’ proposed amendments, and recommended adop</w:t>
      </w:r>
      <w:r w:rsidR="00741BD5">
        <w:rPr>
          <w:rFonts w:ascii="Century" w:hAnsi="Century"/>
          <w:sz w:val="28"/>
          <w:szCs w:val="28"/>
        </w:rPr>
        <w:t>tion</w:t>
      </w:r>
      <w:r>
        <w:rPr>
          <w:rFonts w:ascii="Century" w:hAnsi="Century"/>
          <w:sz w:val="28"/>
          <w:szCs w:val="28"/>
        </w:rPr>
        <w:t xml:space="preserve">. The </w:t>
      </w:r>
      <w:r w:rsidR="00C055F5">
        <w:rPr>
          <w:rFonts w:ascii="Century" w:hAnsi="Century"/>
          <w:sz w:val="28"/>
          <w:szCs w:val="28"/>
        </w:rPr>
        <w:t xml:space="preserve">State Bar proposed </w:t>
      </w:r>
      <w:r w:rsidR="00741BD5">
        <w:rPr>
          <w:rFonts w:ascii="Century" w:hAnsi="Century"/>
          <w:sz w:val="28"/>
          <w:szCs w:val="28"/>
        </w:rPr>
        <w:t xml:space="preserve">only </w:t>
      </w:r>
      <w:r w:rsidR="00C055F5">
        <w:rPr>
          <w:rFonts w:ascii="Century" w:hAnsi="Century"/>
          <w:sz w:val="28"/>
          <w:szCs w:val="28"/>
        </w:rPr>
        <w:t>one additional change</w:t>
      </w:r>
      <w:r w:rsidR="00741BD5">
        <w:rPr>
          <w:rFonts w:ascii="Century" w:hAnsi="Century"/>
          <w:sz w:val="28"/>
          <w:szCs w:val="28"/>
        </w:rPr>
        <w:t xml:space="preserve"> to the amendments put forth by the Petitioners</w:t>
      </w:r>
      <w:r w:rsidR="00C055F5">
        <w:rPr>
          <w:rFonts w:ascii="Century" w:hAnsi="Century"/>
          <w:sz w:val="28"/>
          <w:szCs w:val="28"/>
        </w:rPr>
        <w:t xml:space="preserve">, which they identified after consulting with the Arizona Association of Superior Courts. </w:t>
      </w:r>
      <w:r w:rsidR="00741BD5">
        <w:rPr>
          <w:rFonts w:ascii="Century" w:hAnsi="Century"/>
          <w:sz w:val="28"/>
          <w:szCs w:val="28"/>
        </w:rPr>
        <w:t>As it pertains to Rule 6(d), the State Bar reque</w:t>
      </w:r>
      <w:r w:rsidR="00C371D1">
        <w:rPr>
          <w:rFonts w:ascii="Century" w:hAnsi="Century"/>
          <w:sz w:val="28"/>
          <w:szCs w:val="28"/>
        </w:rPr>
        <w:t>sted that “Minute E</w:t>
      </w:r>
      <w:r w:rsidR="00C40B9B">
        <w:rPr>
          <w:rFonts w:ascii="Century" w:hAnsi="Century"/>
          <w:sz w:val="28"/>
          <w:szCs w:val="28"/>
        </w:rPr>
        <w:t>ntries</w:t>
      </w:r>
      <w:r w:rsidR="00C371D1">
        <w:rPr>
          <w:rFonts w:ascii="Century" w:hAnsi="Century"/>
          <w:sz w:val="28"/>
          <w:szCs w:val="28"/>
        </w:rPr>
        <w:t xml:space="preserve">” </w:t>
      </w:r>
      <w:r w:rsidR="00741BD5">
        <w:rPr>
          <w:rFonts w:ascii="Century" w:hAnsi="Century"/>
          <w:sz w:val="28"/>
          <w:szCs w:val="28"/>
        </w:rPr>
        <w:t xml:space="preserve">not be deleted from the title of the Rule. Based on the State Bar’s expertise and discussion with the Arizona Association of Superior Courts, Petitioners endorse the recommended modification to their original proposal. </w:t>
      </w:r>
      <w:r w:rsidR="00143D76" w:rsidRPr="001539FC">
        <w:rPr>
          <w:rFonts w:ascii="Century" w:hAnsi="Century"/>
          <w:sz w:val="28"/>
          <w:szCs w:val="28"/>
        </w:rPr>
        <w:t xml:space="preserve"> </w:t>
      </w:r>
    </w:p>
    <w:p w:rsidR="00741BD5" w:rsidRDefault="00741BD5" w:rsidP="00741BD5">
      <w:pPr>
        <w:pStyle w:val="BodyText"/>
        <w:spacing w:after="0" w:line="480" w:lineRule="auto"/>
        <w:jc w:val="both"/>
        <w:rPr>
          <w:rFonts w:ascii="Century" w:hAnsi="Century"/>
          <w:sz w:val="28"/>
          <w:szCs w:val="28"/>
        </w:rPr>
      </w:pPr>
      <w:r>
        <w:rPr>
          <w:rFonts w:ascii="Century" w:hAnsi="Century"/>
          <w:sz w:val="28"/>
          <w:szCs w:val="28"/>
        </w:rPr>
        <w:lastRenderedPageBreak/>
        <w:t>In addition, following its study of the issues raised by the Petition, the State Bar proposed three technical amendments that it believes the Court should also adopt. These additional amendments are:</w:t>
      </w:r>
    </w:p>
    <w:p w:rsidR="00F005EF" w:rsidRDefault="00F005EF" w:rsidP="00F005EF">
      <w:pPr>
        <w:pStyle w:val="PlainText"/>
        <w:numPr>
          <w:ilvl w:val="0"/>
          <w:numId w:val="11"/>
        </w:numPr>
        <w:spacing w:line="480" w:lineRule="auto"/>
        <w:jc w:val="both"/>
        <w:rPr>
          <w:rFonts w:ascii="Century" w:hAnsi="Century"/>
          <w:sz w:val="28"/>
          <w:szCs w:val="28"/>
        </w:rPr>
      </w:pPr>
      <w:r>
        <w:rPr>
          <w:rFonts w:ascii="Century" w:hAnsi="Century"/>
          <w:sz w:val="28"/>
          <w:szCs w:val="28"/>
        </w:rPr>
        <w:t>Amending the title and text of Rule 12(a) to reflect that the deadline is for “filing and serving” an Answer, not just serving it.</w:t>
      </w:r>
    </w:p>
    <w:p w:rsidR="00F005EF" w:rsidRDefault="00F005EF" w:rsidP="00F005EF">
      <w:pPr>
        <w:pStyle w:val="PlainText"/>
        <w:numPr>
          <w:ilvl w:val="0"/>
          <w:numId w:val="11"/>
        </w:numPr>
        <w:spacing w:line="480" w:lineRule="auto"/>
        <w:jc w:val="both"/>
        <w:rPr>
          <w:rFonts w:ascii="Century" w:hAnsi="Century"/>
          <w:sz w:val="28"/>
          <w:szCs w:val="28"/>
        </w:rPr>
      </w:pPr>
      <w:r>
        <w:rPr>
          <w:rFonts w:ascii="Century" w:hAnsi="Century"/>
          <w:sz w:val="28"/>
          <w:szCs w:val="28"/>
        </w:rPr>
        <w:t>Amending Rule 54(g)(2) to eliminate a logical inconsistency that arose when claims for attorney’s fees were not exempted from the revised language of the rule.</w:t>
      </w:r>
      <w:r>
        <w:rPr>
          <w:rStyle w:val="FootnoteReference"/>
          <w:rFonts w:ascii="Century" w:hAnsi="Century"/>
          <w:sz w:val="28"/>
          <w:szCs w:val="28"/>
        </w:rPr>
        <w:footnoteReference w:id="2"/>
      </w:r>
      <w:r>
        <w:rPr>
          <w:rFonts w:ascii="Century" w:hAnsi="Century"/>
          <w:sz w:val="28"/>
          <w:szCs w:val="28"/>
        </w:rPr>
        <w:t xml:space="preserve"> As claims for attorney’s fees are generally adjudicated after the merits of the cause, it is logically consistent to specify their exemption as included </w:t>
      </w:r>
      <w:r w:rsidR="00BF46D3">
        <w:rPr>
          <w:rFonts w:ascii="Century" w:hAnsi="Century"/>
          <w:sz w:val="28"/>
          <w:szCs w:val="28"/>
        </w:rPr>
        <w:t>in</w:t>
      </w:r>
      <w:r>
        <w:rPr>
          <w:rFonts w:ascii="Century" w:hAnsi="Century"/>
          <w:sz w:val="28"/>
          <w:szCs w:val="28"/>
        </w:rPr>
        <w:t xml:space="preserve"> Appendix</w:t>
      </w:r>
      <w:r w:rsidR="00BF46D3">
        <w:rPr>
          <w:rFonts w:ascii="Century" w:hAnsi="Century"/>
          <w:sz w:val="28"/>
          <w:szCs w:val="28"/>
        </w:rPr>
        <w:t xml:space="preserve"> A</w:t>
      </w:r>
      <w:r>
        <w:rPr>
          <w:rFonts w:ascii="Century" w:hAnsi="Century"/>
          <w:sz w:val="28"/>
          <w:szCs w:val="28"/>
        </w:rPr>
        <w:t>.</w:t>
      </w:r>
    </w:p>
    <w:p w:rsidR="00F005EF" w:rsidRPr="0001099F" w:rsidRDefault="00F005EF" w:rsidP="00F005EF">
      <w:pPr>
        <w:pStyle w:val="PlainText"/>
        <w:numPr>
          <w:ilvl w:val="0"/>
          <w:numId w:val="11"/>
        </w:numPr>
        <w:spacing w:line="480" w:lineRule="auto"/>
        <w:jc w:val="both"/>
        <w:rPr>
          <w:rFonts w:ascii="Century" w:hAnsi="Century"/>
          <w:sz w:val="28"/>
          <w:szCs w:val="28"/>
        </w:rPr>
      </w:pPr>
      <w:r>
        <w:rPr>
          <w:rFonts w:ascii="Century" w:hAnsi="Century"/>
          <w:sz w:val="28"/>
          <w:szCs w:val="28"/>
        </w:rPr>
        <w:t>Changing “state” to “states” in Rule</w:t>
      </w:r>
      <w:r w:rsidR="008A028B">
        <w:rPr>
          <w:rFonts w:ascii="Century" w:hAnsi="Century"/>
          <w:sz w:val="28"/>
          <w:szCs w:val="28"/>
        </w:rPr>
        <w:t>s</w:t>
      </w:r>
      <w:r>
        <w:rPr>
          <w:rFonts w:ascii="Century" w:hAnsi="Century"/>
          <w:sz w:val="28"/>
          <w:szCs w:val="28"/>
        </w:rPr>
        <w:t xml:space="preserve"> 55(a)(2)(C) and (D) in order to grammatically conform.  </w:t>
      </w:r>
    </w:p>
    <w:p w:rsidR="00741BD5" w:rsidRPr="001539FC" w:rsidRDefault="006C7047" w:rsidP="00F005EF">
      <w:pPr>
        <w:pStyle w:val="BodyText"/>
        <w:spacing w:after="0" w:line="480" w:lineRule="auto"/>
        <w:ind w:firstLine="0"/>
        <w:jc w:val="both"/>
        <w:rPr>
          <w:rFonts w:ascii="Century" w:hAnsi="Century"/>
          <w:sz w:val="28"/>
          <w:szCs w:val="28"/>
        </w:rPr>
      </w:pPr>
      <w:r>
        <w:rPr>
          <w:rFonts w:ascii="Century" w:hAnsi="Century"/>
          <w:sz w:val="28"/>
          <w:szCs w:val="28"/>
        </w:rPr>
        <w:t>T</w:t>
      </w:r>
      <w:r w:rsidR="00F005EF">
        <w:rPr>
          <w:rFonts w:ascii="Century" w:hAnsi="Century"/>
          <w:sz w:val="28"/>
          <w:szCs w:val="28"/>
        </w:rPr>
        <w:t xml:space="preserve">he State Bar posits that these changes will further clarify and simplify the Rules. As noted by the State Bar, such changes are in keeping with the spirit and purpose of the Petition. </w:t>
      </w:r>
      <w:r>
        <w:rPr>
          <w:rFonts w:ascii="Century" w:hAnsi="Century"/>
          <w:sz w:val="28"/>
          <w:szCs w:val="28"/>
        </w:rPr>
        <w:t>The Petitioners agree. As such</w:t>
      </w:r>
      <w:r w:rsidR="00F005EF">
        <w:rPr>
          <w:rFonts w:ascii="Century" w:hAnsi="Century"/>
          <w:sz w:val="28"/>
          <w:szCs w:val="28"/>
        </w:rPr>
        <w:t>,</w:t>
      </w:r>
      <w:r>
        <w:rPr>
          <w:rFonts w:ascii="Century" w:hAnsi="Century"/>
          <w:sz w:val="28"/>
          <w:szCs w:val="28"/>
        </w:rPr>
        <w:t xml:space="preserve"> the Petitioners wholeheartedly</w:t>
      </w:r>
      <w:r w:rsidR="00F005EF">
        <w:rPr>
          <w:rFonts w:ascii="Century" w:hAnsi="Century"/>
          <w:sz w:val="28"/>
          <w:szCs w:val="28"/>
        </w:rPr>
        <w:t xml:space="preserve"> support</w:t>
      </w:r>
      <w:r>
        <w:rPr>
          <w:rFonts w:ascii="Century" w:hAnsi="Century"/>
          <w:sz w:val="28"/>
          <w:szCs w:val="28"/>
        </w:rPr>
        <w:t xml:space="preserve"> and endorse</w:t>
      </w:r>
      <w:r w:rsidR="00F005EF">
        <w:rPr>
          <w:rFonts w:ascii="Century" w:hAnsi="Century"/>
          <w:sz w:val="28"/>
          <w:szCs w:val="28"/>
        </w:rPr>
        <w:t xml:space="preserve"> the recommended technical changes.</w:t>
      </w:r>
    </w:p>
    <w:p w:rsidR="00230C23" w:rsidRPr="001539FC" w:rsidRDefault="00143D76" w:rsidP="00BB5577">
      <w:pPr>
        <w:pStyle w:val="Pleading1L1"/>
        <w:spacing w:after="0" w:line="480" w:lineRule="auto"/>
        <w:rPr>
          <w:rFonts w:ascii="Century" w:hAnsi="Century"/>
          <w:sz w:val="28"/>
          <w:szCs w:val="28"/>
        </w:rPr>
      </w:pPr>
      <w:r w:rsidRPr="001539FC">
        <w:rPr>
          <w:rFonts w:ascii="Century" w:hAnsi="Century"/>
          <w:sz w:val="28"/>
          <w:szCs w:val="28"/>
        </w:rPr>
        <w:lastRenderedPageBreak/>
        <w:t>conclusion</w:t>
      </w:r>
    </w:p>
    <w:p w:rsidR="003E736F" w:rsidRDefault="008B3873" w:rsidP="003E736F">
      <w:pPr>
        <w:pStyle w:val="BodyText"/>
        <w:spacing w:after="0" w:line="480" w:lineRule="auto"/>
        <w:jc w:val="both"/>
        <w:rPr>
          <w:rFonts w:ascii="Century" w:hAnsi="Century"/>
          <w:sz w:val="28"/>
          <w:szCs w:val="28"/>
        </w:rPr>
      </w:pPr>
      <w:r>
        <w:rPr>
          <w:rFonts w:ascii="Century" w:hAnsi="Century"/>
          <w:sz w:val="28"/>
          <w:szCs w:val="28"/>
        </w:rPr>
        <w:t xml:space="preserve">Both Petitioners and the State Bar agree that </w:t>
      </w:r>
      <w:r w:rsidR="00927CA9">
        <w:rPr>
          <w:rFonts w:ascii="Century" w:hAnsi="Century"/>
          <w:sz w:val="28"/>
          <w:szCs w:val="28"/>
        </w:rPr>
        <w:t xml:space="preserve">substantive amendments to the Arizona Rules of Civil Procedure should not be addressed today. Rather, the parties </w:t>
      </w:r>
      <w:r w:rsidR="003E736F">
        <w:rPr>
          <w:rFonts w:ascii="Century" w:hAnsi="Century"/>
          <w:sz w:val="28"/>
          <w:szCs w:val="28"/>
        </w:rPr>
        <w:t>seek</w:t>
      </w:r>
      <w:r w:rsidR="00927CA9">
        <w:rPr>
          <w:rFonts w:ascii="Century" w:hAnsi="Century"/>
          <w:sz w:val="28"/>
          <w:szCs w:val="28"/>
        </w:rPr>
        <w:t xml:space="preserve"> to</w:t>
      </w:r>
      <w:r w:rsidR="003E736F">
        <w:rPr>
          <w:rFonts w:ascii="Century" w:hAnsi="Century"/>
          <w:sz w:val="28"/>
          <w:szCs w:val="28"/>
        </w:rPr>
        <w:t xml:space="preserve"> polish the Task Force’s finely crafted structure </w:t>
      </w:r>
      <w:r w:rsidR="00BF46D3">
        <w:rPr>
          <w:rFonts w:ascii="Century" w:hAnsi="Century"/>
          <w:sz w:val="28"/>
          <w:szCs w:val="28"/>
        </w:rPr>
        <w:t>by proposing</w:t>
      </w:r>
      <w:r w:rsidR="003E736F">
        <w:rPr>
          <w:rFonts w:ascii="Century" w:hAnsi="Century"/>
          <w:sz w:val="28"/>
          <w:szCs w:val="28"/>
        </w:rPr>
        <w:t xml:space="preserve"> </w:t>
      </w:r>
      <w:r w:rsidR="00BF46D3">
        <w:rPr>
          <w:rFonts w:ascii="Century" w:hAnsi="Century"/>
          <w:sz w:val="28"/>
          <w:szCs w:val="28"/>
        </w:rPr>
        <w:t>minor</w:t>
      </w:r>
      <w:r w:rsidR="00143D76" w:rsidRPr="001539FC">
        <w:rPr>
          <w:rFonts w:ascii="Century" w:hAnsi="Century"/>
          <w:sz w:val="28"/>
          <w:szCs w:val="28"/>
        </w:rPr>
        <w:t xml:space="preserve"> technical amendments</w:t>
      </w:r>
      <w:r w:rsidR="003E736F">
        <w:rPr>
          <w:rFonts w:ascii="Century" w:hAnsi="Century"/>
          <w:sz w:val="28"/>
          <w:szCs w:val="28"/>
        </w:rPr>
        <w:t>.</w:t>
      </w:r>
      <w:r w:rsidR="00BF46D3">
        <w:rPr>
          <w:rFonts w:ascii="Century" w:hAnsi="Century"/>
          <w:sz w:val="28"/>
          <w:szCs w:val="28"/>
        </w:rPr>
        <w:t xml:space="preserve"> </w:t>
      </w:r>
      <w:r w:rsidR="003E736F">
        <w:rPr>
          <w:rFonts w:ascii="Century" w:hAnsi="Century"/>
          <w:sz w:val="28"/>
          <w:szCs w:val="28"/>
        </w:rPr>
        <w:t xml:space="preserve"> </w:t>
      </w:r>
    </w:p>
    <w:p w:rsidR="00301D1E" w:rsidRPr="001539FC" w:rsidRDefault="00BF46D3" w:rsidP="003E736F">
      <w:pPr>
        <w:pStyle w:val="BodyText"/>
        <w:spacing w:after="0" w:line="480" w:lineRule="auto"/>
        <w:jc w:val="both"/>
        <w:rPr>
          <w:rFonts w:ascii="Century" w:hAnsi="Century"/>
          <w:sz w:val="28"/>
          <w:szCs w:val="28"/>
        </w:rPr>
      </w:pPr>
      <w:r>
        <w:rPr>
          <w:rFonts w:ascii="Century" w:hAnsi="Century"/>
          <w:sz w:val="28"/>
          <w:szCs w:val="28"/>
        </w:rPr>
        <w:t>For the foregoing reasons, and given the consensus on this issue, the P</w:t>
      </w:r>
      <w:r w:rsidR="00143D76" w:rsidRPr="001539FC">
        <w:rPr>
          <w:rFonts w:ascii="Century" w:hAnsi="Century"/>
          <w:sz w:val="28"/>
          <w:szCs w:val="28"/>
        </w:rPr>
        <w:t xml:space="preserve">etitioners </w:t>
      </w:r>
      <w:r>
        <w:rPr>
          <w:rFonts w:ascii="Century" w:hAnsi="Century"/>
          <w:sz w:val="28"/>
          <w:szCs w:val="28"/>
        </w:rPr>
        <w:t>respectfully request that the Court adopt the rule amendments as supplemented in Appendix A</w:t>
      </w:r>
      <w:r w:rsidR="00143D76" w:rsidRPr="001539FC">
        <w:rPr>
          <w:rFonts w:ascii="Century" w:hAnsi="Century"/>
          <w:sz w:val="28"/>
          <w:szCs w:val="28"/>
        </w:rPr>
        <w:t xml:space="preserve">. </w:t>
      </w:r>
    </w:p>
    <w:p w:rsidR="00B13ACF" w:rsidRPr="001539FC" w:rsidRDefault="00143D76" w:rsidP="007148D0">
      <w:pPr>
        <w:keepNext/>
        <w:keepLines/>
        <w:ind w:left="3240" w:hanging="2520"/>
        <w:rPr>
          <w:rFonts w:ascii="Century" w:hAnsi="Century" w:cs="Times New Roman"/>
          <w:sz w:val="28"/>
          <w:szCs w:val="28"/>
        </w:rPr>
      </w:pPr>
      <w:r w:rsidRPr="001539FC">
        <w:rPr>
          <w:rFonts w:ascii="Century" w:hAnsi="Century" w:cs="Times New Roman"/>
          <w:sz w:val="28"/>
          <w:szCs w:val="28"/>
        </w:rPr>
        <w:t xml:space="preserve">RESPECTFULLY SUBMITTED this </w:t>
      </w:r>
      <w:r w:rsidR="00EE69E6">
        <w:rPr>
          <w:rFonts w:ascii="Century" w:hAnsi="Century" w:cs="Times New Roman"/>
          <w:sz w:val="28"/>
          <w:szCs w:val="28"/>
        </w:rPr>
        <w:t>22</w:t>
      </w:r>
      <w:bookmarkStart w:id="0" w:name="_GoBack"/>
      <w:bookmarkEnd w:id="0"/>
      <w:r w:rsidR="00EE69E6">
        <w:rPr>
          <w:rFonts w:ascii="Century" w:hAnsi="Century" w:cs="Times New Roman"/>
          <w:sz w:val="28"/>
          <w:szCs w:val="28"/>
        </w:rPr>
        <w:t>nd</w:t>
      </w:r>
      <w:r w:rsidRPr="001539FC">
        <w:rPr>
          <w:rFonts w:ascii="Century" w:hAnsi="Century" w:cs="Times New Roman"/>
          <w:sz w:val="28"/>
          <w:szCs w:val="28"/>
        </w:rPr>
        <w:t xml:space="preserve"> day of J</w:t>
      </w:r>
      <w:r w:rsidR="009D233A">
        <w:rPr>
          <w:rFonts w:ascii="Century" w:hAnsi="Century" w:cs="Times New Roman"/>
          <w:sz w:val="28"/>
          <w:szCs w:val="28"/>
        </w:rPr>
        <w:t>une</w:t>
      </w:r>
      <w:r w:rsidRPr="001539FC">
        <w:rPr>
          <w:rFonts w:ascii="Century" w:hAnsi="Century" w:cs="Times New Roman"/>
          <w:sz w:val="28"/>
          <w:szCs w:val="28"/>
        </w:rPr>
        <w:t>, 2017.</w:t>
      </w:r>
    </w:p>
    <w:p w:rsidR="006A74C8" w:rsidRPr="001539FC" w:rsidRDefault="00143D76" w:rsidP="007148D0">
      <w:pPr>
        <w:keepNext/>
        <w:keepLines/>
        <w:ind w:left="3240" w:hanging="2520"/>
        <w:rPr>
          <w:rFonts w:ascii="Century" w:hAnsi="Century" w:cs="Times New Roman"/>
          <w:sz w:val="28"/>
          <w:szCs w:val="28"/>
        </w:rPr>
      </w:pPr>
      <w:r w:rsidRPr="001539FC">
        <w:rPr>
          <w:rFonts w:ascii="Century" w:hAnsi="Century" w:cs="Times New Roman"/>
          <w:sz w:val="28"/>
          <w:szCs w:val="28"/>
        </w:rPr>
        <w:br/>
      </w:r>
    </w:p>
    <w:p w:rsidR="006A74C8" w:rsidRPr="001539FC" w:rsidRDefault="00143D76" w:rsidP="007148D0">
      <w:pPr>
        <w:keepNext/>
        <w:keepLines/>
        <w:ind w:left="3686"/>
        <w:rPr>
          <w:rFonts w:ascii="Century" w:hAnsi="Century" w:cs="Times New Roman"/>
          <w:caps/>
          <w:sz w:val="28"/>
          <w:szCs w:val="28"/>
        </w:rPr>
      </w:pPr>
      <w:r w:rsidRPr="001539FC">
        <w:rPr>
          <w:rFonts w:ascii="Century" w:hAnsi="Century" w:cs="Times New Roman"/>
          <w:caps/>
          <w:sz w:val="28"/>
          <w:szCs w:val="28"/>
        </w:rPr>
        <w:t>Snell &amp; Wilmer l.l.p.</w:t>
      </w:r>
    </w:p>
    <w:p w:rsidR="00EE4CB7" w:rsidRPr="001539FC" w:rsidRDefault="005666AC" w:rsidP="007148D0">
      <w:pPr>
        <w:keepNext/>
        <w:keepLines/>
        <w:ind w:left="3686"/>
        <w:rPr>
          <w:rFonts w:ascii="Century" w:hAnsi="Century" w:cs="Times New Roman"/>
          <w:caps/>
          <w:sz w:val="28"/>
          <w:szCs w:val="28"/>
        </w:rPr>
      </w:pPr>
    </w:p>
    <w:p w:rsidR="00B13ACF" w:rsidRPr="001539FC" w:rsidRDefault="005666AC" w:rsidP="007148D0">
      <w:pPr>
        <w:keepNext/>
        <w:keepLines/>
        <w:ind w:left="3686"/>
        <w:rPr>
          <w:rFonts w:ascii="Century" w:hAnsi="Century" w:cs="Times New Roman"/>
          <w:caps/>
          <w:sz w:val="28"/>
          <w:szCs w:val="28"/>
        </w:rPr>
      </w:pPr>
    </w:p>
    <w:p w:rsidR="00EE4CB7" w:rsidRPr="001539FC" w:rsidRDefault="005666AC" w:rsidP="007148D0">
      <w:pPr>
        <w:keepNext/>
        <w:keepLines/>
        <w:ind w:left="3686"/>
        <w:rPr>
          <w:rFonts w:ascii="Century" w:hAnsi="Century" w:cs="Times New Roman"/>
          <w:caps/>
          <w:sz w:val="28"/>
          <w:szCs w:val="28"/>
        </w:rPr>
      </w:pPr>
    </w:p>
    <w:p w:rsidR="006A74C8" w:rsidRPr="001539FC" w:rsidRDefault="00143D76" w:rsidP="007148D0">
      <w:pPr>
        <w:keepNext/>
        <w:keepLines/>
        <w:ind w:left="3240"/>
        <w:rPr>
          <w:rFonts w:ascii="Century" w:hAnsi="Century" w:cs="Times New Roman"/>
          <w:sz w:val="28"/>
          <w:szCs w:val="28"/>
        </w:rPr>
      </w:pPr>
      <w:r w:rsidRPr="001539FC">
        <w:rPr>
          <w:rFonts w:ascii="Century" w:hAnsi="Century" w:cs="Times New Roman"/>
          <w:sz w:val="28"/>
          <w:szCs w:val="28"/>
        </w:rPr>
        <w:t xml:space="preserve">By  /s/ </w:t>
      </w:r>
      <w:r w:rsidRPr="0006645D">
        <w:rPr>
          <w:rFonts w:ascii="Century" w:hAnsi="Century" w:cs="Times New Roman"/>
          <w:i/>
          <w:sz w:val="28"/>
          <w:szCs w:val="28"/>
        </w:rPr>
        <w:t>Sara J. Agne</w:t>
      </w:r>
    </w:p>
    <w:p w:rsidR="006A74C8" w:rsidRPr="001539FC" w:rsidRDefault="00143D76" w:rsidP="007148D0">
      <w:pPr>
        <w:keepNext/>
        <w:keepLines/>
        <w:pBdr>
          <w:top w:val="single" w:sz="4" w:space="1" w:color="auto"/>
        </w:pBdr>
        <w:ind w:left="3686" w:right="1440"/>
        <w:rPr>
          <w:rFonts w:ascii="Century" w:hAnsi="Century" w:cs="Times New Roman"/>
          <w:sz w:val="28"/>
          <w:szCs w:val="28"/>
        </w:rPr>
      </w:pPr>
      <w:r w:rsidRPr="001539FC">
        <w:rPr>
          <w:rFonts w:ascii="Century" w:hAnsi="Century" w:cs="Times New Roman"/>
          <w:sz w:val="28"/>
          <w:szCs w:val="28"/>
        </w:rPr>
        <w:t>Sara J. Agne (#026950)</w:t>
      </w:r>
    </w:p>
    <w:p w:rsidR="00642A85" w:rsidRPr="001539FC" w:rsidRDefault="005666AC" w:rsidP="007148D0">
      <w:pPr>
        <w:keepNext/>
        <w:keepLines/>
        <w:pBdr>
          <w:top w:val="single" w:sz="4" w:space="1" w:color="auto"/>
        </w:pBdr>
        <w:ind w:left="3686" w:right="1440"/>
        <w:rPr>
          <w:rFonts w:ascii="Century" w:hAnsi="Century" w:cs="Times New Roman"/>
          <w:sz w:val="28"/>
          <w:szCs w:val="28"/>
        </w:rPr>
      </w:pPr>
    </w:p>
    <w:p w:rsidR="006A74C8" w:rsidRPr="001539FC" w:rsidRDefault="005666AC" w:rsidP="00BB5577">
      <w:pPr>
        <w:spacing w:line="276" w:lineRule="auto"/>
        <w:rPr>
          <w:rFonts w:ascii="Century" w:eastAsia="Times New Roman" w:hAnsi="Century" w:cs="Times New Roman"/>
          <w:sz w:val="28"/>
          <w:szCs w:val="28"/>
        </w:rPr>
      </w:pPr>
    </w:p>
    <w:p w:rsidR="007148D0" w:rsidRPr="001539FC" w:rsidRDefault="00143D76" w:rsidP="007148D0">
      <w:pPr>
        <w:keepNext/>
        <w:keepLines/>
        <w:ind w:left="3686"/>
        <w:rPr>
          <w:rFonts w:ascii="Century" w:hAnsi="Century" w:cs="Times New Roman"/>
          <w:sz w:val="28"/>
          <w:szCs w:val="28"/>
        </w:rPr>
      </w:pPr>
      <w:r w:rsidRPr="001539FC">
        <w:rPr>
          <w:rFonts w:ascii="Century" w:hAnsi="Century" w:cs="Times New Roman"/>
          <w:caps/>
          <w:sz w:val="28"/>
          <w:szCs w:val="28"/>
        </w:rPr>
        <w:t>M</w:t>
      </w:r>
      <w:r w:rsidRPr="001539FC">
        <w:rPr>
          <w:rFonts w:ascii="Century" w:hAnsi="Century" w:cs="Times New Roman"/>
          <w:sz w:val="28"/>
          <w:szCs w:val="28"/>
        </w:rPr>
        <w:t>cAULIFFE LAW OFFICE PLLC</w:t>
      </w:r>
    </w:p>
    <w:p w:rsidR="007148D0" w:rsidRPr="001539FC" w:rsidRDefault="005666AC" w:rsidP="007148D0">
      <w:pPr>
        <w:keepNext/>
        <w:keepLines/>
        <w:ind w:left="3686"/>
        <w:rPr>
          <w:rFonts w:ascii="Century" w:hAnsi="Century" w:cs="Times New Roman"/>
          <w:caps/>
          <w:sz w:val="28"/>
          <w:szCs w:val="28"/>
        </w:rPr>
      </w:pPr>
    </w:p>
    <w:p w:rsidR="007148D0" w:rsidRPr="001539FC" w:rsidRDefault="005666AC" w:rsidP="007148D0">
      <w:pPr>
        <w:keepNext/>
        <w:keepLines/>
        <w:ind w:left="3686"/>
        <w:rPr>
          <w:rFonts w:ascii="Century" w:hAnsi="Century" w:cs="Times New Roman"/>
          <w:caps/>
          <w:sz w:val="28"/>
          <w:szCs w:val="28"/>
        </w:rPr>
      </w:pPr>
    </w:p>
    <w:p w:rsidR="007148D0" w:rsidRPr="001539FC" w:rsidRDefault="005666AC" w:rsidP="007148D0">
      <w:pPr>
        <w:keepNext/>
        <w:keepLines/>
        <w:ind w:left="3686"/>
        <w:rPr>
          <w:rFonts w:ascii="Century" w:hAnsi="Century" w:cs="Times New Roman"/>
          <w:caps/>
          <w:sz w:val="28"/>
          <w:szCs w:val="28"/>
        </w:rPr>
      </w:pPr>
    </w:p>
    <w:p w:rsidR="007148D0" w:rsidRPr="001539FC" w:rsidRDefault="00143D76" w:rsidP="007148D0">
      <w:pPr>
        <w:keepNext/>
        <w:keepLines/>
        <w:ind w:left="3240"/>
        <w:rPr>
          <w:rFonts w:ascii="Century" w:hAnsi="Century" w:cs="Times New Roman"/>
          <w:sz w:val="28"/>
          <w:szCs w:val="28"/>
        </w:rPr>
      </w:pPr>
      <w:r w:rsidRPr="001539FC">
        <w:rPr>
          <w:rFonts w:ascii="Century" w:hAnsi="Century" w:cs="Times New Roman"/>
          <w:sz w:val="28"/>
          <w:szCs w:val="28"/>
        </w:rPr>
        <w:t xml:space="preserve">By  /s/ </w:t>
      </w:r>
      <w:r w:rsidRPr="0006645D">
        <w:rPr>
          <w:rFonts w:ascii="Century" w:hAnsi="Century" w:cs="Times New Roman"/>
          <w:i/>
          <w:sz w:val="28"/>
          <w:szCs w:val="28"/>
        </w:rPr>
        <w:t>Sara J. Agne w/ permission for</w:t>
      </w:r>
    </w:p>
    <w:p w:rsidR="00642A85" w:rsidRPr="001539FC" w:rsidRDefault="00143D76" w:rsidP="007148D0">
      <w:pPr>
        <w:keepNext/>
        <w:keepLines/>
        <w:pBdr>
          <w:top w:val="single" w:sz="4" w:space="1" w:color="auto"/>
        </w:pBdr>
        <w:ind w:left="3686" w:right="1440"/>
        <w:rPr>
          <w:rFonts w:ascii="Century" w:hAnsi="Century" w:cs="Times New Roman"/>
          <w:sz w:val="28"/>
          <w:szCs w:val="28"/>
        </w:rPr>
      </w:pPr>
      <w:r w:rsidRPr="001539FC">
        <w:rPr>
          <w:rFonts w:ascii="Century" w:hAnsi="Century" w:cs="Times New Roman"/>
          <w:sz w:val="28"/>
          <w:szCs w:val="28"/>
        </w:rPr>
        <w:t>Shirley J. McAuliffe (#006507)</w:t>
      </w:r>
    </w:p>
    <w:p w:rsidR="0016266E" w:rsidRDefault="0016266E" w:rsidP="002402B7">
      <w:pPr>
        <w:spacing w:line="276" w:lineRule="auto"/>
        <w:jc w:val="center"/>
      </w:pPr>
    </w:p>
    <w:sectPr w:rsidR="0016266E" w:rsidSect="00AC6FC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6AC" w:rsidRDefault="005666AC">
      <w:r>
        <w:separator/>
      </w:r>
    </w:p>
  </w:endnote>
  <w:endnote w:type="continuationSeparator" w:id="0">
    <w:p w:rsidR="005666AC" w:rsidRDefault="0056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F7E" w:rsidRDefault="00557F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392340"/>
      <w:docPartObj>
        <w:docPartGallery w:val="Page Numbers (Bottom of Page)"/>
        <w:docPartUnique/>
      </w:docPartObj>
    </w:sdtPr>
    <w:sdtEndPr>
      <w:rPr>
        <w:rFonts w:ascii="Century" w:hAnsi="Century"/>
        <w:noProof/>
        <w:sz w:val="28"/>
        <w:szCs w:val="28"/>
      </w:rPr>
    </w:sdtEndPr>
    <w:sdtContent>
      <w:p w:rsidR="002D3521" w:rsidRPr="002D3521" w:rsidRDefault="002D3521">
        <w:pPr>
          <w:pStyle w:val="Footer"/>
          <w:jc w:val="center"/>
          <w:rPr>
            <w:rFonts w:ascii="Century" w:hAnsi="Century"/>
            <w:sz w:val="28"/>
            <w:szCs w:val="28"/>
          </w:rPr>
        </w:pPr>
        <w:r w:rsidRPr="002D3521">
          <w:rPr>
            <w:rFonts w:ascii="Century" w:hAnsi="Century"/>
            <w:sz w:val="28"/>
            <w:szCs w:val="28"/>
          </w:rPr>
          <w:fldChar w:fldCharType="begin"/>
        </w:r>
        <w:r w:rsidRPr="002D3521">
          <w:rPr>
            <w:rFonts w:ascii="Century" w:hAnsi="Century"/>
            <w:sz w:val="28"/>
            <w:szCs w:val="28"/>
          </w:rPr>
          <w:instrText xml:space="preserve"> PAGE   \* MERGEFORMAT </w:instrText>
        </w:r>
        <w:r w:rsidRPr="002D3521">
          <w:rPr>
            <w:rFonts w:ascii="Century" w:hAnsi="Century"/>
            <w:sz w:val="28"/>
            <w:szCs w:val="28"/>
          </w:rPr>
          <w:fldChar w:fldCharType="separate"/>
        </w:r>
        <w:r w:rsidR="00FF462B">
          <w:rPr>
            <w:rFonts w:ascii="Century" w:hAnsi="Century"/>
            <w:noProof/>
            <w:sz w:val="28"/>
            <w:szCs w:val="28"/>
          </w:rPr>
          <w:t>8</w:t>
        </w:r>
        <w:r w:rsidRPr="002D3521">
          <w:rPr>
            <w:rFonts w:ascii="Century" w:hAnsi="Century"/>
            <w:noProof/>
            <w:sz w:val="28"/>
            <w:szCs w:val="28"/>
          </w:rPr>
          <w:fldChar w:fldCharType="end"/>
        </w:r>
      </w:p>
    </w:sdtContent>
  </w:sdt>
  <w:p w:rsidR="002402B7" w:rsidRDefault="002402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F7E" w:rsidRDefault="00557F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6AC" w:rsidRDefault="005666AC" w:rsidP="00C568E0">
      <w:r>
        <w:separator/>
      </w:r>
    </w:p>
  </w:footnote>
  <w:footnote w:type="continuationSeparator" w:id="0">
    <w:p w:rsidR="005666AC" w:rsidRDefault="005666AC" w:rsidP="00C568E0">
      <w:r>
        <w:continuationSeparator/>
      </w:r>
    </w:p>
  </w:footnote>
  <w:footnote w:id="1">
    <w:p w:rsidR="007B7340" w:rsidRDefault="007B7340" w:rsidP="007B7340">
      <w:pPr>
        <w:pStyle w:val="FootnoteText"/>
        <w:rPr>
          <w:rFonts w:ascii="Century" w:hAnsi="Century"/>
          <w:sz w:val="28"/>
          <w:szCs w:val="28"/>
        </w:rPr>
      </w:pPr>
      <w:r>
        <w:rPr>
          <w:rStyle w:val="FootnoteReference"/>
          <w:rFonts w:ascii="Century" w:hAnsi="Century"/>
          <w:sz w:val="28"/>
          <w:szCs w:val="28"/>
        </w:rPr>
        <w:footnoteRef/>
      </w:r>
      <w:r>
        <w:rPr>
          <w:rFonts w:ascii="Century" w:hAnsi="Century"/>
          <w:sz w:val="28"/>
          <w:szCs w:val="28"/>
        </w:rPr>
        <w:t xml:space="preserve"> The Arizona Civil Rules Handbook.</w:t>
      </w:r>
    </w:p>
  </w:footnote>
  <w:footnote w:id="2">
    <w:p w:rsidR="00F005EF" w:rsidRDefault="00F005EF" w:rsidP="00F005EF">
      <w:pPr>
        <w:pStyle w:val="FootnoteText"/>
        <w:rPr>
          <w:rFonts w:ascii="Century" w:hAnsi="Century"/>
          <w:sz w:val="28"/>
          <w:szCs w:val="28"/>
        </w:rPr>
      </w:pPr>
      <w:r>
        <w:rPr>
          <w:rStyle w:val="FootnoteReference"/>
          <w:rFonts w:ascii="Century" w:hAnsi="Century"/>
          <w:sz w:val="28"/>
          <w:szCs w:val="28"/>
        </w:rPr>
        <w:footnoteRef/>
      </w:r>
      <w:r>
        <w:rPr>
          <w:rFonts w:ascii="Century" w:hAnsi="Century"/>
          <w:sz w:val="28"/>
          <w:szCs w:val="28"/>
        </w:rPr>
        <w:t xml:space="preserve"> Petitioners would also like to thank the Honorable Michael O. Miller, of the Arizona Court of Appeals, Division 2, for submission of this change.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F7E" w:rsidRDefault="00557F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F7E" w:rsidRDefault="00557F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F7E" w:rsidRDefault="00557F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7711D"/>
    <w:multiLevelType w:val="hybridMultilevel"/>
    <w:tmpl w:val="5D46D272"/>
    <w:lvl w:ilvl="0" w:tplc="4BC40006">
      <w:start w:val="1"/>
      <w:numFmt w:val="bullet"/>
      <w:lvlText w:val=""/>
      <w:lvlJc w:val="left"/>
      <w:pPr>
        <w:ind w:left="720" w:hanging="360"/>
      </w:pPr>
      <w:rPr>
        <w:rFonts w:ascii="Symbol" w:hAnsi="Symbol" w:hint="default"/>
      </w:rPr>
    </w:lvl>
    <w:lvl w:ilvl="1" w:tplc="2F925132" w:tentative="1">
      <w:start w:val="1"/>
      <w:numFmt w:val="bullet"/>
      <w:lvlText w:val="o"/>
      <w:lvlJc w:val="left"/>
      <w:pPr>
        <w:ind w:left="1440" w:hanging="360"/>
      </w:pPr>
      <w:rPr>
        <w:rFonts w:ascii="Courier New" w:hAnsi="Courier New" w:cs="Courier New" w:hint="default"/>
      </w:rPr>
    </w:lvl>
    <w:lvl w:ilvl="2" w:tplc="64881D9C" w:tentative="1">
      <w:start w:val="1"/>
      <w:numFmt w:val="bullet"/>
      <w:lvlText w:val=""/>
      <w:lvlJc w:val="left"/>
      <w:pPr>
        <w:ind w:left="2160" w:hanging="360"/>
      </w:pPr>
      <w:rPr>
        <w:rFonts w:ascii="Wingdings" w:hAnsi="Wingdings" w:hint="default"/>
      </w:rPr>
    </w:lvl>
    <w:lvl w:ilvl="3" w:tplc="447CD8A2" w:tentative="1">
      <w:start w:val="1"/>
      <w:numFmt w:val="bullet"/>
      <w:lvlText w:val=""/>
      <w:lvlJc w:val="left"/>
      <w:pPr>
        <w:ind w:left="2880" w:hanging="360"/>
      </w:pPr>
      <w:rPr>
        <w:rFonts w:ascii="Symbol" w:hAnsi="Symbol" w:hint="default"/>
      </w:rPr>
    </w:lvl>
    <w:lvl w:ilvl="4" w:tplc="51CEA17C" w:tentative="1">
      <w:start w:val="1"/>
      <w:numFmt w:val="bullet"/>
      <w:lvlText w:val="o"/>
      <w:lvlJc w:val="left"/>
      <w:pPr>
        <w:ind w:left="3600" w:hanging="360"/>
      </w:pPr>
      <w:rPr>
        <w:rFonts w:ascii="Courier New" w:hAnsi="Courier New" w:cs="Courier New" w:hint="default"/>
      </w:rPr>
    </w:lvl>
    <w:lvl w:ilvl="5" w:tplc="82962288" w:tentative="1">
      <w:start w:val="1"/>
      <w:numFmt w:val="bullet"/>
      <w:lvlText w:val=""/>
      <w:lvlJc w:val="left"/>
      <w:pPr>
        <w:ind w:left="4320" w:hanging="360"/>
      </w:pPr>
      <w:rPr>
        <w:rFonts w:ascii="Wingdings" w:hAnsi="Wingdings" w:hint="default"/>
      </w:rPr>
    </w:lvl>
    <w:lvl w:ilvl="6" w:tplc="1A848822" w:tentative="1">
      <w:start w:val="1"/>
      <w:numFmt w:val="bullet"/>
      <w:lvlText w:val=""/>
      <w:lvlJc w:val="left"/>
      <w:pPr>
        <w:ind w:left="5040" w:hanging="360"/>
      </w:pPr>
      <w:rPr>
        <w:rFonts w:ascii="Symbol" w:hAnsi="Symbol" w:hint="default"/>
      </w:rPr>
    </w:lvl>
    <w:lvl w:ilvl="7" w:tplc="EBE67784" w:tentative="1">
      <w:start w:val="1"/>
      <w:numFmt w:val="bullet"/>
      <w:lvlText w:val="o"/>
      <w:lvlJc w:val="left"/>
      <w:pPr>
        <w:ind w:left="5760" w:hanging="360"/>
      </w:pPr>
      <w:rPr>
        <w:rFonts w:ascii="Courier New" w:hAnsi="Courier New" w:cs="Courier New" w:hint="default"/>
      </w:rPr>
    </w:lvl>
    <w:lvl w:ilvl="8" w:tplc="766CA87E" w:tentative="1">
      <w:start w:val="1"/>
      <w:numFmt w:val="bullet"/>
      <w:lvlText w:val=""/>
      <w:lvlJc w:val="left"/>
      <w:pPr>
        <w:ind w:left="6480" w:hanging="360"/>
      </w:pPr>
      <w:rPr>
        <w:rFonts w:ascii="Wingdings" w:hAnsi="Wingdings" w:hint="default"/>
      </w:rPr>
    </w:lvl>
  </w:abstractNum>
  <w:abstractNum w:abstractNumId="1">
    <w:nsid w:val="4021656F"/>
    <w:multiLevelType w:val="hybridMultilevel"/>
    <w:tmpl w:val="F3523948"/>
    <w:lvl w:ilvl="0" w:tplc="88327F86">
      <w:start w:val="1"/>
      <w:numFmt w:val="decimal"/>
      <w:lvlText w:val="%1)"/>
      <w:lvlJc w:val="left"/>
      <w:pPr>
        <w:ind w:left="720" w:hanging="360"/>
      </w:pPr>
      <w:rPr>
        <w:rFonts w:hint="default"/>
      </w:rPr>
    </w:lvl>
    <w:lvl w:ilvl="1" w:tplc="963A9986" w:tentative="1">
      <w:start w:val="1"/>
      <w:numFmt w:val="lowerLetter"/>
      <w:lvlText w:val="%2."/>
      <w:lvlJc w:val="left"/>
      <w:pPr>
        <w:ind w:left="1440" w:hanging="360"/>
      </w:pPr>
    </w:lvl>
    <w:lvl w:ilvl="2" w:tplc="45FE9DDE" w:tentative="1">
      <w:start w:val="1"/>
      <w:numFmt w:val="lowerRoman"/>
      <w:lvlText w:val="%3."/>
      <w:lvlJc w:val="right"/>
      <w:pPr>
        <w:ind w:left="2160" w:hanging="180"/>
      </w:pPr>
    </w:lvl>
    <w:lvl w:ilvl="3" w:tplc="CD085992" w:tentative="1">
      <w:start w:val="1"/>
      <w:numFmt w:val="decimal"/>
      <w:lvlText w:val="%4."/>
      <w:lvlJc w:val="left"/>
      <w:pPr>
        <w:ind w:left="2880" w:hanging="360"/>
      </w:pPr>
    </w:lvl>
    <w:lvl w:ilvl="4" w:tplc="B5F2A04A" w:tentative="1">
      <w:start w:val="1"/>
      <w:numFmt w:val="lowerLetter"/>
      <w:lvlText w:val="%5."/>
      <w:lvlJc w:val="left"/>
      <w:pPr>
        <w:ind w:left="3600" w:hanging="360"/>
      </w:pPr>
    </w:lvl>
    <w:lvl w:ilvl="5" w:tplc="DEA88DBA" w:tentative="1">
      <w:start w:val="1"/>
      <w:numFmt w:val="lowerRoman"/>
      <w:lvlText w:val="%6."/>
      <w:lvlJc w:val="right"/>
      <w:pPr>
        <w:ind w:left="4320" w:hanging="180"/>
      </w:pPr>
    </w:lvl>
    <w:lvl w:ilvl="6" w:tplc="89FC19A8" w:tentative="1">
      <w:start w:val="1"/>
      <w:numFmt w:val="decimal"/>
      <w:lvlText w:val="%7."/>
      <w:lvlJc w:val="left"/>
      <w:pPr>
        <w:ind w:left="5040" w:hanging="360"/>
      </w:pPr>
    </w:lvl>
    <w:lvl w:ilvl="7" w:tplc="B6345662" w:tentative="1">
      <w:start w:val="1"/>
      <w:numFmt w:val="lowerLetter"/>
      <w:lvlText w:val="%8."/>
      <w:lvlJc w:val="left"/>
      <w:pPr>
        <w:ind w:left="5760" w:hanging="360"/>
      </w:pPr>
    </w:lvl>
    <w:lvl w:ilvl="8" w:tplc="76DC4A30" w:tentative="1">
      <w:start w:val="1"/>
      <w:numFmt w:val="lowerRoman"/>
      <w:lvlText w:val="%9."/>
      <w:lvlJc w:val="right"/>
      <w:pPr>
        <w:ind w:left="6480" w:hanging="180"/>
      </w:pPr>
    </w:lvl>
  </w:abstractNum>
  <w:abstractNum w:abstractNumId="2">
    <w:nsid w:val="62E41317"/>
    <w:multiLevelType w:val="multilevel"/>
    <w:tmpl w:val="012AE074"/>
    <w:name w:val="zzmpPleading1||Pleading1|2|1|1|1|4|45||1|4|37||1|4|32||1|4|32||1|4|32||1|4|32||1|4|32||1|4|32||1|4|32||"/>
    <w:lvl w:ilvl="0">
      <w:start w:val="1"/>
      <w:numFmt w:val="upperRoman"/>
      <w:pStyle w:val="Pleading1L1"/>
      <w:lvlText w:val="%1."/>
      <w:lvlJc w:val="left"/>
      <w:pPr>
        <w:tabs>
          <w:tab w:val="num" w:pos="720"/>
        </w:tabs>
        <w:ind w:left="72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160"/>
        </w:tabs>
        <w:ind w:left="21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Temp" w:val="ndOffice||ID~4816-4748-4490||Version~1||Cabinet~NG-5ORJJGOT||FileName~Petitioners' Reply to Comment about Technical Amendments to the ARCP.docx||LastModified~6/20/2017 3:42:39 PM||Client~99999||Matter~05739||Author~Schiavoni, Vince O.||Document Type~No Folder Match||Comments~||Legacy DocID~||Legacy Doc Name~||Legacy Where Used~||"/>
    <w:docVar w:name="zzmp10LastTrailerInserted" w:val="^`~#mp!@⌡-T#0┘┬;:|ŗ;mh4h4k¸hÔ⌍ÖpŤ⌔$ìÏäÒ¨ÏdÒ!äÓ⌚Èä⌏•òHZ⌎X@â•É„ÅÅ⌒0k⌈Ü⌇Næ\*HÁ⌌H]G¨r⌆bGG⌎´6⌍?:Y&lt;K3&lt;R011"/>
    <w:docVar w:name="zzmp10LastTrailerInserted_1079" w:val="^`~#mp!@⌡-T#0┘┬;:|ŗ;mh4h4k¸hÔ⌍ÖpŤ⌔$ìÏäÒ¨ÏdÒ!äÓ⌚Èä⌏•òHZ⌎X@â•É„ÅÅ⌒0k⌈Ü⌇Næ\*HÁ⌌H]G¨r⌆bGG⌎´6⌍?:Y&lt;K3&lt;R011"/>
    <w:docVar w:name="zzmp10mSEGsValidated" w:val="1"/>
  </w:docVars>
  <w:rsids>
    <w:rsidRoot w:val="00F02A99"/>
    <w:rsid w:val="0001099F"/>
    <w:rsid w:val="00042277"/>
    <w:rsid w:val="00143D76"/>
    <w:rsid w:val="001551F5"/>
    <w:rsid w:val="0016266E"/>
    <w:rsid w:val="00167A52"/>
    <w:rsid w:val="00216E5C"/>
    <w:rsid w:val="002402B7"/>
    <w:rsid w:val="002A4ECA"/>
    <w:rsid w:val="002D3521"/>
    <w:rsid w:val="003A5F81"/>
    <w:rsid w:val="003C7684"/>
    <w:rsid w:val="003E736F"/>
    <w:rsid w:val="004040A7"/>
    <w:rsid w:val="004B0704"/>
    <w:rsid w:val="004C68BE"/>
    <w:rsid w:val="004D2D17"/>
    <w:rsid w:val="00557F7E"/>
    <w:rsid w:val="005666AC"/>
    <w:rsid w:val="006533DB"/>
    <w:rsid w:val="006761CF"/>
    <w:rsid w:val="006B35AE"/>
    <w:rsid w:val="006C7047"/>
    <w:rsid w:val="00741BD5"/>
    <w:rsid w:val="007B7340"/>
    <w:rsid w:val="008A028B"/>
    <w:rsid w:val="008B3873"/>
    <w:rsid w:val="008D1696"/>
    <w:rsid w:val="00927CA9"/>
    <w:rsid w:val="009B1937"/>
    <w:rsid w:val="009D233A"/>
    <w:rsid w:val="00A30367"/>
    <w:rsid w:val="00A31081"/>
    <w:rsid w:val="00A65108"/>
    <w:rsid w:val="00AD4C6D"/>
    <w:rsid w:val="00B45987"/>
    <w:rsid w:val="00B90385"/>
    <w:rsid w:val="00BE6F45"/>
    <w:rsid w:val="00BF46D3"/>
    <w:rsid w:val="00C055F5"/>
    <w:rsid w:val="00C110D5"/>
    <w:rsid w:val="00C371D1"/>
    <w:rsid w:val="00C40B9B"/>
    <w:rsid w:val="00C71DF7"/>
    <w:rsid w:val="00CB64EE"/>
    <w:rsid w:val="00D6615F"/>
    <w:rsid w:val="00D671ED"/>
    <w:rsid w:val="00DD3FCF"/>
    <w:rsid w:val="00E21D3E"/>
    <w:rsid w:val="00EE69E6"/>
    <w:rsid w:val="00F005EF"/>
    <w:rsid w:val="00F02A99"/>
    <w:rsid w:val="00F54EF6"/>
    <w:rsid w:val="00F67F0E"/>
    <w:rsid w:val="00FF462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242"/>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85242"/>
    <w:pPr>
      <w:keepNext/>
      <w:spacing w:after="24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E85242"/>
    <w:pPr>
      <w:keepNext/>
      <w:keepLines/>
      <w:spacing w:after="24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8E0"/>
    <w:pPr>
      <w:tabs>
        <w:tab w:val="center" w:pos="4680"/>
        <w:tab w:val="right" w:pos="9360"/>
      </w:tabs>
    </w:pPr>
  </w:style>
  <w:style w:type="character" w:customStyle="1" w:styleId="HeaderChar">
    <w:name w:val="Header Char"/>
    <w:basedOn w:val="DefaultParagraphFont"/>
    <w:link w:val="Header"/>
    <w:uiPriority w:val="99"/>
    <w:rsid w:val="00C568E0"/>
  </w:style>
  <w:style w:type="paragraph" w:styleId="Footer">
    <w:name w:val="footer"/>
    <w:basedOn w:val="Normal"/>
    <w:link w:val="FooterChar"/>
    <w:uiPriority w:val="99"/>
    <w:unhideWhenUsed/>
    <w:rsid w:val="00C568E0"/>
    <w:pPr>
      <w:tabs>
        <w:tab w:val="center" w:pos="4680"/>
        <w:tab w:val="right" w:pos="9360"/>
      </w:tabs>
    </w:pPr>
  </w:style>
  <w:style w:type="character" w:customStyle="1" w:styleId="FooterChar">
    <w:name w:val="Footer Char"/>
    <w:basedOn w:val="DefaultParagraphFont"/>
    <w:link w:val="Footer"/>
    <w:uiPriority w:val="99"/>
    <w:rsid w:val="00C568E0"/>
  </w:style>
  <w:style w:type="paragraph" w:styleId="Quote">
    <w:name w:val="Quote"/>
    <w:basedOn w:val="Normal"/>
    <w:next w:val="BodyTextContinued"/>
    <w:link w:val="QuoteChar"/>
    <w:qFormat/>
    <w:rsid w:val="00101FA8"/>
    <w:pPr>
      <w:spacing w:after="240"/>
      <w:ind w:left="1440" w:right="1440"/>
    </w:pPr>
    <w:rPr>
      <w:iCs/>
      <w:color w:val="000000" w:themeColor="text1"/>
    </w:rPr>
  </w:style>
  <w:style w:type="paragraph" w:styleId="Salutation">
    <w:name w:val="Salutation"/>
    <w:basedOn w:val="Normal"/>
    <w:next w:val="Normal"/>
    <w:link w:val="SalutationChar"/>
    <w:uiPriority w:val="99"/>
    <w:semiHidden/>
    <w:unhideWhenUsed/>
    <w:rsid w:val="001178B8"/>
  </w:style>
  <w:style w:type="character" w:customStyle="1" w:styleId="SalutationChar">
    <w:name w:val="Salutation Char"/>
    <w:basedOn w:val="DefaultParagraphFont"/>
    <w:link w:val="Salutation"/>
    <w:uiPriority w:val="99"/>
    <w:semiHidden/>
    <w:rsid w:val="001178B8"/>
  </w:style>
  <w:style w:type="character" w:customStyle="1" w:styleId="QuoteChar">
    <w:name w:val="Quote Char"/>
    <w:basedOn w:val="DefaultParagraphFont"/>
    <w:link w:val="Quote"/>
    <w:rsid w:val="00101FA8"/>
    <w:rPr>
      <w:rFonts w:ascii="Times New Roman" w:hAnsi="Times New Roman"/>
      <w:iCs/>
      <w:color w:val="000000" w:themeColor="text1"/>
      <w:sz w:val="24"/>
    </w:rPr>
  </w:style>
  <w:style w:type="paragraph" w:styleId="BodyText">
    <w:name w:val="Body Text"/>
    <w:basedOn w:val="Normal"/>
    <w:link w:val="BodyTextChar"/>
    <w:qFormat/>
    <w:rsid w:val="00101FA8"/>
    <w:pPr>
      <w:widowControl w:val="0"/>
      <w:spacing w:after="240"/>
      <w:ind w:firstLine="720"/>
    </w:pPr>
    <w:rPr>
      <w:rFonts w:eastAsia="Times New Roman" w:cs="Times New Roman"/>
      <w:szCs w:val="24"/>
    </w:rPr>
  </w:style>
  <w:style w:type="character" w:customStyle="1" w:styleId="BodyTextChar">
    <w:name w:val="Body Text Char"/>
    <w:link w:val="BodyText"/>
    <w:rsid w:val="00101FA8"/>
    <w:rPr>
      <w:rFonts w:ascii="Times New Roman" w:eastAsia="Times New Roman" w:hAnsi="Times New Roman" w:cs="Times New Roman"/>
      <w:sz w:val="24"/>
      <w:szCs w:val="24"/>
    </w:rPr>
  </w:style>
  <w:style w:type="paragraph" w:customStyle="1" w:styleId="BodyTextContinued">
    <w:name w:val="Body Text Continued"/>
    <w:basedOn w:val="BodyText"/>
    <w:next w:val="BodyText"/>
    <w:qFormat/>
    <w:rsid w:val="00101FA8"/>
    <w:pPr>
      <w:ind w:firstLine="0"/>
    </w:pPr>
  </w:style>
  <w:style w:type="paragraph" w:styleId="Title">
    <w:name w:val="Title"/>
    <w:basedOn w:val="Normal"/>
    <w:next w:val="Normal"/>
    <w:link w:val="TitleChar"/>
    <w:qFormat/>
    <w:rsid w:val="00101FA8"/>
    <w:pPr>
      <w:spacing w:after="240"/>
      <w:contextualSpacing/>
      <w:jc w:val="center"/>
    </w:pPr>
    <w:rPr>
      <w:rFonts w:eastAsiaTheme="majorEastAsia" w:cstheme="majorBidi"/>
      <w:b/>
      <w:caps/>
      <w:szCs w:val="52"/>
    </w:rPr>
  </w:style>
  <w:style w:type="character" w:customStyle="1" w:styleId="TitleChar">
    <w:name w:val="Title Char"/>
    <w:basedOn w:val="DefaultParagraphFont"/>
    <w:link w:val="Title"/>
    <w:rsid w:val="00E85242"/>
    <w:rPr>
      <w:rFonts w:ascii="Times New Roman" w:eastAsiaTheme="majorEastAsia" w:hAnsi="Times New Roman" w:cstheme="majorBidi"/>
      <w:b/>
      <w:caps/>
      <w:sz w:val="24"/>
      <w:szCs w:val="52"/>
    </w:rPr>
  </w:style>
  <w:style w:type="character" w:customStyle="1" w:styleId="Heading1Char">
    <w:name w:val="Heading 1 Char"/>
    <w:basedOn w:val="DefaultParagraphFont"/>
    <w:link w:val="Heading1"/>
    <w:uiPriority w:val="9"/>
    <w:rsid w:val="00E85242"/>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semiHidden/>
    <w:rsid w:val="00E85242"/>
    <w:rPr>
      <w:rFonts w:ascii="Times New Roman" w:eastAsiaTheme="majorEastAsia" w:hAnsi="Times New Roman" w:cstheme="majorBidi"/>
      <w:b/>
      <w:bCs/>
      <w:sz w:val="24"/>
      <w:szCs w:val="26"/>
    </w:rPr>
  </w:style>
  <w:style w:type="paragraph" w:customStyle="1" w:styleId="Pleading1Cont1">
    <w:name w:val="Pleading1 Cont 1"/>
    <w:basedOn w:val="Normal"/>
    <w:link w:val="Pleading1Cont1Char"/>
    <w:rsid w:val="006313B3"/>
    <w:pPr>
      <w:widowControl w:val="0"/>
      <w:spacing w:line="480" w:lineRule="auto"/>
    </w:pPr>
    <w:rPr>
      <w:rFonts w:eastAsia="Times New Roman" w:cs="Times New Roman"/>
      <w:szCs w:val="20"/>
    </w:rPr>
  </w:style>
  <w:style w:type="character" w:customStyle="1" w:styleId="Pleading1Cont1Char">
    <w:name w:val="Pleading1 Cont 1 Char"/>
    <w:basedOn w:val="DefaultParagraphFont"/>
    <w:link w:val="Pleading1Cont1"/>
    <w:rsid w:val="006313B3"/>
    <w:rPr>
      <w:rFonts w:ascii="Times New Roman" w:eastAsia="Times New Roman" w:hAnsi="Times New Roman" w:cs="Times New Roman"/>
      <w:sz w:val="24"/>
      <w:szCs w:val="20"/>
    </w:rPr>
  </w:style>
  <w:style w:type="paragraph" w:customStyle="1" w:styleId="Pleading1Cont2">
    <w:name w:val="Pleading1 Cont 2"/>
    <w:basedOn w:val="Pleading1Cont1"/>
    <w:link w:val="Pleading1Cont2Char"/>
    <w:rsid w:val="006313B3"/>
  </w:style>
  <w:style w:type="character" w:customStyle="1" w:styleId="Pleading1Cont2Char">
    <w:name w:val="Pleading1 Cont 2 Char"/>
    <w:basedOn w:val="DefaultParagraphFont"/>
    <w:link w:val="Pleading1Cont2"/>
    <w:rsid w:val="006313B3"/>
    <w:rPr>
      <w:rFonts w:ascii="Times New Roman" w:eastAsia="Times New Roman" w:hAnsi="Times New Roman" w:cs="Times New Roman"/>
      <w:sz w:val="24"/>
      <w:szCs w:val="20"/>
    </w:rPr>
  </w:style>
  <w:style w:type="paragraph" w:customStyle="1" w:styleId="Pleading1Cont3">
    <w:name w:val="Pleading1 Cont 3"/>
    <w:basedOn w:val="Pleading1Cont2"/>
    <w:link w:val="Pleading1Cont3Char"/>
    <w:rsid w:val="006313B3"/>
  </w:style>
  <w:style w:type="character" w:customStyle="1" w:styleId="Pleading1Cont3Char">
    <w:name w:val="Pleading1 Cont 3 Char"/>
    <w:basedOn w:val="DefaultParagraphFont"/>
    <w:link w:val="Pleading1Cont3"/>
    <w:rsid w:val="006313B3"/>
    <w:rPr>
      <w:rFonts w:ascii="Times New Roman" w:eastAsia="Times New Roman" w:hAnsi="Times New Roman" w:cs="Times New Roman"/>
      <w:sz w:val="24"/>
      <w:szCs w:val="20"/>
    </w:rPr>
  </w:style>
  <w:style w:type="paragraph" w:customStyle="1" w:styleId="Pleading1Cont4">
    <w:name w:val="Pleading1 Cont 4"/>
    <w:basedOn w:val="Pleading1Cont3"/>
    <w:link w:val="Pleading1Cont4Char"/>
    <w:rsid w:val="006313B3"/>
  </w:style>
  <w:style w:type="character" w:customStyle="1" w:styleId="Pleading1Cont4Char">
    <w:name w:val="Pleading1 Cont 4 Char"/>
    <w:basedOn w:val="DefaultParagraphFont"/>
    <w:link w:val="Pleading1Cont4"/>
    <w:rsid w:val="006313B3"/>
    <w:rPr>
      <w:rFonts w:ascii="Times New Roman" w:eastAsia="Times New Roman" w:hAnsi="Times New Roman" w:cs="Times New Roman"/>
      <w:sz w:val="24"/>
      <w:szCs w:val="20"/>
    </w:rPr>
  </w:style>
  <w:style w:type="paragraph" w:customStyle="1" w:styleId="Pleading1Cont5">
    <w:name w:val="Pleading1 Cont 5"/>
    <w:basedOn w:val="Pleading1Cont4"/>
    <w:link w:val="Pleading1Cont5Char"/>
    <w:rsid w:val="006313B3"/>
  </w:style>
  <w:style w:type="character" w:customStyle="1" w:styleId="Pleading1Cont5Char">
    <w:name w:val="Pleading1 Cont 5 Char"/>
    <w:basedOn w:val="DefaultParagraphFont"/>
    <w:link w:val="Pleading1Cont5"/>
    <w:rsid w:val="006313B3"/>
    <w:rPr>
      <w:rFonts w:ascii="Times New Roman" w:eastAsia="Times New Roman" w:hAnsi="Times New Roman" w:cs="Times New Roman"/>
      <w:sz w:val="24"/>
      <w:szCs w:val="20"/>
    </w:rPr>
  </w:style>
  <w:style w:type="paragraph" w:customStyle="1" w:styleId="Pleading1Cont6">
    <w:name w:val="Pleading1 Cont 6"/>
    <w:basedOn w:val="Pleading1Cont5"/>
    <w:link w:val="Pleading1Cont6Char"/>
    <w:rsid w:val="006313B3"/>
  </w:style>
  <w:style w:type="character" w:customStyle="1" w:styleId="Pleading1Cont6Char">
    <w:name w:val="Pleading1 Cont 6 Char"/>
    <w:basedOn w:val="DefaultParagraphFont"/>
    <w:link w:val="Pleading1Cont6"/>
    <w:rsid w:val="006313B3"/>
    <w:rPr>
      <w:rFonts w:ascii="Times New Roman" w:eastAsia="Times New Roman" w:hAnsi="Times New Roman" w:cs="Times New Roman"/>
      <w:sz w:val="24"/>
      <w:szCs w:val="20"/>
    </w:rPr>
  </w:style>
  <w:style w:type="paragraph" w:customStyle="1" w:styleId="Pleading1Cont7">
    <w:name w:val="Pleading1 Cont 7"/>
    <w:basedOn w:val="Pleading1Cont6"/>
    <w:link w:val="Pleading1Cont7Char"/>
    <w:rsid w:val="006313B3"/>
  </w:style>
  <w:style w:type="character" w:customStyle="1" w:styleId="Pleading1Cont7Char">
    <w:name w:val="Pleading1 Cont 7 Char"/>
    <w:basedOn w:val="DefaultParagraphFont"/>
    <w:link w:val="Pleading1Cont7"/>
    <w:rsid w:val="006313B3"/>
    <w:rPr>
      <w:rFonts w:ascii="Times New Roman" w:eastAsia="Times New Roman" w:hAnsi="Times New Roman" w:cs="Times New Roman"/>
      <w:sz w:val="24"/>
      <w:szCs w:val="20"/>
    </w:rPr>
  </w:style>
  <w:style w:type="paragraph" w:customStyle="1" w:styleId="Pleading1Cont8">
    <w:name w:val="Pleading1 Cont 8"/>
    <w:basedOn w:val="Pleading1Cont7"/>
    <w:link w:val="Pleading1Cont8Char"/>
    <w:rsid w:val="006313B3"/>
  </w:style>
  <w:style w:type="character" w:customStyle="1" w:styleId="Pleading1Cont8Char">
    <w:name w:val="Pleading1 Cont 8 Char"/>
    <w:basedOn w:val="DefaultParagraphFont"/>
    <w:link w:val="Pleading1Cont8"/>
    <w:rsid w:val="006313B3"/>
    <w:rPr>
      <w:rFonts w:ascii="Times New Roman" w:eastAsia="Times New Roman" w:hAnsi="Times New Roman" w:cs="Times New Roman"/>
      <w:sz w:val="24"/>
      <w:szCs w:val="20"/>
    </w:rPr>
  </w:style>
  <w:style w:type="paragraph" w:customStyle="1" w:styleId="Pleading1Cont9">
    <w:name w:val="Pleading1 Cont 9"/>
    <w:basedOn w:val="Pleading1Cont8"/>
    <w:link w:val="Pleading1Cont9Char"/>
    <w:rsid w:val="006313B3"/>
  </w:style>
  <w:style w:type="character" w:customStyle="1" w:styleId="Pleading1Cont9Char">
    <w:name w:val="Pleading1 Cont 9 Char"/>
    <w:basedOn w:val="DefaultParagraphFont"/>
    <w:link w:val="Pleading1Cont9"/>
    <w:rsid w:val="006313B3"/>
    <w:rPr>
      <w:rFonts w:ascii="Times New Roman" w:eastAsia="Times New Roman" w:hAnsi="Times New Roman" w:cs="Times New Roman"/>
      <w:sz w:val="24"/>
      <w:szCs w:val="20"/>
    </w:rPr>
  </w:style>
  <w:style w:type="paragraph" w:customStyle="1" w:styleId="Pleading1L1">
    <w:name w:val="Pleading1_L1"/>
    <w:basedOn w:val="Normal"/>
    <w:next w:val="BodyText"/>
    <w:link w:val="Pleading1L1Char"/>
    <w:rsid w:val="006313B3"/>
    <w:pPr>
      <w:keepNext/>
      <w:keepLines/>
      <w:widowControl w:val="0"/>
      <w:numPr>
        <w:numId w:val="1"/>
      </w:numPr>
      <w:spacing w:after="240"/>
      <w:outlineLvl w:val="0"/>
    </w:pPr>
    <w:rPr>
      <w:rFonts w:eastAsia="Times New Roman" w:cs="Times New Roman"/>
      <w:b/>
      <w:caps/>
      <w:szCs w:val="20"/>
      <w:u w:val="single"/>
    </w:rPr>
  </w:style>
  <w:style w:type="character" w:customStyle="1" w:styleId="Pleading1L1Char">
    <w:name w:val="Pleading1_L1 Char"/>
    <w:basedOn w:val="DefaultParagraphFont"/>
    <w:link w:val="Pleading1L1"/>
    <w:rsid w:val="006313B3"/>
    <w:rPr>
      <w:rFonts w:ascii="Times New Roman" w:eastAsia="Times New Roman" w:hAnsi="Times New Roman" w:cs="Times New Roman"/>
      <w:b/>
      <w:caps/>
      <w:sz w:val="24"/>
      <w:szCs w:val="20"/>
      <w:u w:val="single"/>
    </w:rPr>
  </w:style>
  <w:style w:type="paragraph" w:customStyle="1" w:styleId="Pleading1L2">
    <w:name w:val="Pleading1_L2"/>
    <w:basedOn w:val="Pleading1L1"/>
    <w:next w:val="BodyText"/>
    <w:link w:val="Pleading1L2Char"/>
    <w:rsid w:val="006313B3"/>
    <w:pPr>
      <w:numPr>
        <w:ilvl w:val="1"/>
      </w:numPr>
      <w:outlineLvl w:val="1"/>
    </w:pPr>
    <w:rPr>
      <w:caps w:val="0"/>
    </w:rPr>
  </w:style>
  <w:style w:type="character" w:customStyle="1" w:styleId="Pleading1L2Char">
    <w:name w:val="Pleading1_L2 Char"/>
    <w:basedOn w:val="DefaultParagraphFont"/>
    <w:link w:val="Pleading1L2"/>
    <w:rsid w:val="006313B3"/>
    <w:rPr>
      <w:rFonts w:ascii="Times New Roman" w:eastAsia="Times New Roman" w:hAnsi="Times New Roman" w:cs="Times New Roman"/>
      <w:b/>
      <w:sz w:val="24"/>
      <w:szCs w:val="20"/>
      <w:u w:val="single"/>
    </w:rPr>
  </w:style>
  <w:style w:type="paragraph" w:customStyle="1" w:styleId="Pleading1L3">
    <w:name w:val="Pleading1_L3"/>
    <w:basedOn w:val="Pleading1L2"/>
    <w:next w:val="BodyText"/>
    <w:link w:val="Pleading1L3Char"/>
    <w:rsid w:val="006313B3"/>
    <w:pPr>
      <w:numPr>
        <w:ilvl w:val="2"/>
      </w:numPr>
      <w:outlineLvl w:val="2"/>
    </w:pPr>
    <w:rPr>
      <w:b w:val="0"/>
      <w:u w:val="none"/>
    </w:rPr>
  </w:style>
  <w:style w:type="character" w:customStyle="1" w:styleId="Pleading1L3Char">
    <w:name w:val="Pleading1_L3 Char"/>
    <w:basedOn w:val="DefaultParagraphFont"/>
    <w:link w:val="Pleading1L3"/>
    <w:rsid w:val="006313B3"/>
    <w:rPr>
      <w:rFonts w:ascii="Times New Roman" w:eastAsia="Times New Roman" w:hAnsi="Times New Roman" w:cs="Times New Roman"/>
      <w:sz w:val="24"/>
      <w:szCs w:val="20"/>
    </w:rPr>
  </w:style>
  <w:style w:type="paragraph" w:customStyle="1" w:styleId="Pleading1L4">
    <w:name w:val="Pleading1_L4"/>
    <w:basedOn w:val="Pleading1L3"/>
    <w:next w:val="BodyText"/>
    <w:link w:val="Pleading1L4Char"/>
    <w:rsid w:val="006313B3"/>
    <w:pPr>
      <w:numPr>
        <w:ilvl w:val="3"/>
      </w:numPr>
      <w:outlineLvl w:val="3"/>
    </w:pPr>
  </w:style>
  <w:style w:type="character" w:customStyle="1" w:styleId="Pleading1L4Char">
    <w:name w:val="Pleading1_L4 Char"/>
    <w:basedOn w:val="DefaultParagraphFont"/>
    <w:link w:val="Pleading1L4"/>
    <w:rsid w:val="006313B3"/>
    <w:rPr>
      <w:rFonts w:ascii="Times New Roman" w:eastAsia="Times New Roman" w:hAnsi="Times New Roman" w:cs="Times New Roman"/>
      <w:sz w:val="24"/>
      <w:szCs w:val="20"/>
    </w:rPr>
  </w:style>
  <w:style w:type="paragraph" w:customStyle="1" w:styleId="Pleading1L5">
    <w:name w:val="Pleading1_L5"/>
    <w:basedOn w:val="Pleading1L4"/>
    <w:next w:val="BodyText"/>
    <w:link w:val="Pleading1L5Char"/>
    <w:rsid w:val="006313B3"/>
    <w:pPr>
      <w:numPr>
        <w:ilvl w:val="4"/>
      </w:numPr>
      <w:outlineLvl w:val="4"/>
    </w:pPr>
  </w:style>
  <w:style w:type="character" w:customStyle="1" w:styleId="Pleading1L5Char">
    <w:name w:val="Pleading1_L5 Char"/>
    <w:basedOn w:val="DefaultParagraphFont"/>
    <w:link w:val="Pleading1L5"/>
    <w:rsid w:val="006313B3"/>
    <w:rPr>
      <w:rFonts w:ascii="Times New Roman" w:eastAsia="Times New Roman" w:hAnsi="Times New Roman" w:cs="Times New Roman"/>
      <w:sz w:val="24"/>
      <w:szCs w:val="20"/>
    </w:rPr>
  </w:style>
  <w:style w:type="paragraph" w:customStyle="1" w:styleId="Pleading1L6">
    <w:name w:val="Pleading1_L6"/>
    <w:basedOn w:val="Pleading1L5"/>
    <w:next w:val="BodyText"/>
    <w:link w:val="Pleading1L6Char"/>
    <w:rsid w:val="006313B3"/>
    <w:pPr>
      <w:numPr>
        <w:ilvl w:val="5"/>
      </w:numPr>
      <w:outlineLvl w:val="5"/>
    </w:pPr>
  </w:style>
  <w:style w:type="character" w:customStyle="1" w:styleId="Pleading1L6Char">
    <w:name w:val="Pleading1_L6 Char"/>
    <w:basedOn w:val="DefaultParagraphFont"/>
    <w:link w:val="Pleading1L6"/>
    <w:rsid w:val="006313B3"/>
    <w:rPr>
      <w:rFonts w:ascii="Times New Roman" w:eastAsia="Times New Roman" w:hAnsi="Times New Roman" w:cs="Times New Roman"/>
      <w:sz w:val="24"/>
      <w:szCs w:val="20"/>
    </w:rPr>
  </w:style>
  <w:style w:type="paragraph" w:customStyle="1" w:styleId="Pleading1L7">
    <w:name w:val="Pleading1_L7"/>
    <w:basedOn w:val="Pleading1L6"/>
    <w:next w:val="BodyText"/>
    <w:link w:val="Pleading1L7Char"/>
    <w:rsid w:val="006313B3"/>
    <w:pPr>
      <w:numPr>
        <w:ilvl w:val="6"/>
      </w:numPr>
      <w:outlineLvl w:val="6"/>
    </w:pPr>
  </w:style>
  <w:style w:type="character" w:customStyle="1" w:styleId="Pleading1L7Char">
    <w:name w:val="Pleading1_L7 Char"/>
    <w:basedOn w:val="DefaultParagraphFont"/>
    <w:link w:val="Pleading1L7"/>
    <w:rsid w:val="006313B3"/>
    <w:rPr>
      <w:rFonts w:ascii="Times New Roman" w:eastAsia="Times New Roman" w:hAnsi="Times New Roman" w:cs="Times New Roman"/>
      <w:sz w:val="24"/>
      <w:szCs w:val="20"/>
    </w:rPr>
  </w:style>
  <w:style w:type="paragraph" w:customStyle="1" w:styleId="Pleading1L8">
    <w:name w:val="Pleading1_L8"/>
    <w:basedOn w:val="Pleading1L7"/>
    <w:next w:val="BodyText"/>
    <w:link w:val="Pleading1L8Char"/>
    <w:rsid w:val="006313B3"/>
    <w:pPr>
      <w:numPr>
        <w:ilvl w:val="7"/>
      </w:numPr>
      <w:outlineLvl w:val="7"/>
    </w:pPr>
  </w:style>
  <w:style w:type="character" w:customStyle="1" w:styleId="Pleading1L8Char">
    <w:name w:val="Pleading1_L8 Char"/>
    <w:basedOn w:val="DefaultParagraphFont"/>
    <w:link w:val="Pleading1L8"/>
    <w:rsid w:val="006313B3"/>
    <w:rPr>
      <w:rFonts w:ascii="Times New Roman" w:eastAsia="Times New Roman" w:hAnsi="Times New Roman" w:cs="Times New Roman"/>
      <w:sz w:val="24"/>
      <w:szCs w:val="20"/>
    </w:rPr>
  </w:style>
  <w:style w:type="paragraph" w:customStyle="1" w:styleId="Pleading1L9">
    <w:name w:val="Pleading1_L9"/>
    <w:basedOn w:val="Pleading1L8"/>
    <w:next w:val="BodyText"/>
    <w:link w:val="Pleading1L9Char"/>
    <w:rsid w:val="006313B3"/>
    <w:pPr>
      <w:numPr>
        <w:ilvl w:val="8"/>
      </w:numPr>
      <w:outlineLvl w:val="8"/>
    </w:pPr>
  </w:style>
  <w:style w:type="character" w:customStyle="1" w:styleId="Pleading1L9Char">
    <w:name w:val="Pleading1_L9 Char"/>
    <w:basedOn w:val="DefaultParagraphFont"/>
    <w:link w:val="Pleading1L9"/>
    <w:rsid w:val="006313B3"/>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301D1E"/>
    <w:rPr>
      <w:sz w:val="20"/>
      <w:szCs w:val="20"/>
    </w:rPr>
  </w:style>
  <w:style w:type="character" w:customStyle="1" w:styleId="FootnoteTextChar">
    <w:name w:val="Footnote Text Char"/>
    <w:basedOn w:val="DefaultParagraphFont"/>
    <w:link w:val="FootnoteText"/>
    <w:uiPriority w:val="99"/>
    <w:semiHidden/>
    <w:rsid w:val="00301D1E"/>
    <w:rPr>
      <w:rFonts w:ascii="Times New Roman" w:hAnsi="Times New Roman"/>
      <w:sz w:val="20"/>
      <w:szCs w:val="20"/>
    </w:rPr>
  </w:style>
  <w:style w:type="character" w:styleId="FootnoteReference">
    <w:name w:val="footnote reference"/>
    <w:basedOn w:val="DefaultParagraphFont"/>
    <w:uiPriority w:val="99"/>
    <w:semiHidden/>
    <w:unhideWhenUsed/>
    <w:rsid w:val="00301D1E"/>
    <w:rPr>
      <w:vertAlign w:val="superscript"/>
    </w:rPr>
  </w:style>
  <w:style w:type="character" w:styleId="Hyperlink">
    <w:name w:val="Hyperlink"/>
    <w:basedOn w:val="DefaultParagraphFont"/>
    <w:uiPriority w:val="99"/>
    <w:unhideWhenUsed/>
    <w:rsid w:val="00214D6F"/>
    <w:rPr>
      <w:color w:val="0000FF" w:themeColor="hyperlink"/>
      <w:u w:val="single"/>
    </w:rPr>
  </w:style>
  <w:style w:type="paragraph" w:customStyle="1" w:styleId="MacPacTrailer">
    <w:name w:val="MacPac Trailer"/>
    <w:rsid w:val="0016266E"/>
    <w:pPr>
      <w:widowControl w:val="0"/>
      <w:spacing w:after="0" w:line="200" w:lineRule="exact"/>
    </w:pPr>
    <w:rPr>
      <w:rFonts w:ascii="Times New Roman" w:eastAsia="Times New Roman" w:hAnsi="Times New Roman" w:cs="Times New Roman"/>
      <w:sz w:val="16"/>
    </w:rPr>
  </w:style>
  <w:style w:type="paragraph" w:styleId="BalloonText">
    <w:name w:val="Balloon Text"/>
    <w:basedOn w:val="Normal"/>
    <w:link w:val="BalloonTextChar"/>
    <w:uiPriority w:val="99"/>
    <w:semiHidden/>
    <w:unhideWhenUsed/>
    <w:rsid w:val="00C26D8E"/>
    <w:rPr>
      <w:rFonts w:ascii="Tahoma" w:hAnsi="Tahoma" w:cs="Tahoma"/>
      <w:sz w:val="16"/>
      <w:szCs w:val="16"/>
    </w:rPr>
  </w:style>
  <w:style w:type="character" w:customStyle="1" w:styleId="BalloonTextChar">
    <w:name w:val="Balloon Text Char"/>
    <w:basedOn w:val="DefaultParagraphFont"/>
    <w:link w:val="BalloonText"/>
    <w:uiPriority w:val="99"/>
    <w:semiHidden/>
    <w:rsid w:val="00C26D8E"/>
    <w:rPr>
      <w:rFonts w:ascii="Tahoma" w:hAnsi="Tahoma" w:cs="Tahoma"/>
      <w:sz w:val="16"/>
      <w:szCs w:val="16"/>
    </w:rPr>
  </w:style>
  <w:style w:type="character" w:styleId="PlaceholderText">
    <w:name w:val="Placeholder Text"/>
    <w:basedOn w:val="DefaultParagraphFont"/>
    <w:uiPriority w:val="99"/>
    <w:semiHidden/>
    <w:rsid w:val="00C26D8E"/>
    <w:rPr>
      <w:color w:val="808080"/>
    </w:rPr>
  </w:style>
  <w:style w:type="character" w:customStyle="1" w:styleId="apple-style-span">
    <w:name w:val="apple-style-span"/>
    <w:basedOn w:val="DefaultParagraphFont"/>
    <w:rsid w:val="00A65A09"/>
  </w:style>
  <w:style w:type="paragraph" w:styleId="PlainText">
    <w:name w:val="Plain Text"/>
    <w:basedOn w:val="Normal"/>
    <w:link w:val="PlainTextChar"/>
    <w:uiPriority w:val="99"/>
    <w:unhideWhenUsed/>
    <w:rsid w:val="00FE5051"/>
    <w:rPr>
      <w:rFonts w:ascii="Calibri" w:hAnsi="Calibri"/>
      <w:sz w:val="22"/>
      <w:szCs w:val="21"/>
    </w:rPr>
  </w:style>
  <w:style w:type="character" w:customStyle="1" w:styleId="PlainTextChar">
    <w:name w:val="Plain Text Char"/>
    <w:basedOn w:val="DefaultParagraphFont"/>
    <w:link w:val="PlainText"/>
    <w:uiPriority w:val="99"/>
    <w:rsid w:val="00FE5051"/>
    <w:rPr>
      <w:rFonts w:ascii="Calibri" w:hAnsi="Calibri"/>
      <w:szCs w:val="21"/>
    </w:rPr>
  </w:style>
  <w:style w:type="paragraph" w:styleId="ListParagraph">
    <w:name w:val="List Paragraph"/>
    <w:basedOn w:val="Normal"/>
    <w:uiPriority w:val="34"/>
    <w:qFormat/>
    <w:rsid w:val="00A71A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242"/>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85242"/>
    <w:pPr>
      <w:keepNext/>
      <w:spacing w:after="24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E85242"/>
    <w:pPr>
      <w:keepNext/>
      <w:keepLines/>
      <w:spacing w:after="24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8E0"/>
    <w:pPr>
      <w:tabs>
        <w:tab w:val="center" w:pos="4680"/>
        <w:tab w:val="right" w:pos="9360"/>
      </w:tabs>
    </w:pPr>
  </w:style>
  <w:style w:type="character" w:customStyle="1" w:styleId="HeaderChar">
    <w:name w:val="Header Char"/>
    <w:basedOn w:val="DefaultParagraphFont"/>
    <w:link w:val="Header"/>
    <w:uiPriority w:val="99"/>
    <w:rsid w:val="00C568E0"/>
  </w:style>
  <w:style w:type="paragraph" w:styleId="Footer">
    <w:name w:val="footer"/>
    <w:basedOn w:val="Normal"/>
    <w:link w:val="FooterChar"/>
    <w:uiPriority w:val="99"/>
    <w:unhideWhenUsed/>
    <w:rsid w:val="00C568E0"/>
    <w:pPr>
      <w:tabs>
        <w:tab w:val="center" w:pos="4680"/>
        <w:tab w:val="right" w:pos="9360"/>
      </w:tabs>
    </w:pPr>
  </w:style>
  <w:style w:type="character" w:customStyle="1" w:styleId="FooterChar">
    <w:name w:val="Footer Char"/>
    <w:basedOn w:val="DefaultParagraphFont"/>
    <w:link w:val="Footer"/>
    <w:uiPriority w:val="99"/>
    <w:rsid w:val="00C568E0"/>
  </w:style>
  <w:style w:type="paragraph" w:styleId="Quote">
    <w:name w:val="Quote"/>
    <w:basedOn w:val="Normal"/>
    <w:next w:val="BodyTextContinued"/>
    <w:link w:val="QuoteChar"/>
    <w:qFormat/>
    <w:rsid w:val="00101FA8"/>
    <w:pPr>
      <w:spacing w:after="240"/>
      <w:ind w:left="1440" w:right="1440"/>
    </w:pPr>
    <w:rPr>
      <w:iCs/>
      <w:color w:val="000000" w:themeColor="text1"/>
    </w:rPr>
  </w:style>
  <w:style w:type="paragraph" w:styleId="Salutation">
    <w:name w:val="Salutation"/>
    <w:basedOn w:val="Normal"/>
    <w:next w:val="Normal"/>
    <w:link w:val="SalutationChar"/>
    <w:uiPriority w:val="99"/>
    <w:semiHidden/>
    <w:unhideWhenUsed/>
    <w:rsid w:val="001178B8"/>
  </w:style>
  <w:style w:type="character" w:customStyle="1" w:styleId="SalutationChar">
    <w:name w:val="Salutation Char"/>
    <w:basedOn w:val="DefaultParagraphFont"/>
    <w:link w:val="Salutation"/>
    <w:uiPriority w:val="99"/>
    <w:semiHidden/>
    <w:rsid w:val="001178B8"/>
  </w:style>
  <w:style w:type="character" w:customStyle="1" w:styleId="QuoteChar">
    <w:name w:val="Quote Char"/>
    <w:basedOn w:val="DefaultParagraphFont"/>
    <w:link w:val="Quote"/>
    <w:rsid w:val="00101FA8"/>
    <w:rPr>
      <w:rFonts w:ascii="Times New Roman" w:hAnsi="Times New Roman"/>
      <w:iCs/>
      <w:color w:val="000000" w:themeColor="text1"/>
      <w:sz w:val="24"/>
    </w:rPr>
  </w:style>
  <w:style w:type="paragraph" w:styleId="BodyText">
    <w:name w:val="Body Text"/>
    <w:basedOn w:val="Normal"/>
    <w:link w:val="BodyTextChar"/>
    <w:qFormat/>
    <w:rsid w:val="00101FA8"/>
    <w:pPr>
      <w:widowControl w:val="0"/>
      <w:spacing w:after="240"/>
      <w:ind w:firstLine="720"/>
    </w:pPr>
    <w:rPr>
      <w:rFonts w:eastAsia="Times New Roman" w:cs="Times New Roman"/>
      <w:szCs w:val="24"/>
    </w:rPr>
  </w:style>
  <w:style w:type="character" w:customStyle="1" w:styleId="BodyTextChar">
    <w:name w:val="Body Text Char"/>
    <w:link w:val="BodyText"/>
    <w:rsid w:val="00101FA8"/>
    <w:rPr>
      <w:rFonts w:ascii="Times New Roman" w:eastAsia="Times New Roman" w:hAnsi="Times New Roman" w:cs="Times New Roman"/>
      <w:sz w:val="24"/>
      <w:szCs w:val="24"/>
    </w:rPr>
  </w:style>
  <w:style w:type="paragraph" w:customStyle="1" w:styleId="BodyTextContinued">
    <w:name w:val="Body Text Continued"/>
    <w:basedOn w:val="BodyText"/>
    <w:next w:val="BodyText"/>
    <w:qFormat/>
    <w:rsid w:val="00101FA8"/>
    <w:pPr>
      <w:ind w:firstLine="0"/>
    </w:pPr>
  </w:style>
  <w:style w:type="paragraph" w:styleId="Title">
    <w:name w:val="Title"/>
    <w:basedOn w:val="Normal"/>
    <w:next w:val="Normal"/>
    <w:link w:val="TitleChar"/>
    <w:qFormat/>
    <w:rsid w:val="00101FA8"/>
    <w:pPr>
      <w:spacing w:after="240"/>
      <w:contextualSpacing/>
      <w:jc w:val="center"/>
    </w:pPr>
    <w:rPr>
      <w:rFonts w:eastAsiaTheme="majorEastAsia" w:cstheme="majorBidi"/>
      <w:b/>
      <w:caps/>
      <w:szCs w:val="52"/>
    </w:rPr>
  </w:style>
  <w:style w:type="character" w:customStyle="1" w:styleId="TitleChar">
    <w:name w:val="Title Char"/>
    <w:basedOn w:val="DefaultParagraphFont"/>
    <w:link w:val="Title"/>
    <w:rsid w:val="00E85242"/>
    <w:rPr>
      <w:rFonts w:ascii="Times New Roman" w:eastAsiaTheme="majorEastAsia" w:hAnsi="Times New Roman" w:cstheme="majorBidi"/>
      <w:b/>
      <w:caps/>
      <w:sz w:val="24"/>
      <w:szCs w:val="52"/>
    </w:rPr>
  </w:style>
  <w:style w:type="character" w:customStyle="1" w:styleId="Heading1Char">
    <w:name w:val="Heading 1 Char"/>
    <w:basedOn w:val="DefaultParagraphFont"/>
    <w:link w:val="Heading1"/>
    <w:uiPriority w:val="9"/>
    <w:rsid w:val="00E85242"/>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semiHidden/>
    <w:rsid w:val="00E85242"/>
    <w:rPr>
      <w:rFonts w:ascii="Times New Roman" w:eastAsiaTheme="majorEastAsia" w:hAnsi="Times New Roman" w:cstheme="majorBidi"/>
      <w:b/>
      <w:bCs/>
      <w:sz w:val="24"/>
      <w:szCs w:val="26"/>
    </w:rPr>
  </w:style>
  <w:style w:type="paragraph" w:customStyle="1" w:styleId="Pleading1Cont1">
    <w:name w:val="Pleading1 Cont 1"/>
    <w:basedOn w:val="Normal"/>
    <w:link w:val="Pleading1Cont1Char"/>
    <w:rsid w:val="006313B3"/>
    <w:pPr>
      <w:widowControl w:val="0"/>
      <w:spacing w:line="480" w:lineRule="auto"/>
    </w:pPr>
    <w:rPr>
      <w:rFonts w:eastAsia="Times New Roman" w:cs="Times New Roman"/>
      <w:szCs w:val="20"/>
    </w:rPr>
  </w:style>
  <w:style w:type="character" w:customStyle="1" w:styleId="Pleading1Cont1Char">
    <w:name w:val="Pleading1 Cont 1 Char"/>
    <w:basedOn w:val="DefaultParagraphFont"/>
    <w:link w:val="Pleading1Cont1"/>
    <w:rsid w:val="006313B3"/>
    <w:rPr>
      <w:rFonts w:ascii="Times New Roman" w:eastAsia="Times New Roman" w:hAnsi="Times New Roman" w:cs="Times New Roman"/>
      <w:sz w:val="24"/>
      <w:szCs w:val="20"/>
    </w:rPr>
  </w:style>
  <w:style w:type="paragraph" w:customStyle="1" w:styleId="Pleading1Cont2">
    <w:name w:val="Pleading1 Cont 2"/>
    <w:basedOn w:val="Pleading1Cont1"/>
    <w:link w:val="Pleading1Cont2Char"/>
    <w:rsid w:val="006313B3"/>
  </w:style>
  <w:style w:type="character" w:customStyle="1" w:styleId="Pleading1Cont2Char">
    <w:name w:val="Pleading1 Cont 2 Char"/>
    <w:basedOn w:val="DefaultParagraphFont"/>
    <w:link w:val="Pleading1Cont2"/>
    <w:rsid w:val="006313B3"/>
    <w:rPr>
      <w:rFonts w:ascii="Times New Roman" w:eastAsia="Times New Roman" w:hAnsi="Times New Roman" w:cs="Times New Roman"/>
      <w:sz w:val="24"/>
      <w:szCs w:val="20"/>
    </w:rPr>
  </w:style>
  <w:style w:type="paragraph" w:customStyle="1" w:styleId="Pleading1Cont3">
    <w:name w:val="Pleading1 Cont 3"/>
    <w:basedOn w:val="Pleading1Cont2"/>
    <w:link w:val="Pleading1Cont3Char"/>
    <w:rsid w:val="006313B3"/>
  </w:style>
  <w:style w:type="character" w:customStyle="1" w:styleId="Pleading1Cont3Char">
    <w:name w:val="Pleading1 Cont 3 Char"/>
    <w:basedOn w:val="DefaultParagraphFont"/>
    <w:link w:val="Pleading1Cont3"/>
    <w:rsid w:val="006313B3"/>
    <w:rPr>
      <w:rFonts w:ascii="Times New Roman" w:eastAsia="Times New Roman" w:hAnsi="Times New Roman" w:cs="Times New Roman"/>
      <w:sz w:val="24"/>
      <w:szCs w:val="20"/>
    </w:rPr>
  </w:style>
  <w:style w:type="paragraph" w:customStyle="1" w:styleId="Pleading1Cont4">
    <w:name w:val="Pleading1 Cont 4"/>
    <w:basedOn w:val="Pleading1Cont3"/>
    <w:link w:val="Pleading1Cont4Char"/>
    <w:rsid w:val="006313B3"/>
  </w:style>
  <w:style w:type="character" w:customStyle="1" w:styleId="Pleading1Cont4Char">
    <w:name w:val="Pleading1 Cont 4 Char"/>
    <w:basedOn w:val="DefaultParagraphFont"/>
    <w:link w:val="Pleading1Cont4"/>
    <w:rsid w:val="006313B3"/>
    <w:rPr>
      <w:rFonts w:ascii="Times New Roman" w:eastAsia="Times New Roman" w:hAnsi="Times New Roman" w:cs="Times New Roman"/>
      <w:sz w:val="24"/>
      <w:szCs w:val="20"/>
    </w:rPr>
  </w:style>
  <w:style w:type="paragraph" w:customStyle="1" w:styleId="Pleading1Cont5">
    <w:name w:val="Pleading1 Cont 5"/>
    <w:basedOn w:val="Pleading1Cont4"/>
    <w:link w:val="Pleading1Cont5Char"/>
    <w:rsid w:val="006313B3"/>
  </w:style>
  <w:style w:type="character" w:customStyle="1" w:styleId="Pleading1Cont5Char">
    <w:name w:val="Pleading1 Cont 5 Char"/>
    <w:basedOn w:val="DefaultParagraphFont"/>
    <w:link w:val="Pleading1Cont5"/>
    <w:rsid w:val="006313B3"/>
    <w:rPr>
      <w:rFonts w:ascii="Times New Roman" w:eastAsia="Times New Roman" w:hAnsi="Times New Roman" w:cs="Times New Roman"/>
      <w:sz w:val="24"/>
      <w:szCs w:val="20"/>
    </w:rPr>
  </w:style>
  <w:style w:type="paragraph" w:customStyle="1" w:styleId="Pleading1Cont6">
    <w:name w:val="Pleading1 Cont 6"/>
    <w:basedOn w:val="Pleading1Cont5"/>
    <w:link w:val="Pleading1Cont6Char"/>
    <w:rsid w:val="006313B3"/>
  </w:style>
  <w:style w:type="character" w:customStyle="1" w:styleId="Pleading1Cont6Char">
    <w:name w:val="Pleading1 Cont 6 Char"/>
    <w:basedOn w:val="DefaultParagraphFont"/>
    <w:link w:val="Pleading1Cont6"/>
    <w:rsid w:val="006313B3"/>
    <w:rPr>
      <w:rFonts w:ascii="Times New Roman" w:eastAsia="Times New Roman" w:hAnsi="Times New Roman" w:cs="Times New Roman"/>
      <w:sz w:val="24"/>
      <w:szCs w:val="20"/>
    </w:rPr>
  </w:style>
  <w:style w:type="paragraph" w:customStyle="1" w:styleId="Pleading1Cont7">
    <w:name w:val="Pleading1 Cont 7"/>
    <w:basedOn w:val="Pleading1Cont6"/>
    <w:link w:val="Pleading1Cont7Char"/>
    <w:rsid w:val="006313B3"/>
  </w:style>
  <w:style w:type="character" w:customStyle="1" w:styleId="Pleading1Cont7Char">
    <w:name w:val="Pleading1 Cont 7 Char"/>
    <w:basedOn w:val="DefaultParagraphFont"/>
    <w:link w:val="Pleading1Cont7"/>
    <w:rsid w:val="006313B3"/>
    <w:rPr>
      <w:rFonts w:ascii="Times New Roman" w:eastAsia="Times New Roman" w:hAnsi="Times New Roman" w:cs="Times New Roman"/>
      <w:sz w:val="24"/>
      <w:szCs w:val="20"/>
    </w:rPr>
  </w:style>
  <w:style w:type="paragraph" w:customStyle="1" w:styleId="Pleading1Cont8">
    <w:name w:val="Pleading1 Cont 8"/>
    <w:basedOn w:val="Pleading1Cont7"/>
    <w:link w:val="Pleading1Cont8Char"/>
    <w:rsid w:val="006313B3"/>
  </w:style>
  <w:style w:type="character" w:customStyle="1" w:styleId="Pleading1Cont8Char">
    <w:name w:val="Pleading1 Cont 8 Char"/>
    <w:basedOn w:val="DefaultParagraphFont"/>
    <w:link w:val="Pleading1Cont8"/>
    <w:rsid w:val="006313B3"/>
    <w:rPr>
      <w:rFonts w:ascii="Times New Roman" w:eastAsia="Times New Roman" w:hAnsi="Times New Roman" w:cs="Times New Roman"/>
      <w:sz w:val="24"/>
      <w:szCs w:val="20"/>
    </w:rPr>
  </w:style>
  <w:style w:type="paragraph" w:customStyle="1" w:styleId="Pleading1Cont9">
    <w:name w:val="Pleading1 Cont 9"/>
    <w:basedOn w:val="Pleading1Cont8"/>
    <w:link w:val="Pleading1Cont9Char"/>
    <w:rsid w:val="006313B3"/>
  </w:style>
  <w:style w:type="character" w:customStyle="1" w:styleId="Pleading1Cont9Char">
    <w:name w:val="Pleading1 Cont 9 Char"/>
    <w:basedOn w:val="DefaultParagraphFont"/>
    <w:link w:val="Pleading1Cont9"/>
    <w:rsid w:val="006313B3"/>
    <w:rPr>
      <w:rFonts w:ascii="Times New Roman" w:eastAsia="Times New Roman" w:hAnsi="Times New Roman" w:cs="Times New Roman"/>
      <w:sz w:val="24"/>
      <w:szCs w:val="20"/>
    </w:rPr>
  </w:style>
  <w:style w:type="paragraph" w:customStyle="1" w:styleId="Pleading1L1">
    <w:name w:val="Pleading1_L1"/>
    <w:basedOn w:val="Normal"/>
    <w:next w:val="BodyText"/>
    <w:link w:val="Pleading1L1Char"/>
    <w:rsid w:val="006313B3"/>
    <w:pPr>
      <w:keepNext/>
      <w:keepLines/>
      <w:widowControl w:val="0"/>
      <w:numPr>
        <w:numId w:val="1"/>
      </w:numPr>
      <w:spacing w:after="240"/>
      <w:outlineLvl w:val="0"/>
    </w:pPr>
    <w:rPr>
      <w:rFonts w:eastAsia="Times New Roman" w:cs="Times New Roman"/>
      <w:b/>
      <w:caps/>
      <w:szCs w:val="20"/>
      <w:u w:val="single"/>
    </w:rPr>
  </w:style>
  <w:style w:type="character" w:customStyle="1" w:styleId="Pleading1L1Char">
    <w:name w:val="Pleading1_L1 Char"/>
    <w:basedOn w:val="DefaultParagraphFont"/>
    <w:link w:val="Pleading1L1"/>
    <w:rsid w:val="006313B3"/>
    <w:rPr>
      <w:rFonts w:ascii="Times New Roman" w:eastAsia="Times New Roman" w:hAnsi="Times New Roman" w:cs="Times New Roman"/>
      <w:b/>
      <w:caps/>
      <w:sz w:val="24"/>
      <w:szCs w:val="20"/>
      <w:u w:val="single"/>
    </w:rPr>
  </w:style>
  <w:style w:type="paragraph" w:customStyle="1" w:styleId="Pleading1L2">
    <w:name w:val="Pleading1_L2"/>
    <w:basedOn w:val="Pleading1L1"/>
    <w:next w:val="BodyText"/>
    <w:link w:val="Pleading1L2Char"/>
    <w:rsid w:val="006313B3"/>
    <w:pPr>
      <w:numPr>
        <w:ilvl w:val="1"/>
      </w:numPr>
      <w:outlineLvl w:val="1"/>
    </w:pPr>
    <w:rPr>
      <w:caps w:val="0"/>
    </w:rPr>
  </w:style>
  <w:style w:type="character" w:customStyle="1" w:styleId="Pleading1L2Char">
    <w:name w:val="Pleading1_L2 Char"/>
    <w:basedOn w:val="DefaultParagraphFont"/>
    <w:link w:val="Pleading1L2"/>
    <w:rsid w:val="006313B3"/>
    <w:rPr>
      <w:rFonts w:ascii="Times New Roman" w:eastAsia="Times New Roman" w:hAnsi="Times New Roman" w:cs="Times New Roman"/>
      <w:b/>
      <w:sz w:val="24"/>
      <w:szCs w:val="20"/>
      <w:u w:val="single"/>
    </w:rPr>
  </w:style>
  <w:style w:type="paragraph" w:customStyle="1" w:styleId="Pleading1L3">
    <w:name w:val="Pleading1_L3"/>
    <w:basedOn w:val="Pleading1L2"/>
    <w:next w:val="BodyText"/>
    <w:link w:val="Pleading1L3Char"/>
    <w:rsid w:val="006313B3"/>
    <w:pPr>
      <w:numPr>
        <w:ilvl w:val="2"/>
      </w:numPr>
      <w:outlineLvl w:val="2"/>
    </w:pPr>
    <w:rPr>
      <w:b w:val="0"/>
      <w:u w:val="none"/>
    </w:rPr>
  </w:style>
  <w:style w:type="character" w:customStyle="1" w:styleId="Pleading1L3Char">
    <w:name w:val="Pleading1_L3 Char"/>
    <w:basedOn w:val="DefaultParagraphFont"/>
    <w:link w:val="Pleading1L3"/>
    <w:rsid w:val="006313B3"/>
    <w:rPr>
      <w:rFonts w:ascii="Times New Roman" w:eastAsia="Times New Roman" w:hAnsi="Times New Roman" w:cs="Times New Roman"/>
      <w:sz w:val="24"/>
      <w:szCs w:val="20"/>
    </w:rPr>
  </w:style>
  <w:style w:type="paragraph" w:customStyle="1" w:styleId="Pleading1L4">
    <w:name w:val="Pleading1_L4"/>
    <w:basedOn w:val="Pleading1L3"/>
    <w:next w:val="BodyText"/>
    <w:link w:val="Pleading1L4Char"/>
    <w:rsid w:val="006313B3"/>
    <w:pPr>
      <w:numPr>
        <w:ilvl w:val="3"/>
      </w:numPr>
      <w:outlineLvl w:val="3"/>
    </w:pPr>
  </w:style>
  <w:style w:type="character" w:customStyle="1" w:styleId="Pleading1L4Char">
    <w:name w:val="Pleading1_L4 Char"/>
    <w:basedOn w:val="DefaultParagraphFont"/>
    <w:link w:val="Pleading1L4"/>
    <w:rsid w:val="006313B3"/>
    <w:rPr>
      <w:rFonts w:ascii="Times New Roman" w:eastAsia="Times New Roman" w:hAnsi="Times New Roman" w:cs="Times New Roman"/>
      <w:sz w:val="24"/>
      <w:szCs w:val="20"/>
    </w:rPr>
  </w:style>
  <w:style w:type="paragraph" w:customStyle="1" w:styleId="Pleading1L5">
    <w:name w:val="Pleading1_L5"/>
    <w:basedOn w:val="Pleading1L4"/>
    <w:next w:val="BodyText"/>
    <w:link w:val="Pleading1L5Char"/>
    <w:rsid w:val="006313B3"/>
    <w:pPr>
      <w:numPr>
        <w:ilvl w:val="4"/>
      </w:numPr>
      <w:outlineLvl w:val="4"/>
    </w:pPr>
  </w:style>
  <w:style w:type="character" w:customStyle="1" w:styleId="Pleading1L5Char">
    <w:name w:val="Pleading1_L5 Char"/>
    <w:basedOn w:val="DefaultParagraphFont"/>
    <w:link w:val="Pleading1L5"/>
    <w:rsid w:val="006313B3"/>
    <w:rPr>
      <w:rFonts w:ascii="Times New Roman" w:eastAsia="Times New Roman" w:hAnsi="Times New Roman" w:cs="Times New Roman"/>
      <w:sz w:val="24"/>
      <w:szCs w:val="20"/>
    </w:rPr>
  </w:style>
  <w:style w:type="paragraph" w:customStyle="1" w:styleId="Pleading1L6">
    <w:name w:val="Pleading1_L6"/>
    <w:basedOn w:val="Pleading1L5"/>
    <w:next w:val="BodyText"/>
    <w:link w:val="Pleading1L6Char"/>
    <w:rsid w:val="006313B3"/>
    <w:pPr>
      <w:numPr>
        <w:ilvl w:val="5"/>
      </w:numPr>
      <w:outlineLvl w:val="5"/>
    </w:pPr>
  </w:style>
  <w:style w:type="character" w:customStyle="1" w:styleId="Pleading1L6Char">
    <w:name w:val="Pleading1_L6 Char"/>
    <w:basedOn w:val="DefaultParagraphFont"/>
    <w:link w:val="Pleading1L6"/>
    <w:rsid w:val="006313B3"/>
    <w:rPr>
      <w:rFonts w:ascii="Times New Roman" w:eastAsia="Times New Roman" w:hAnsi="Times New Roman" w:cs="Times New Roman"/>
      <w:sz w:val="24"/>
      <w:szCs w:val="20"/>
    </w:rPr>
  </w:style>
  <w:style w:type="paragraph" w:customStyle="1" w:styleId="Pleading1L7">
    <w:name w:val="Pleading1_L7"/>
    <w:basedOn w:val="Pleading1L6"/>
    <w:next w:val="BodyText"/>
    <w:link w:val="Pleading1L7Char"/>
    <w:rsid w:val="006313B3"/>
    <w:pPr>
      <w:numPr>
        <w:ilvl w:val="6"/>
      </w:numPr>
      <w:outlineLvl w:val="6"/>
    </w:pPr>
  </w:style>
  <w:style w:type="character" w:customStyle="1" w:styleId="Pleading1L7Char">
    <w:name w:val="Pleading1_L7 Char"/>
    <w:basedOn w:val="DefaultParagraphFont"/>
    <w:link w:val="Pleading1L7"/>
    <w:rsid w:val="006313B3"/>
    <w:rPr>
      <w:rFonts w:ascii="Times New Roman" w:eastAsia="Times New Roman" w:hAnsi="Times New Roman" w:cs="Times New Roman"/>
      <w:sz w:val="24"/>
      <w:szCs w:val="20"/>
    </w:rPr>
  </w:style>
  <w:style w:type="paragraph" w:customStyle="1" w:styleId="Pleading1L8">
    <w:name w:val="Pleading1_L8"/>
    <w:basedOn w:val="Pleading1L7"/>
    <w:next w:val="BodyText"/>
    <w:link w:val="Pleading1L8Char"/>
    <w:rsid w:val="006313B3"/>
    <w:pPr>
      <w:numPr>
        <w:ilvl w:val="7"/>
      </w:numPr>
      <w:outlineLvl w:val="7"/>
    </w:pPr>
  </w:style>
  <w:style w:type="character" w:customStyle="1" w:styleId="Pleading1L8Char">
    <w:name w:val="Pleading1_L8 Char"/>
    <w:basedOn w:val="DefaultParagraphFont"/>
    <w:link w:val="Pleading1L8"/>
    <w:rsid w:val="006313B3"/>
    <w:rPr>
      <w:rFonts w:ascii="Times New Roman" w:eastAsia="Times New Roman" w:hAnsi="Times New Roman" w:cs="Times New Roman"/>
      <w:sz w:val="24"/>
      <w:szCs w:val="20"/>
    </w:rPr>
  </w:style>
  <w:style w:type="paragraph" w:customStyle="1" w:styleId="Pleading1L9">
    <w:name w:val="Pleading1_L9"/>
    <w:basedOn w:val="Pleading1L8"/>
    <w:next w:val="BodyText"/>
    <w:link w:val="Pleading1L9Char"/>
    <w:rsid w:val="006313B3"/>
    <w:pPr>
      <w:numPr>
        <w:ilvl w:val="8"/>
      </w:numPr>
      <w:outlineLvl w:val="8"/>
    </w:pPr>
  </w:style>
  <w:style w:type="character" w:customStyle="1" w:styleId="Pleading1L9Char">
    <w:name w:val="Pleading1_L9 Char"/>
    <w:basedOn w:val="DefaultParagraphFont"/>
    <w:link w:val="Pleading1L9"/>
    <w:rsid w:val="006313B3"/>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301D1E"/>
    <w:rPr>
      <w:sz w:val="20"/>
      <w:szCs w:val="20"/>
    </w:rPr>
  </w:style>
  <w:style w:type="character" w:customStyle="1" w:styleId="FootnoteTextChar">
    <w:name w:val="Footnote Text Char"/>
    <w:basedOn w:val="DefaultParagraphFont"/>
    <w:link w:val="FootnoteText"/>
    <w:uiPriority w:val="99"/>
    <w:semiHidden/>
    <w:rsid w:val="00301D1E"/>
    <w:rPr>
      <w:rFonts w:ascii="Times New Roman" w:hAnsi="Times New Roman"/>
      <w:sz w:val="20"/>
      <w:szCs w:val="20"/>
    </w:rPr>
  </w:style>
  <w:style w:type="character" w:styleId="FootnoteReference">
    <w:name w:val="footnote reference"/>
    <w:basedOn w:val="DefaultParagraphFont"/>
    <w:uiPriority w:val="99"/>
    <w:semiHidden/>
    <w:unhideWhenUsed/>
    <w:rsid w:val="00301D1E"/>
    <w:rPr>
      <w:vertAlign w:val="superscript"/>
    </w:rPr>
  </w:style>
  <w:style w:type="character" w:styleId="Hyperlink">
    <w:name w:val="Hyperlink"/>
    <w:basedOn w:val="DefaultParagraphFont"/>
    <w:uiPriority w:val="99"/>
    <w:unhideWhenUsed/>
    <w:rsid w:val="00214D6F"/>
    <w:rPr>
      <w:color w:val="0000FF" w:themeColor="hyperlink"/>
      <w:u w:val="single"/>
    </w:rPr>
  </w:style>
  <w:style w:type="paragraph" w:customStyle="1" w:styleId="MacPacTrailer">
    <w:name w:val="MacPac Trailer"/>
    <w:rsid w:val="0016266E"/>
    <w:pPr>
      <w:widowControl w:val="0"/>
      <w:spacing w:after="0" w:line="200" w:lineRule="exact"/>
    </w:pPr>
    <w:rPr>
      <w:rFonts w:ascii="Times New Roman" w:eastAsia="Times New Roman" w:hAnsi="Times New Roman" w:cs="Times New Roman"/>
      <w:sz w:val="16"/>
    </w:rPr>
  </w:style>
  <w:style w:type="paragraph" w:styleId="BalloonText">
    <w:name w:val="Balloon Text"/>
    <w:basedOn w:val="Normal"/>
    <w:link w:val="BalloonTextChar"/>
    <w:uiPriority w:val="99"/>
    <w:semiHidden/>
    <w:unhideWhenUsed/>
    <w:rsid w:val="00C26D8E"/>
    <w:rPr>
      <w:rFonts w:ascii="Tahoma" w:hAnsi="Tahoma" w:cs="Tahoma"/>
      <w:sz w:val="16"/>
      <w:szCs w:val="16"/>
    </w:rPr>
  </w:style>
  <w:style w:type="character" w:customStyle="1" w:styleId="BalloonTextChar">
    <w:name w:val="Balloon Text Char"/>
    <w:basedOn w:val="DefaultParagraphFont"/>
    <w:link w:val="BalloonText"/>
    <w:uiPriority w:val="99"/>
    <w:semiHidden/>
    <w:rsid w:val="00C26D8E"/>
    <w:rPr>
      <w:rFonts w:ascii="Tahoma" w:hAnsi="Tahoma" w:cs="Tahoma"/>
      <w:sz w:val="16"/>
      <w:szCs w:val="16"/>
    </w:rPr>
  </w:style>
  <w:style w:type="character" w:styleId="PlaceholderText">
    <w:name w:val="Placeholder Text"/>
    <w:basedOn w:val="DefaultParagraphFont"/>
    <w:uiPriority w:val="99"/>
    <w:semiHidden/>
    <w:rsid w:val="00C26D8E"/>
    <w:rPr>
      <w:color w:val="808080"/>
    </w:rPr>
  </w:style>
  <w:style w:type="character" w:customStyle="1" w:styleId="apple-style-span">
    <w:name w:val="apple-style-span"/>
    <w:basedOn w:val="DefaultParagraphFont"/>
    <w:rsid w:val="00A65A09"/>
  </w:style>
  <w:style w:type="paragraph" w:styleId="PlainText">
    <w:name w:val="Plain Text"/>
    <w:basedOn w:val="Normal"/>
    <w:link w:val="PlainTextChar"/>
    <w:uiPriority w:val="99"/>
    <w:unhideWhenUsed/>
    <w:rsid w:val="00FE5051"/>
    <w:rPr>
      <w:rFonts w:ascii="Calibri" w:hAnsi="Calibri"/>
      <w:sz w:val="22"/>
      <w:szCs w:val="21"/>
    </w:rPr>
  </w:style>
  <w:style w:type="character" w:customStyle="1" w:styleId="PlainTextChar">
    <w:name w:val="Plain Text Char"/>
    <w:basedOn w:val="DefaultParagraphFont"/>
    <w:link w:val="PlainText"/>
    <w:uiPriority w:val="99"/>
    <w:rsid w:val="00FE5051"/>
    <w:rPr>
      <w:rFonts w:ascii="Calibri" w:hAnsi="Calibri"/>
      <w:szCs w:val="21"/>
    </w:rPr>
  </w:style>
  <w:style w:type="paragraph" w:styleId="ListParagraph">
    <w:name w:val="List Paragraph"/>
    <w:basedOn w:val="Normal"/>
    <w:uiPriority w:val="34"/>
    <w:qFormat/>
    <w:rsid w:val="00A71A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115539">
      <w:bodyDiv w:val="1"/>
      <w:marLeft w:val="0"/>
      <w:marRight w:val="0"/>
      <w:marTop w:val="0"/>
      <w:marBottom w:val="0"/>
      <w:divBdr>
        <w:top w:val="none" w:sz="0" w:space="0" w:color="auto"/>
        <w:left w:val="none" w:sz="0" w:space="0" w:color="auto"/>
        <w:bottom w:val="none" w:sz="0" w:space="0" w:color="auto"/>
        <w:right w:val="none" w:sz="0" w:space="0" w:color="auto"/>
      </w:divBdr>
    </w:div>
    <w:div w:id="1276212130">
      <w:bodyDiv w:val="1"/>
      <w:marLeft w:val="0"/>
      <w:marRight w:val="0"/>
      <w:marTop w:val="0"/>
      <w:marBottom w:val="0"/>
      <w:divBdr>
        <w:top w:val="none" w:sz="0" w:space="0" w:color="auto"/>
        <w:left w:val="none" w:sz="0" w:space="0" w:color="auto"/>
        <w:bottom w:val="none" w:sz="0" w:space="0" w:color="auto"/>
        <w:right w:val="none" w:sz="0" w:space="0" w:color="auto"/>
      </w:divBdr>
    </w:div>
    <w:div w:id="194683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53164-4789-4FAD-82A6-188E7619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Snell &amp; Wilmer L.L.P.</Company>
  <LinksUpToDate>false</LinksUpToDate>
  <CharactersWithSpaces>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Koschney, Linda</dc:creator>
  <cp:lastModifiedBy>Hobbs, Tracy</cp:lastModifiedBy>
  <cp:revision>2</cp:revision>
  <cp:lastPrinted>2017-06-16T21:18:00Z</cp:lastPrinted>
  <dcterms:created xsi:type="dcterms:W3CDTF">2017-06-22T20:49:00Z</dcterms:created>
  <dcterms:modified xsi:type="dcterms:W3CDTF">2017-06-22T20:49:00Z</dcterms:modified>
</cp:coreProperties>
</file>