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8CFA7A" w14:textId="77777777" w:rsidR="0011658E" w:rsidRPr="00ED3904" w:rsidRDefault="00ED3904" w:rsidP="00ED3904">
      <w:pPr>
        <w:pStyle w:val="StyleDBodyFLIndentLeft-013Firstline0"/>
        <w:spacing w:line="240" w:lineRule="auto"/>
        <w:ind w:left="0" w:firstLine="0"/>
        <w:rPr>
          <w:sz w:val="28"/>
          <w:szCs w:val="28"/>
        </w:rPr>
      </w:pPr>
      <w:bookmarkStart w:id="0" w:name="_GoBack"/>
      <w:bookmarkEnd w:id="0"/>
      <w:r>
        <w:rPr>
          <w:sz w:val="28"/>
          <w:szCs w:val="28"/>
        </w:rPr>
        <w:t>Gregory W. Falls</w:t>
      </w:r>
    </w:p>
    <w:p w14:paraId="267217C1" w14:textId="77777777" w:rsidR="0011658E" w:rsidRPr="00ED3904" w:rsidRDefault="0011658E" w:rsidP="00ED3904">
      <w:pPr>
        <w:pStyle w:val="StyleDBodyFLIndentLeft-013Firstline0"/>
        <w:spacing w:line="240" w:lineRule="auto"/>
        <w:ind w:left="0" w:firstLine="0"/>
        <w:rPr>
          <w:sz w:val="28"/>
          <w:szCs w:val="28"/>
        </w:rPr>
      </w:pPr>
      <w:r w:rsidRPr="00ED3904">
        <w:rPr>
          <w:sz w:val="28"/>
          <w:szCs w:val="28"/>
        </w:rPr>
        <w:t>Sherman &amp; Howard L.L.C.</w:t>
      </w:r>
    </w:p>
    <w:p w14:paraId="0205FD24" w14:textId="77777777" w:rsidR="00ED3904" w:rsidRDefault="0011658E" w:rsidP="00ED3904">
      <w:pPr>
        <w:pStyle w:val="StyleDBodyFLIndentLeft-013Firstline0"/>
        <w:spacing w:line="240" w:lineRule="auto"/>
        <w:ind w:left="0" w:firstLine="0"/>
        <w:rPr>
          <w:sz w:val="28"/>
          <w:szCs w:val="28"/>
        </w:rPr>
      </w:pPr>
      <w:bookmarkStart w:id="1" w:name="Address"/>
      <w:r w:rsidRPr="00ED3904">
        <w:rPr>
          <w:sz w:val="28"/>
          <w:szCs w:val="28"/>
        </w:rPr>
        <w:t>201 East Washington Street, Suite 800</w:t>
      </w:r>
    </w:p>
    <w:p w14:paraId="3ACD0022" w14:textId="77777777" w:rsidR="0011658E" w:rsidRPr="00ED3904" w:rsidRDefault="0011658E" w:rsidP="00ED3904">
      <w:pPr>
        <w:pStyle w:val="StyleDBodyFLIndentLeft-013Firstline0"/>
        <w:spacing w:line="240" w:lineRule="auto"/>
        <w:ind w:left="0" w:firstLine="0"/>
        <w:rPr>
          <w:sz w:val="28"/>
          <w:szCs w:val="28"/>
        </w:rPr>
      </w:pPr>
      <w:r w:rsidRPr="00ED3904">
        <w:rPr>
          <w:sz w:val="28"/>
          <w:szCs w:val="28"/>
        </w:rPr>
        <w:t>Phoenix, Arizona 85004-2327</w:t>
      </w:r>
      <w:bookmarkEnd w:id="1"/>
    </w:p>
    <w:p w14:paraId="658AD8B7" w14:textId="77777777" w:rsidR="00ED3904" w:rsidRDefault="0011658E" w:rsidP="00ED3904">
      <w:pPr>
        <w:pStyle w:val="StyleDBodyFLIndentLeft-013Firstline0"/>
        <w:spacing w:line="240" w:lineRule="auto"/>
        <w:ind w:left="0" w:firstLine="0"/>
        <w:rPr>
          <w:sz w:val="28"/>
          <w:szCs w:val="28"/>
        </w:rPr>
      </w:pPr>
      <w:bookmarkStart w:id="2" w:name="Phone"/>
      <w:r w:rsidRPr="00ED3904">
        <w:rPr>
          <w:sz w:val="28"/>
          <w:szCs w:val="28"/>
        </w:rPr>
        <w:t xml:space="preserve">Telephone: </w:t>
      </w:r>
      <w:r w:rsidR="00ED3904">
        <w:rPr>
          <w:sz w:val="28"/>
          <w:szCs w:val="28"/>
        </w:rPr>
        <w:t xml:space="preserve"> </w:t>
      </w:r>
      <w:r w:rsidRPr="00ED3904">
        <w:rPr>
          <w:sz w:val="28"/>
          <w:szCs w:val="28"/>
        </w:rPr>
        <w:t>(602) 240-3000</w:t>
      </w:r>
    </w:p>
    <w:p w14:paraId="1AA8D673" w14:textId="77777777" w:rsidR="0011658E" w:rsidRPr="00ED3904" w:rsidRDefault="0011658E" w:rsidP="00ED3904">
      <w:pPr>
        <w:pStyle w:val="StyleDBodyFLIndentLeft-013Firstline0"/>
        <w:spacing w:line="240" w:lineRule="auto"/>
        <w:ind w:left="0" w:firstLine="0"/>
        <w:rPr>
          <w:sz w:val="28"/>
          <w:szCs w:val="28"/>
        </w:rPr>
      </w:pPr>
      <w:r w:rsidRPr="00ED3904">
        <w:rPr>
          <w:sz w:val="28"/>
          <w:szCs w:val="28"/>
        </w:rPr>
        <w:t>Fax:</w:t>
      </w:r>
      <w:r w:rsidR="00ED3904">
        <w:rPr>
          <w:sz w:val="28"/>
          <w:szCs w:val="28"/>
        </w:rPr>
        <w:t xml:space="preserve"> </w:t>
      </w:r>
      <w:r w:rsidRPr="00ED3904">
        <w:rPr>
          <w:sz w:val="28"/>
          <w:szCs w:val="28"/>
        </w:rPr>
        <w:t xml:space="preserve"> (602) 240-6600</w:t>
      </w:r>
      <w:bookmarkEnd w:id="2"/>
    </w:p>
    <w:p w14:paraId="5A37B7D1" w14:textId="77777777" w:rsidR="0011658E" w:rsidRPr="00ED3904" w:rsidRDefault="00ED3904" w:rsidP="00ED3904">
      <w:pPr>
        <w:pStyle w:val="StyleDBodyFLIndentLeft-013Firstline0"/>
        <w:spacing w:line="240" w:lineRule="auto"/>
        <w:ind w:left="0" w:firstLine="0"/>
        <w:rPr>
          <w:sz w:val="28"/>
          <w:szCs w:val="28"/>
        </w:rPr>
      </w:pPr>
      <w:bookmarkStart w:id="3" w:name="Atty1"/>
      <w:r>
        <w:rPr>
          <w:sz w:val="28"/>
          <w:szCs w:val="28"/>
        </w:rPr>
        <w:t xml:space="preserve">Arizona </w:t>
      </w:r>
      <w:proofErr w:type="gramStart"/>
      <w:r>
        <w:rPr>
          <w:sz w:val="28"/>
          <w:szCs w:val="28"/>
        </w:rPr>
        <w:t>Bar</w:t>
      </w:r>
      <w:proofErr w:type="gramEnd"/>
      <w:r>
        <w:rPr>
          <w:sz w:val="28"/>
          <w:szCs w:val="28"/>
        </w:rPr>
        <w:t xml:space="preserve"> No. 011206</w:t>
      </w:r>
    </w:p>
    <w:p w14:paraId="2693B60D" w14:textId="77777777" w:rsidR="0011658E" w:rsidRPr="00ED3904" w:rsidRDefault="0011658E" w:rsidP="00ED3904">
      <w:pPr>
        <w:pStyle w:val="StyleDBodyFLIndentLeft-013Firstline0"/>
        <w:spacing w:line="240" w:lineRule="auto"/>
        <w:ind w:left="0" w:firstLine="0"/>
        <w:rPr>
          <w:sz w:val="28"/>
          <w:szCs w:val="28"/>
        </w:rPr>
      </w:pPr>
      <w:r w:rsidRPr="00ED3904">
        <w:rPr>
          <w:sz w:val="28"/>
          <w:szCs w:val="28"/>
        </w:rPr>
        <w:t>GFalls@ShermanHoward.com</w:t>
      </w:r>
    </w:p>
    <w:bookmarkEnd w:id="3"/>
    <w:p w14:paraId="0BBBE47F" w14:textId="77777777" w:rsidR="0011658E" w:rsidRPr="00ED3904" w:rsidRDefault="0011658E" w:rsidP="00ED3904">
      <w:pPr>
        <w:pStyle w:val="StyleDBodyFLIndentLeft-013Firstline0"/>
        <w:spacing w:before="40"/>
        <w:ind w:right="576" w:firstLine="720"/>
        <w:rPr>
          <w:sz w:val="28"/>
          <w:szCs w:val="28"/>
        </w:rPr>
      </w:pPr>
    </w:p>
    <w:p w14:paraId="42399276" w14:textId="77777777" w:rsidR="00277A39" w:rsidRPr="00F430EE" w:rsidRDefault="000067FF" w:rsidP="00ED3904">
      <w:pPr>
        <w:pStyle w:val="CourtTitle"/>
        <w:widowControl w:val="0"/>
        <w:spacing w:line="240" w:lineRule="auto"/>
        <w:rPr>
          <w:sz w:val="28"/>
          <w:szCs w:val="28"/>
        </w:rPr>
      </w:pPr>
      <w:bookmarkStart w:id="4" w:name="Court"/>
      <w:r w:rsidRPr="00F430EE">
        <w:rPr>
          <w:sz w:val="28"/>
          <w:szCs w:val="28"/>
        </w:rPr>
        <w:t>IN THE SUPREME COURT</w:t>
      </w:r>
    </w:p>
    <w:p w14:paraId="35B486CB" w14:textId="77777777" w:rsidR="000067FF" w:rsidRPr="00F430EE" w:rsidRDefault="000067FF" w:rsidP="00ED3904">
      <w:pPr>
        <w:pStyle w:val="CourtTitle"/>
        <w:widowControl w:val="0"/>
        <w:spacing w:line="240" w:lineRule="auto"/>
        <w:rPr>
          <w:sz w:val="28"/>
          <w:szCs w:val="28"/>
        </w:rPr>
      </w:pPr>
      <w:r w:rsidRPr="00F430EE">
        <w:rPr>
          <w:sz w:val="28"/>
          <w:szCs w:val="28"/>
        </w:rPr>
        <w:t>STATE OF ARIZONA</w:t>
      </w:r>
    </w:p>
    <w:p w14:paraId="69A3EFFD" w14:textId="77777777" w:rsidR="00277A39" w:rsidRPr="00F430EE" w:rsidRDefault="00277A39" w:rsidP="00277A39">
      <w:pPr>
        <w:pStyle w:val="CourtTitle"/>
        <w:spacing w:line="240" w:lineRule="auto"/>
        <w:rPr>
          <w:sz w:val="28"/>
          <w:szCs w:val="28"/>
        </w:rPr>
      </w:pPr>
    </w:p>
    <w:tbl>
      <w:tblPr>
        <w:tblW w:w="9450" w:type="dxa"/>
        <w:tblInd w:w="-65" w:type="dxa"/>
        <w:tblLayout w:type="fixed"/>
        <w:tblCellMar>
          <w:left w:w="115" w:type="dxa"/>
          <w:right w:w="115" w:type="dxa"/>
        </w:tblCellMar>
        <w:tblLook w:val="0000" w:firstRow="0" w:lastRow="0" w:firstColumn="0" w:lastColumn="0" w:noHBand="0" w:noVBand="0"/>
      </w:tblPr>
      <w:tblGrid>
        <w:gridCol w:w="4705"/>
        <w:gridCol w:w="4745"/>
      </w:tblGrid>
      <w:tr w:rsidR="0011658E" w:rsidRPr="00F430EE" w14:paraId="68CE4A9E" w14:textId="77777777" w:rsidTr="00495F13">
        <w:trPr>
          <w:trHeight w:val="1890"/>
        </w:trPr>
        <w:tc>
          <w:tcPr>
            <w:tcW w:w="4705" w:type="dxa"/>
            <w:tcBorders>
              <w:bottom w:val="single" w:sz="4" w:space="0" w:color="auto"/>
              <w:right w:val="single" w:sz="4" w:space="0" w:color="auto"/>
            </w:tcBorders>
          </w:tcPr>
          <w:p w14:paraId="513A995F" w14:textId="77777777" w:rsidR="0011658E" w:rsidRPr="00F430EE" w:rsidRDefault="0011658E" w:rsidP="00ED3904">
            <w:pPr>
              <w:spacing w:line="240" w:lineRule="auto"/>
              <w:rPr>
                <w:sz w:val="28"/>
                <w:szCs w:val="28"/>
              </w:rPr>
            </w:pPr>
            <w:bookmarkStart w:id="5" w:name="Caption1"/>
            <w:bookmarkEnd w:id="4"/>
            <w:r w:rsidRPr="00F430EE">
              <w:rPr>
                <w:sz w:val="28"/>
                <w:szCs w:val="28"/>
              </w:rPr>
              <w:t>In the Matter of</w:t>
            </w:r>
            <w:r w:rsidR="000067FF" w:rsidRPr="00F430EE">
              <w:rPr>
                <w:sz w:val="28"/>
                <w:szCs w:val="28"/>
              </w:rPr>
              <w:t>:</w:t>
            </w:r>
          </w:p>
          <w:p w14:paraId="501AB0E5" w14:textId="77777777" w:rsidR="0011658E" w:rsidRPr="00F430EE" w:rsidRDefault="0011658E" w:rsidP="00ED3904">
            <w:pPr>
              <w:spacing w:line="240" w:lineRule="auto"/>
              <w:rPr>
                <w:sz w:val="28"/>
                <w:szCs w:val="28"/>
              </w:rPr>
            </w:pPr>
          </w:p>
          <w:p w14:paraId="2B0123CC" w14:textId="77777777" w:rsidR="000067FF" w:rsidRPr="00F430EE" w:rsidRDefault="000067FF" w:rsidP="00ED3904">
            <w:pPr>
              <w:spacing w:line="240" w:lineRule="auto"/>
              <w:rPr>
                <w:sz w:val="28"/>
                <w:szCs w:val="28"/>
              </w:rPr>
            </w:pPr>
          </w:p>
          <w:bookmarkEnd w:id="5"/>
          <w:p w14:paraId="65C72472" w14:textId="41364BD3" w:rsidR="0011658E" w:rsidRPr="00F430EE" w:rsidRDefault="000067FF" w:rsidP="00ED3904">
            <w:pPr>
              <w:pStyle w:val="pldCapt"/>
              <w:spacing w:line="240" w:lineRule="auto"/>
              <w:ind w:left="0"/>
              <w:rPr>
                <w:sz w:val="28"/>
                <w:szCs w:val="28"/>
              </w:rPr>
            </w:pPr>
            <w:r w:rsidRPr="00F430EE">
              <w:rPr>
                <w:sz w:val="28"/>
                <w:szCs w:val="28"/>
              </w:rPr>
              <w:t>PETITION TO AMEND RULE</w:t>
            </w:r>
            <w:r w:rsidR="00D05523">
              <w:rPr>
                <w:sz w:val="28"/>
                <w:szCs w:val="28"/>
              </w:rPr>
              <w:t>S</w:t>
            </w:r>
            <w:r w:rsidRPr="00F430EE">
              <w:rPr>
                <w:sz w:val="28"/>
                <w:szCs w:val="28"/>
              </w:rPr>
              <w:t xml:space="preserve"> 32</w:t>
            </w:r>
            <w:r w:rsidR="00D05523">
              <w:rPr>
                <w:sz w:val="28"/>
                <w:szCs w:val="28"/>
              </w:rPr>
              <w:t>(c) and (d)</w:t>
            </w:r>
            <w:r w:rsidRPr="00F430EE">
              <w:rPr>
                <w:sz w:val="28"/>
                <w:szCs w:val="28"/>
              </w:rPr>
              <w:t xml:space="preserve">, </w:t>
            </w:r>
            <w:r w:rsidR="00ED3904" w:rsidRPr="00ED3904">
              <w:rPr>
                <w:caps/>
                <w:sz w:val="28"/>
                <w:szCs w:val="28"/>
              </w:rPr>
              <w:t>Rules of the Supreme Court</w:t>
            </w:r>
          </w:p>
        </w:tc>
        <w:tc>
          <w:tcPr>
            <w:tcW w:w="4745" w:type="dxa"/>
            <w:tcBorders>
              <w:left w:val="single" w:sz="4" w:space="0" w:color="auto"/>
            </w:tcBorders>
          </w:tcPr>
          <w:p w14:paraId="23CE135D" w14:textId="77777777" w:rsidR="0011658E" w:rsidRPr="00F430EE" w:rsidRDefault="0011658E" w:rsidP="00ED3904">
            <w:pPr>
              <w:spacing w:line="240" w:lineRule="auto"/>
              <w:ind w:left="158"/>
              <w:rPr>
                <w:sz w:val="28"/>
                <w:szCs w:val="28"/>
              </w:rPr>
            </w:pPr>
          </w:p>
          <w:p w14:paraId="5A9E0666" w14:textId="7A8DE6CA" w:rsidR="000067FF" w:rsidRPr="00F430EE" w:rsidRDefault="007F6E69" w:rsidP="00ED3904">
            <w:pPr>
              <w:spacing w:line="240" w:lineRule="auto"/>
              <w:ind w:left="158"/>
              <w:rPr>
                <w:sz w:val="28"/>
                <w:szCs w:val="28"/>
              </w:rPr>
            </w:pPr>
            <w:r>
              <w:rPr>
                <w:sz w:val="28"/>
                <w:szCs w:val="28"/>
              </w:rPr>
              <w:t>Supreme Court No. R-17</w:t>
            </w:r>
            <w:r w:rsidR="000067FF" w:rsidRPr="00F430EE">
              <w:rPr>
                <w:sz w:val="28"/>
                <w:szCs w:val="28"/>
              </w:rPr>
              <w:t>-</w:t>
            </w:r>
            <w:r>
              <w:rPr>
                <w:sz w:val="28"/>
                <w:szCs w:val="28"/>
              </w:rPr>
              <w:t>0022</w:t>
            </w:r>
          </w:p>
          <w:p w14:paraId="7B686F76" w14:textId="77777777" w:rsidR="0011658E" w:rsidRPr="00F430EE" w:rsidRDefault="0011658E" w:rsidP="00ED3904">
            <w:pPr>
              <w:spacing w:line="240" w:lineRule="auto"/>
              <w:ind w:left="158"/>
              <w:rPr>
                <w:sz w:val="28"/>
                <w:szCs w:val="28"/>
              </w:rPr>
            </w:pPr>
          </w:p>
          <w:p w14:paraId="7088FE18" w14:textId="49E3D4BB" w:rsidR="00D2530C" w:rsidRPr="00ED3904" w:rsidRDefault="00A026E8" w:rsidP="00ED3904">
            <w:pPr>
              <w:spacing w:line="240" w:lineRule="auto"/>
              <w:ind w:left="158"/>
              <w:rPr>
                <w:b/>
                <w:sz w:val="28"/>
                <w:szCs w:val="28"/>
              </w:rPr>
            </w:pPr>
            <w:r>
              <w:rPr>
                <w:b/>
                <w:sz w:val="28"/>
                <w:szCs w:val="28"/>
              </w:rPr>
              <w:t xml:space="preserve">Reply </w:t>
            </w:r>
            <w:r w:rsidR="006D4F55">
              <w:rPr>
                <w:b/>
                <w:sz w:val="28"/>
                <w:szCs w:val="28"/>
              </w:rPr>
              <w:t>in Support of</w:t>
            </w:r>
            <w:r>
              <w:rPr>
                <w:b/>
                <w:sz w:val="28"/>
                <w:szCs w:val="28"/>
              </w:rPr>
              <w:t xml:space="preserve"> </w:t>
            </w:r>
            <w:r w:rsidR="003F5D6D" w:rsidRPr="00ED3904">
              <w:rPr>
                <w:b/>
                <w:sz w:val="28"/>
                <w:szCs w:val="28"/>
              </w:rPr>
              <w:t xml:space="preserve">Petition to Amend </w:t>
            </w:r>
            <w:r w:rsidR="00ED3904" w:rsidRPr="00ED3904">
              <w:rPr>
                <w:b/>
                <w:sz w:val="28"/>
                <w:szCs w:val="28"/>
              </w:rPr>
              <w:t>Rule</w:t>
            </w:r>
            <w:r w:rsidR="00D05523">
              <w:rPr>
                <w:b/>
                <w:sz w:val="28"/>
                <w:szCs w:val="28"/>
              </w:rPr>
              <w:t>s</w:t>
            </w:r>
            <w:r w:rsidR="00ED3904" w:rsidRPr="00ED3904">
              <w:rPr>
                <w:b/>
                <w:sz w:val="28"/>
                <w:szCs w:val="28"/>
              </w:rPr>
              <w:t xml:space="preserve"> 32</w:t>
            </w:r>
            <w:r w:rsidR="00D05523">
              <w:rPr>
                <w:b/>
                <w:sz w:val="28"/>
                <w:szCs w:val="28"/>
              </w:rPr>
              <w:t>(c) and (d)</w:t>
            </w:r>
            <w:r w:rsidR="00ED3904" w:rsidRPr="00ED3904">
              <w:rPr>
                <w:b/>
                <w:sz w:val="28"/>
                <w:szCs w:val="28"/>
              </w:rPr>
              <w:t>, Rules of the Supreme Court</w:t>
            </w:r>
          </w:p>
          <w:p w14:paraId="5288E537" w14:textId="77777777" w:rsidR="0093285D" w:rsidRPr="00F430EE" w:rsidRDefault="0093285D" w:rsidP="00ED3904">
            <w:pPr>
              <w:spacing w:line="240" w:lineRule="auto"/>
              <w:ind w:left="155"/>
              <w:rPr>
                <w:sz w:val="28"/>
                <w:szCs w:val="28"/>
              </w:rPr>
            </w:pPr>
          </w:p>
        </w:tc>
      </w:tr>
    </w:tbl>
    <w:p w14:paraId="4D116EDB" w14:textId="77777777" w:rsidR="00867635" w:rsidRDefault="00867635" w:rsidP="00D91C83">
      <w:pPr>
        <w:pStyle w:val="StyleDBodyFLIndentLeft-013Firstline0"/>
        <w:spacing w:line="480" w:lineRule="auto"/>
        <w:ind w:left="0" w:right="576" w:firstLine="720"/>
        <w:jc w:val="left"/>
        <w:rPr>
          <w:sz w:val="28"/>
          <w:szCs w:val="28"/>
        </w:rPr>
      </w:pPr>
      <w:bookmarkStart w:id="6" w:name="Start"/>
      <w:bookmarkEnd w:id="6"/>
    </w:p>
    <w:p w14:paraId="24750E7A" w14:textId="3437AC55" w:rsidR="007E0BED" w:rsidRDefault="007F6E69" w:rsidP="007F6E69">
      <w:pPr>
        <w:pStyle w:val="StyleDBodyFLIndentLeft-013Firstline0"/>
        <w:spacing w:line="480" w:lineRule="auto"/>
        <w:ind w:left="0" w:firstLine="720"/>
        <w:jc w:val="left"/>
        <w:rPr>
          <w:sz w:val="28"/>
          <w:szCs w:val="28"/>
        </w:rPr>
      </w:pPr>
      <w:r>
        <w:rPr>
          <w:sz w:val="28"/>
          <w:szCs w:val="28"/>
        </w:rPr>
        <w:t>“</w:t>
      </w:r>
      <w:r w:rsidRPr="007F6E69">
        <w:rPr>
          <w:sz w:val="28"/>
          <w:szCs w:val="28"/>
        </w:rPr>
        <w:t xml:space="preserve">Bureaucracy is ever desirous of spreading its influence and its power. </w:t>
      </w:r>
      <w:r>
        <w:rPr>
          <w:sz w:val="28"/>
          <w:szCs w:val="28"/>
        </w:rPr>
        <w:t xml:space="preserve"> </w:t>
      </w:r>
      <w:r w:rsidRPr="007F6E69">
        <w:rPr>
          <w:sz w:val="28"/>
          <w:szCs w:val="28"/>
        </w:rPr>
        <w:t xml:space="preserve">You </w:t>
      </w:r>
      <w:proofErr w:type="gramStart"/>
      <w:r w:rsidRPr="007F6E69">
        <w:rPr>
          <w:sz w:val="28"/>
          <w:szCs w:val="28"/>
        </w:rPr>
        <w:t>cannot</w:t>
      </w:r>
      <w:proofErr w:type="gramEnd"/>
      <w:r w:rsidRPr="007F6E69">
        <w:rPr>
          <w:sz w:val="28"/>
          <w:szCs w:val="28"/>
        </w:rPr>
        <w:t xml:space="preserve"> extend the mastery of the government over the daily working life of a people without at the same time making it the master of the people's souls and thoughts.</w:t>
      </w:r>
      <w:r>
        <w:rPr>
          <w:sz w:val="28"/>
          <w:szCs w:val="28"/>
        </w:rPr>
        <w:t xml:space="preserve">” </w:t>
      </w:r>
      <w:r w:rsidRPr="007F6E69">
        <w:rPr>
          <w:sz w:val="28"/>
          <w:szCs w:val="28"/>
        </w:rPr>
        <w:t xml:space="preserve"> </w:t>
      </w:r>
      <w:proofErr w:type="gramStart"/>
      <w:r w:rsidR="00401494" w:rsidRPr="007F6E69">
        <w:rPr>
          <w:sz w:val="28"/>
          <w:szCs w:val="28"/>
        </w:rPr>
        <w:t xml:space="preserve">Herbert Hoover, </w:t>
      </w:r>
      <w:r w:rsidR="00401494">
        <w:rPr>
          <w:sz w:val="28"/>
          <w:szCs w:val="28"/>
        </w:rPr>
        <w:t>S</w:t>
      </w:r>
      <w:r w:rsidR="00401494" w:rsidRPr="007F6E69">
        <w:rPr>
          <w:sz w:val="28"/>
          <w:szCs w:val="28"/>
        </w:rPr>
        <w:t xml:space="preserve">peech in New York </w:t>
      </w:r>
      <w:r w:rsidR="00401494">
        <w:rPr>
          <w:sz w:val="28"/>
          <w:szCs w:val="28"/>
        </w:rPr>
        <w:t>(</w:t>
      </w:r>
      <w:r w:rsidR="00401494" w:rsidRPr="007F6E69">
        <w:rPr>
          <w:sz w:val="28"/>
          <w:szCs w:val="28"/>
        </w:rPr>
        <w:t>Oct</w:t>
      </w:r>
      <w:r w:rsidR="00401494">
        <w:rPr>
          <w:sz w:val="28"/>
          <w:szCs w:val="28"/>
        </w:rPr>
        <w:t>.</w:t>
      </w:r>
      <w:r w:rsidR="00401494" w:rsidRPr="007F6E69">
        <w:rPr>
          <w:sz w:val="28"/>
          <w:szCs w:val="28"/>
        </w:rPr>
        <w:t xml:space="preserve"> </w:t>
      </w:r>
      <w:r w:rsidR="00401494">
        <w:rPr>
          <w:sz w:val="28"/>
          <w:szCs w:val="28"/>
        </w:rPr>
        <w:t xml:space="preserve">22, </w:t>
      </w:r>
      <w:r w:rsidR="00401494" w:rsidRPr="007F6E69">
        <w:rPr>
          <w:sz w:val="28"/>
          <w:szCs w:val="28"/>
        </w:rPr>
        <w:t>1928</w:t>
      </w:r>
      <w:r w:rsidR="00401494">
        <w:rPr>
          <w:sz w:val="28"/>
          <w:szCs w:val="28"/>
        </w:rPr>
        <w:t>), in A Documentary History of the United States 355 (R. Heffner &amp; A. Heffner, eds., 9th ed. 2013).</w:t>
      </w:r>
      <w:proofErr w:type="gramEnd"/>
      <w:r w:rsidR="00401494">
        <w:rPr>
          <w:sz w:val="28"/>
          <w:szCs w:val="28"/>
        </w:rPr>
        <w:t xml:space="preserve">  </w:t>
      </w:r>
      <w:r w:rsidR="00441D70" w:rsidRPr="007F6E69">
        <w:rPr>
          <w:i/>
          <w:sz w:val="28"/>
          <w:szCs w:val="28"/>
        </w:rPr>
        <w:t>See also</w:t>
      </w:r>
      <w:r w:rsidR="00441D70">
        <w:rPr>
          <w:sz w:val="28"/>
          <w:szCs w:val="28"/>
        </w:rPr>
        <w:t xml:space="preserve"> </w:t>
      </w:r>
      <w:r w:rsidR="00441D70" w:rsidRPr="007F6E69">
        <w:rPr>
          <w:sz w:val="28"/>
          <w:szCs w:val="28"/>
        </w:rPr>
        <w:t>Cyril Northcote Parkinson</w:t>
      </w:r>
      <w:r w:rsidR="00441D70">
        <w:rPr>
          <w:sz w:val="28"/>
          <w:szCs w:val="28"/>
        </w:rPr>
        <w:t>,</w:t>
      </w:r>
      <w:r w:rsidR="00441D70" w:rsidRPr="007F6E69">
        <w:rPr>
          <w:sz w:val="28"/>
          <w:szCs w:val="28"/>
        </w:rPr>
        <w:t xml:space="preserve"> </w:t>
      </w:r>
      <w:r w:rsidR="00441D70" w:rsidRPr="007F6E69">
        <w:rPr>
          <w:i/>
          <w:sz w:val="28"/>
          <w:szCs w:val="28"/>
        </w:rPr>
        <w:t>Parkinson</w:t>
      </w:r>
      <w:r w:rsidR="00441D70">
        <w:rPr>
          <w:i/>
          <w:sz w:val="28"/>
          <w:szCs w:val="28"/>
        </w:rPr>
        <w:t>’</w:t>
      </w:r>
      <w:r w:rsidR="00441D70" w:rsidRPr="007F6E69">
        <w:rPr>
          <w:i/>
          <w:sz w:val="28"/>
          <w:szCs w:val="28"/>
        </w:rPr>
        <w:t>s Law</w:t>
      </w:r>
      <w:r w:rsidR="00441D70">
        <w:rPr>
          <w:sz w:val="28"/>
          <w:szCs w:val="28"/>
        </w:rPr>
        <w:t>,</w:t>
      </w:r>
      <w:r w:rsidR="00441D70" w:rsidRPr="007F6E69">
        <w:rPr>
          <w:sz w:val="28"/>
          <w:szCs w:val="28"/>
        </w:rPr>
        <w:t xml:space="preserve"> </w:t>
      </w:r>
      <w:r w:rsidR="00441D70" w:rsidRPr="00336E07">
        <w:rPr>
          <w:smallCaps/>
          <w:sz w:val="28"/>
          <w:szCs w:val="28"/>
        </w:rPr>
        <w:t>The Economist</w:t>
      </w:r>
      <w:r w:rsidR="00441D70" w:rsidRPr="007F6E69">
        <w:rPr>
          <w:sz w:val="28"/>
          <w:szCs w:val="28"/>
        </w:rPr>
        <w:t xml:space="preserve"> (Nov</w:t>
      </w:r>
      <w:r w:rsidR="00441D70">
        <w:rPr>
          <w:sz w:val="28"/>
          <w:szCs w:val="28"/>
        </w:rPr>
        <w:t>.</w:t>
      </w:r>
      <w:r w:rsidR="00441D70" w:rsidRPr="007F6E69">
        <w:rPr>
          <w:sz w:val="28"/>
          <w:szCs w:val="28"/>
        </w:rPr>
        <w:t xml:space="preserve"> </w:t>
      </w:r>
      <w:r w:rsidR="00441D70">
        <w:rPr>
          <w:sz w:val="28"/>
          <w:szCs w:val="28"/>
        </w:rPr>
        <w:t xml:space="preserve">19, </w:t>
      </w:r>
      <w:r w:rsidR="00441D70" w:rsidRPr="007F6E69">
        <w:rPr>
          <w:sz w:val="28"/>
          <w:szCs w:val="28"/>
        </w:rPr>
        <w:t>1955)</w:t>
      </w:r>
      <w:r w:rsidR="00441D70">
        <w:rPr>
          <w:rStyle w:val="FootnoteReference"/>
          <w:sz w:val="28"/>
          <w:szCs w:val="28"/>
        </w:rPr>
        <w:footnoteReference w:id="1"/>
      </w:r>
      <w:r w:rsidR="00441D70">
        <w:rPr>
          <w:sz w:val="28"/>
          <w:szCs w:val="28"/>
        </w:rPr>
        <w:t xml:space="preserve"> </w:t>
      </w:r>
      <w:r>
        <w:rPr>
          <w:sz w:val="28"/>
          <w:szCs w:val="28"/>
        </w:rPr>
        <w:t>(in the field of public administration, growth is inevitable irrespective of the amount of work to be done)</w:t>
      </w:r>
      <w:r w:rsidRPr="007F6E69">
        <w:rPr>
          <w:sz w:val="28"/>
          <w:szCs w:val="28"/>
        </w:rPr>
        <w:t>.</w:t>
      </w:r>
      <w:r>
        <w:rPr>
          <w:sz w:val="28"/>
          <w:szCs w:val="28"/>
        </w:rPr>
        <w:t xml:space="preserve">  </w:t>
      </w:r>
    </w:p>
    <w:p w14:paraId="5B97ACDE" w14:textId="36976549" w:rsidR="005F4CE7" w:rsidRDefault="00441D70" w:rsidP="007F6E69">
      <w:pPr>
        <w:pStyle w:val="StyleDBodyFLIndentLeft-013Firstline0"/>
        <w:spacing w:line="480" w:lineRule="auto"/>
        <w:ind w:left="0" w:firstLine="720"/>
        <w:jc w:val="left"/>
        <w:rPr>
          <w:sz w:val="28"/>
          <w:szCs w:val="28"/>
        </w:rPr>
      </w:pPr>
      <w:r>
        <w:rPr>
          <w:sz w:val="28"/>
          <w:szCs w:val="28"/>
        </w:rPr>
        <w:lastRenderedPageBreak/>
        <w:t>In 1902, annual Arizona State Bar dues were only $5.00, having been raised that year from $1.00.</w:t>
      </w:r>
      <w:r>
        <w:rPr>
          <w:rStyle w:val="FootnoteReference"/>
          <w:sz w:val="28"/>
          <w:szCs w:val="28"/>
        </w:rPr>
        <w:footnoteReference w:id="2"/>
      </w:r>
      <w:r>
        <w:rPr>
          <w:sz w:val="28"/>
          <w:szCs w:val="28"/>
        </w:rPr>
        <w:t xml:space="preserve">  In inflation adjusted dollars, that would have been $135.16 in 2016.</w:t>
      </w:r>
      <w:r>
        <w:rPr>
          <w:rStyle w:val="FootnoteReference"/>
          <w:sz w:val="28"/>
          <w:szCs w:val="28"/>
        </w:rPr>
        <w:footnoteReference w:id="3"/>
      </w:r>
      <w:r>
        <w:rPr>
          <w:sz w:val="28"/>
          <w:szCs w:val="28"/>
        </w:rPr>
        <w:t xml:space="preserve">  </w:t>
      </w:r>
      <w:r w:rsidR="005F4CE7">
        <w:rPr>
          <w:sz w:val="28"/>
          <w:szCs w:val="28"/>
        </w:rPr>
        <w:t>As the State Bar has expanded into many areas, so have the mandatory financial obligations imposed on all lawyer members.</w:t>
      </w:r>
      <w:r w:rsidR="00A7772F">
        <w:rPr>
          <w:sz w:val="28"/>
          <w:szCs w:val="28"/>
        </w:rPr>
        <w:t xml:space="preserve">  Once</w:t>
      </w:r>
      <w:r w:rsidR="00A7772F" w:rsidRPr="00A7772F">
        <w:rPr>
          <w:sz w:val="28"/>
          <w:szCs w:val="28"/>
        </w:rPr>
        <w:t xml:space="preserve"> a small organization dedicated to its core function, lawyer regulation</w:t>
      </w:r>
      <w:r w:rsidR="00A7772F">
        <w:rPr>
          <w:sz w:val="28"/>
          <w:szCs w:val="28"/>
        </w:rPr>
        <w:t>,</w:t>
      </w:r>
      <w:r w:rsidR="00A7772F" w:rsidRPr="00A7772F">
        <w:rPr>
          <w:sz w:val="28"/>
          <w:szCs w:val="28"/>
        </w:rPr>
        <w:t xml:space="preserve"> </w:t>
      </w:r>
      <w:r w:rsidR="00A7772F">
        <w:rPr>
          <w:sz w:val="28"/>
          <w:szCs w:val="28"/>
        </w:rPr>
        <w:t xml:space="preserve">the State Bar has </w:t>
      </w:r>
      <w:r>
        <w:rPr>
          <w:sz w:val="28"/>
          <w:szCs w:val="28"/>
        </w:rPr>
        <w:t>now become</w:t>
      </w:r>
      <w:r w:rsidR="00A7772F" w:rsidRPr="00A7772F">
        <w:rPr>
          <w:sz w:val="28"/>
          <w:szCs w:val="28"/>
        </w:rPr>
        <w:t xml:space="preserve"> something much more extensive.  Some find that to be a good thing.  Many others do not.  </w:t>
      </w:r>
    </w:p>
    <w:p w14:paraId="4533B4A9" w14:textId="3B43021E" w:rsidR="007F6E69" w:rsidRDefault="007E0BED" w:rsidP="007F6E69">
      <w:pPr>
        <w:pStyle w:val="StyleDBodyFLIndentLeft-013Firstline0"/>
        <w:spacing w:line="480" w:lineRule="auto"/>
        <w:ind w:left="0" w:firstLine="720"/>
        <w:jc w:val="left"/>
        <w:rPr>
          <w:sz w:val="28"/>
          <w:szCs w:val="28"/>
        </w:rPr>
      </w:pPr>
      <w:r>
        <w:rPr>
          <w:sz w:val="28"/>
          <w:szCs w:val="28"/>
        </w:rPr>
        <w:t xml:space="preserve">The purpose of the Petition at issue here was not to call for a judgment on </w:t>
      </w:r>
      <w:r w:rsidR="00A7772F">
        <w:rPr>
          <w:sz w:val="28"/>
          <w:szCs w:val="28"/>
        </w:rPr>
        <w:t>the appropriate size of the State Bar or the activities in which it may engage</w:t>
      </w:r>
      <w:r>
        <w:rPr>
          <w:sz w:val="28"/>
          <w:szCs w:val="28"/>
        </w:rPr>
        <w:t xml:space="preserve">.  </w:t>
      </w:r>
      <w:r w:rsidR="00441D70">
        <w:rPr>
          <w:sz w:val="28"/>
          <w:szCs w:val="28"/>
        </w:rPr>
        <w:t xml:space="preserve">The purpose of the Petition was to maintain necessary lawyer regulation as it currently exists, give the State Bar freedom to do whatever else it wants—at whatever cost members voluntarily were willing to bear—yet preserve for Arizona lawyers their freedom to associate, or not, with the many functions of the State Bar unrelated to lawyer regulation.  </w:t>
      </w:r>
      <w:r w:rsidR="007B6B6D">
        <w:rPr>
          <w:sz w:val="28"/>
          <w:szCs w:val="28"/>
        </w:rPr>
        <w:t>In addition to such an arrangement being the right thing to do, Petitioner believes it is time for proactive change before litigants or the Arizona Legislature force change upon us.</w:t>
      </w:r>
    </w:p>
    <w:p w14:paraId="01D068AF" w14:textId="0EB7B7E5" w:rsidR="007B6B6D" w:rsidRPr="007B6B6D" w:rsidRDefault="007B6B6D" w:rsidP="002353A4">
      <w:pPr>
        <w:pStyle w:val="StyleDBodyFLIndentLeft-013Firstline0"/>
        <w:numPr>
          <w:ilvl w:val="1"/>
          <w:numId w:val="22"/>
        </w:numPr>
        <w:spacing w:line="480" w:lineRule="auto"/>
        <w:ind w:left="720" w:firstLine="0"/>
        <w:jc w:val="left"/>
        <w:rPr>
          <w:b/>
          <w:sz w:val="28"/>
          <w:szCs w:val="28"/>
        </w:rPr>
      </w:pPr>
      <w:r w:rsidRPr="007B6B6D">
        <w:rPr>
          <w:b/>
          <w:sz w:val="28"/>
          <w:szCs w:val="28"/>
        </w:rPr>
        <w:t>Only the State Bar opposed the Petition</w:t>
      </w:r>
    </w:p>
    <w:p w14:paraId="04633B34" w14:textId="60B5F921" w:rsidR="007F6E69" w:rsidRDefault="000466CD" w:rsidP="002353A4">
      <w:pPr>
        <w:pStyle w:val="StyleDBodyFLIndentLeft-013Firstline0"/>
        <w:spacing w:line="480" w:lineRule="auto"/>
        <w:ind w:left="0" w:firstLine="720"/>
        <w:jc w:val="left"/>
        <w:rPr>
          <w:sz w:val="28"/>
          <w:szCs w:val="28"/>
        </w:rPr>
      </w:pPr>
      <w:r>
        <w:rPr>
          <w:sz w:val="28"/>
          <w:szCs w:val="28"/>
        </w:rPr>
        <w:t>Petitioner is aware of</w:t>
      </w:r>
      <w:r w:rsidR="00D33895">
        <w:rPr>
          <w:sz w:val="28"/>
          <w:szCs w:val="28"/>
        </w:rPr>
        <w:t xml:space="preserve"> seven comments in response to the Petition, six in </w:t>
      </w:r>
      <w:r w:rsidR="00D33895">
        <w:rPr>
          <w:sz w:val="28"/>
          <w:szCs w:val="28"/>
        </w:rPr>
        <w:lastRenderedPageBreak/>
        <w:t xml:space="preserve">favor and one </w:t>
      </w:r>
      <w:r>
        <w:rPr>
          <w:sz w:val="28"/>
          <w:szCs w:val="28"/>
        </w:rPr>
        <w:t>in opposition</w:t>
      </w:r>
      <w:r w:rsidR="00D33895">
        <w:rPr>
          <w:sz w:val="28"/>
          <w:szCs w:val="28"/>
        </w:rPr>
        <w:t xml:space="preserve">.  As </w:t>
      </w:r>
      <w:r>
        <w:rPr>
          <w:sz w:val="28"/>
          <w:szCs w:val="28"/>
        </w:rPr>
        <w:t>anticipated</w:t>
      </w:r>
      <w:r w:rsidR="00D33895">
        <w:rPr>
          <w:sz w:val="28"/>
          <w:szCs w:val="28"/>
        </w:rPr>
        <w:t xml:space="preserve">, the one comment </w:t>
      </w:r>
      <w:r>
        <w:rPr>
          <w:sz w:val="28"/>
          <w:szCs w:val="28"/>
        </w:rPr>
        <w:t>in opposition to</w:t>
      </w:r>
      <w:r w:rsidR="00D33895">
        <w:rPr>
          <w:sz w:val="28"/>
          <w:szCs w:val="28"/>
        </w:rPr>
        <w:t xml:space="preserve"> the Petition was filed by the State Bar</w:t>
      </w:r>
      <w:r w:rsidR="00FA3A6E">
        <w:rPr>
          <w:sz w:val="28"/>
          <w:szCs w:val="28"/>
        </w:rPr>
        <w:t xml:space="preserve"> (“State Bar Comment”)</w:t>
      </w:r>
      <w:r w:rsidR="00D33895">
        <w:rPr>
          <w:sz w:val="28"/>
          <w:szCs w:val="28"/>
        </w:rPr>
        <w:t xml:space="preserve">.  In other words, Petitioner and the six </w:t>
      </w:r>
      <w:r>
        <w:rPr>
          <w:sz w:val="28"/>
          <w:szCs w:val="28"/>
        </w:rPr>
        <w:t xml:space="preserve">Arizona </w:t>
      </w:r>
      <w:r w:rsidR="00D33895">
        <w:rPr>
          <w:sz w:val="28"/>
          <w:szCs w:val="28"/>
        </w:rPr>
        <w:t xml:space="preserve">lawyers who favor the Petition paid for the State Bar’s </w:t>
      </w:r>
      <w:r w:rsidR="00FA3A6E">
        <w:rPr>
          <w:sz w:val="28"/>
          <w:szCs w:val="28"/>
        </w:rPr>
        <w:t>arguments</w:t>
      </w:r>
      <w:r w:rsidR="00D33895">
        <w:rPr>
          <w:sz w:val="28"/>
          <w:szCs w:val="28"/>
        </w:rPr>
        <w:t xml:space="preserve"> </w:t>
      </w:r>
      <w:r>
        <w:rPr>
          <w:sz w:val="28"/>
          <w:szCs w:val="28"/>
        </w:rPr>
        <w:t>in opposition to</w:t>
      </w:r>
      <w:r w:rsidR="00D33895">
        <w:rPr>
          <w:sz w:val="28"/>
          <w:szCs w:val="28"/>
        </w:rPr>
        <w:t xml:space="preserve"> their wishes.  All other </w:t>
      </w:r>
      <w:r>
        <w:rPr>
          <w:sz w:val="28"/>
          <w:szCs w:val="28"/>
        </w:rPr>
        <w:t xml:space="preserve">Arizona </w:t>
      </w:r>
      <w:r w:rsidR="00D33895">
        <w:rPr>
          <w:sz w:val="28"/>
          <w:szCs w:val="28"/>
        </w:rPr>
        <w:t xml:space="preserve">lawyers also paid, whether they agree with the State Bar’s </w:t>
      </w:r>
      <w:r>
        <w:rPr>
          <w:sz w:val="28"/>
          <w:szCs w:val="28"/>
        </w:rPr>
        <w:t>opposition</w:t>
      </w:r>
      <w:r w:rsidR="00D33895">
        <w:rPr>
          <w:sz w:val="28"/>
          <w:szCs w:val="28"/>
        </w:rPr>
        <w:t xml:space="preserve"> or not.  </w:t>
      </w:r>
      <w:r w:rsidR="00997600">
        <w:rPr>
          <w:sz w:val="28"/>
          <w:szCs w:val="28"/>
        </w:rPr>
        <w:t xml:space="preserve">The membership was not polled.  The “public” was not polled.  The State Bar </w:t>
      </w:r>
      <w:r w:rsidR="007B6B6D">
        <w:rPr>
          <w:sz w:val="28"/>
          <w:szCs w:val="28"/>
        </w:rPr>
        <w:t>Board of Governors decided it wanted</w:t>
      </w:r>
      <w:r w:rsidR="00997600">
        <w:rPr>
          <w:sz w:val="28"/>
          <w:szCs w:val="28"/>
        </w:rPr>
        <w:t xml:space="preserve"> to keep </w:t>
      </w:r>
      <w:r w:rsidR="007B6B6D">
        <w:rPr>
          <w:sz w:val="28"/>
          <w:szCs w:val="28"/>
        </w:rPr>
        <w:t xml:space="preserve">Arizona </w:t>
      </w:r>
      <w:r w:rsidR="00997600">
        <w:rPr>
          <w:sz w:val="28"/>
          <w:szCs w:val="28"/>
        </w:rPr>
        <w:t>lawyers</w:t>
      </w:r>
      <w:r w:rsidR="00FA3A6E">
        <w:rPr>
          <w:sz w:val="28"/>
          <w:szCs w:val="28"/>
        </w:rPr>
        <w:t xml:space="preserve">, along with the funds they provide, </w:t>
      </w:r>
      <w:r w:rsidR="00997600">
        <w:rPr>
          <w:sz w:val="28"/>
          <w:szCs w:val="28"/>
        </w:rPr>
        <w:t>under its full control</w:t>
      </w:r>
      <w:r w:rsidR="00FA3A6E">
        <w:rPr>
          <w:sz w:val="28"/>
          <w:szCs w:val="28"/>
        </w:rPr>
        <w:t xml:space="preserve"> </w:t>
      </w:r>
      <w:r w:rsidR="00997600">
        <w:rPr>
          <w:sz w:val="28"/>
          <w:szCs w:val="28"/>
        </w:rPr>
        <w:t>and responded accordingly.</w:t>
      </w:r>
      <w:r w:rsidR="007130ED">
        <w:rPr>
          <w:sz w:val="28"/>
          <w:szCs w:val="28"/>
        </w:rPr>
        <w:t xml:space="preserve">  </w:t>
      </w:r>
    </w:p>
    <w:p w14:paraId="039A7582" w14:textId="6E99B5D5" w:rsidR="007130ED" w:rsidRPr="007130ED" w:rsidRDefault="00FA3A6E" w:rsidP="002353A4">
      <w:pPr>
        <w:pStyle w:val="StyleDBodyFLIndentLeft-013Firstline0"/>
        <w:numPr>
          <w:ilvl w:val="1"/>
          <w:numId w:val="22"/>
        </w:numPr>
        <w:spacing w:line="480" w:lineRule="auto"/>
        <w:ind w:left="720" w:firstLine="0"/>
        <w:jc w:val="left"/>
        <w:rPr>
          <w:b/>
          <w:sz w:val="28"/>
          <w:szCs w:val="28"/>
        </w:rPr>
      </w:pPr>
      <w:r>
        <w:rPr>
          <w:b/>
          <w:sz w:val="28"/>
          <w:szCs w:val="28"/>
        </w:rPr>
        <w:t>The Role and Governance Task Force.</w:t>
      </w:r>
    </w:p>
    <w:p w14:paraId="650875EA" w14:textId="25CEAB97" w:rsidR="007130ED" w:rsidRDefault="00F371F8" w:rsidP="002353A4">
      <w:pPr>
        <w:pStyle w:val="StyleDBodyFLIndentLeft-013Firstline0"/>
        <w:spacing w:line="480" w:lineRule="auto"/>
        <w:ind w:left="0" w:firstLine="720"/>
        <w:jc w:val="left"/>
        <w:rPr>
          <w:sz w:val="28"/>
          <w:szCs w:val="28"/>
        </w:rPr>
      </w:pPr>
      <w:r>
        <w:rPr>
          <w:sz w:val="28"/>
          <w:szCs w:val="28"/>
        </w:rPr>
        <w:t xml:space="preserve">The State Bar Comment leaves one with the impression this Court established the Role and Governance Task Force </w:t>
      </w:r>
      <w:r w:rsidR="00C33643">
        <w:rPr>
          <w:sz w:val="28"/>
          <w:szCs w:val="28"/>
        </w:rPr>
        <w:t xml:space="preserve">(“Task Force”) </w:t>
      </w:r>
      <w:r>
        <w:rPr>
          <w:sz w:val="28"/>
          <w:szCs w:val="28"/>
        </w:rPr>
        <w:t xml:space="preserve">for the purpose of deciding </w:t>
      </w:r>
      <w:r w:rsidR="00C33643">
        <w:rPr>
          <w:sz w:val="28"/>
          <w:szCs w:val="28"/>
        </w:rPr>
        <w:t>one issue</w:t>
      </w:r>
      <w:r w:rsidR="00441D70">
        <w:rPr>
          <w:sz w:val="28"/>
          <w:szCs w:val="28"/>
        </w:rPr>
        <w:t>:</w:t>
      </w:r>
      <w:r w:rsidR="00CB4E70">
        <w:rPr>
          <w:sz w:val="28"/>
          <w:szCs w:val="28"/>
        </w:rPr>
        <w:t xml:space="preserve"> </w:t>
      </w:r>
      <w:r w:rsidR="00C33643">
        <w:rPr>
          <w:sz w:val="28"/>
          <w:szCs w:val="28"/>
        </w:rPr>
        <w:t xml:space="preserve"> </w:t>
      </w:r>
      <w:r w:rsidR="00CB4E70">
        <w:rPr>
          <w:sz w:val="28"/>
          <w:szCs w:val="28"/>
        </w:rPr>
        <w:t>Should</w:t>
      </w:r>
      <w:r>
        <w:rPr>
          <w:sz w:val="28"/>
          <w:szCs w:val="28"/>
        </w:rPr>
        <w:t xml:space="preserve"> State Bar membership be mandatory across the board or voluntary</w:t>
      </w:r>
      <w:r w:rsidR="00CB4E70">
        <w:rPr>
          <w:sz w:val="28"/>
          <w:szCs w:val="28"/>
        </w:rPr>
        <w:t>?</w:t>
      </w:r>
      <w:r>
        <w:rPr>
          <w:sz w:val="28"/>
          <w:szCs w:val="28"/>
        </w:rPr>
        <w:t xml:space="preserve">  </w:t>
      </w:r>
      <w:r w:rsidR="00C33643">
        <w:rPr>
          <w:sz w:val="28"/>
          <w:szCs w:val="28"/>
        </w:rPr>
        <w:t xml:space="preserve">This does not appear to have been the motivating reason for the Task Force.  </w:t>
      </w:r>
      <w:r>
        <w:rPr>
          <w:sz w:val="28"/>
          <w:szCs w:val="28"/>
        </w:rPr>
        <w:t>The Court’s order stated:</w:t>
      </w:r>
    </w:p>
    <w:p w14:paraId="47619F4A" w14:textId="778CD0F8" w:rsidR="00F371F8" w:rsidRDefault="00F371F8" w:rsidP="002353A4">
      <w:pPr>
        <w:pStyle w:val="StyleDBodyFLIndentLeft-013Firstline0"/>
        <w:spacing w:after="240" w:line="240" w:lineRule="auto"/>
        <w:ind w:left="1440" w:right="1440" w:firstLine="0"/>
        <w:jc w:val="left"/>
        <w:rPr>
          <w:sz w:val="28"/>
          <w:szCs w:val="28"/>
        </w:rPr>
      </w:pPr>
      <w:r w:rsidRPr="00F371F8">
        <w:rPr>
          <w:sz w:val="28"/>
          <w:szCs w:val="28"/>
        </w:rPr>
        <w:t xml:space="preserve">Given the changes that have occurred in the legal services environment, the growth in </w:t>
      </w:r>
      <w:proofErr w:type="gramStart"/>
      <w:r w:rsidRPr="00F371F8">
        <w:rPr>
          <w:sz w:val="28"/>
          <w:szCs w:val="28"/>
        </w:rPr>
        <w:t>Bar</w:t>
      </w:r>
      <w:proofErr w:type="gramEnd"/>
      <w:r w:rsidRPr="00F371F8">
        <w:rPr>
          <w:sz w:val="28"/>
          <w:szCs w:val="28"/>
        </w:rPr>
        <w:t xml:space="preserve"> membership, and the demands placed on the State Bar, it is time to review the Bar’s mission and governance structure to ensure that they continue to best serve the public interest.</w:t>
      </w:r>
    </w:p>
    <w:p w14:paraId="3BEBAC0A" w14:textId="35E5D9BD" w:rsidR="00FA3A6E" w:rsidRDefault="00F371F8" w:rsidP="002353A4">
      <w:pPr>
        <w:pStyle w:val="StyleDBodyFLIndentLeft-013Firstline0"/>
        <w:spacing w:line="480" w:lineRule="auto"/>
        <w:ind w:left="0" w:firstLine="0"/>
        <w:jc w:val="left"/>
        <w:rPr>
          <w:sz w:val="28"/>
          <w:szCs w:val="28"/>
        </w:rPr>
      </w:pPr>
      <w:r w:rsidRPr="00F371F8">
        <w:rPr>
          <w:i/>
          <w:sz w:val="28"/>
          <w:szCs w:val="28"/>
        </w:rPr>
        <w:t>See</w:t>
      </w:r>
      <w:r>
        <w:rPr>
          <w:sz w:val="28"/>
          <w:szCs w:val="28"/>
        </w:rPr>
        <w:t xml:space="preserve"> Administrative Order No. 2014-79.  The order identified the following tasks:</w:t>
      </w:r>
    </w:p>
    <w:p w14:paraId="67A6F354" w14:textId="77777777" w:rsidR="00F371F8" w:rsidRPr="00F371F8" w:rsidRDefault="00F371F8" w:rsidP="002353A4">
      <w:pPr>
        <w:pStyle w:val="StyleDBodyFLIndentLeft-013Firstline0"/>
        <w:spacing w:after="240" w:line="240" w:lineRule="auto"/>
        <w:ind w:left="1440" w:right="1440" w:firstLine="0"/>
        <w:jc w:val="left"/>
        <w:rPr>
          <w:sz w:val="28"/>
          <w:szCs w:val="28"/>
        </w:rPr>
      </w:pPr>
      <w:r w:rsidRPr="00F371F8">
        <w:rPr>
          <w:sz w:val="28"/>
          <w:szCs w:val="28"/>
        </w:rPr>
        <w:t xml:space="preserve">The Task Force shall examine the Rules of the Supreme Court on the mission and governance structure of the State Bar of Arizona, and will make recommendations to the Court for changes, if needed, including but not </w:t>
      </w:r>
      <w:r w:rsidRPr="00F371F8">
        <w:rPr>
          <w:sz w:val="28"/>
          <w:szCs w:val="28"/>
        </w:rPr>
        <w:lastRenderedPageBreak/>
        <w:t>limited to these areas:</w:t>
      </w:r>
    </w:p>
    <w:p w14:paraId="0AD1C96A" w14:textId="73001EC1" w:rsidR="00F371F8" w:rsidRPr="00F371F8" w:rsidRDefault="00F371F8" w:rsidP="002353A4">
      <w:pPr>
        <w:pStyle w:val="StyleDBodyFLIndentLeft-013Firstline0"/>
        <w:spacing w:after="240" w:line="240" w:lineRule="auto"/>
        <w:ind w:left="1440" w:right="1440" w:firstLine="0"/>
        <w:jc w:val="left"/>
        <w:rPr>
          <w:sz w:val="28"/>
          <w:szCs w:val="28"/>
        </w:rPr>
      </w:pPr>
      <w:r w:rsidRPr="00F371F8">
        <w:rPr>
          <w:sz w:val="28"/>
          <w:szCs w:val="28"/>
        </w:rPr>
        <w:t xml:space="preserve">a) </w:t>
      </w:r>
      <w:r w:rsidR="00DC0578">
        <w:rPr>
          <w:sz w:val="28"/>
          <w:szCs w:val="28"/>
        </w:rPr>
        <w:t xml:space="preserve"> </w:t>
      </w:r>
      <w:r w:rsidRPr="00F371F8">
        <w:rPr>
          <w:sz w:val="28"/>
          <w:szCs w:val="28"/>
        </w:rPr>
        <w:t>Does the mission of the State Bar need to be clarified or modified?</w:t>
      </w:r>
    </w:p>
    <w:p w14:paraId="2D28B090" w14:textId="66A8CFEA" w:rsidR="00F371F8" w:rsidRPr="00F371F8" w:rsidRDefault="00F371F8" w:rsidP="002353A4">
      <w:pPr>
        <w:pStyle w:val="StyleDBodyFLIndentLeft-013Firstline0"/>
        <w:spacing w:after="240" w:line="240" w:lineRule="auto"/>
        <w:ind w:left="1440" w:right="1440" w:firstLine="0"/>
        <w:jc w:val="left"/>
        <w:rPr>
          <w:sz w:val="28"/>
          <w:szCs w:val="28"/>
        </w:rPr>
      </w:pPr>
      <w:r w:rsidRPr="00F371F8">
        <w:rPr>
          <w:sz w:val="28"/>
          <w:szCs w:val="28"/>
        </w:rPr>
        <w:t xml:space="preserve">b) </w:t>
      </w:r>
      <w:r w:rsidR="00DC0578">
        <w:rPr>
          <w:sz w:val="28"/>
          <w:szCs w:val="28"/>
        </w:rPr>
        <w:t xml:space="preserve"> </w:t>
      </w:r>
      <w:r w:rsidRPr="00F371F8">
        <w:rPr>
          <w:sz w:val="28"/>
          <w:szCs w:val="28"/>
        </w:rPr>
        <w:t>Is the governance structure adequate to efficiently and effectively govern and carry out the duties of the Board?</w:t>
      </w:r>
    </w:p>
    <w:p w14:paraId="0D0A61FA" w14:textId="753D434F" w:rsidR="00F371F8" w:rsidRPr="00F371F8" w:rsidRDefault="00F371F8" w:rsidP="002353A4">
      <w:pPr>
        <w:pStyle w:val="StyleDBodyFLIndentLeft-013Firstline0"/>
        <w:spacing w:after="240" w:line="240" w:lineRule="auto"/>
        <w:ind w:left="1440" w:right="1440" w:firstLine="0"/>
        <w:jc w:val="left"/>
        <w:rPr>
          <w:sz w:val="28"/>
          <w:szCs w:val="28"/>
        </w:rPr>
      </w:pPr>
      <w:r w:rsidRPr="00F371F8">
        <w:rPr>
          <w:sz w:val="28"/>
          <w:szCs w:val="28"/>
        </w:rPr>
        <w:t xml:space="preserve">c) </w:t>
      </w:r>
      <w:r w:rsidR="00DC0578">
        <w:rPr>
          <w:sz w:val="28"/>
          <w:szCs w:val="28"/>
        </w:rPr>
        <w:t xml:space="preserve"> </w:t>
      </w:r>
      <w:r w:rsidRPr="00F371F8">
        <w:rPr>
          <w:sz w:val="28"/>
          <w:szCs w:val="28"/>
        </w:rPr>
        <w:t>Are Supreme Court Rules in the following areas related to Board structure and governance duties adequate to best serve the Board’s primary mission of protecting the public?</w:t>
      </w:r>
    </w:p>
    <w:p w14:paraId="625D693E" w14:textId="4A4C1ED7" w:rsidR="00F371F8" w:rsidRPr="00F371F8" w:rsidRDefault="00F371F8" w:rsidP="002353A4">
      <w:pPr>
        <w:pStyle w:val="StyleDBodyFLIndentLeft-013Firstline0"/>
        <w:spacing w:after="240" w:line="240" w:lineRule="auto"/>
        <w:ind w:left="2160" w:right="1440" w:firstLine="0"/>
        <w:jc w:val="left"/>
        <w:rPr>
          <w:sz w:val="28"/>
          <w:szCs w:val="28"/>
        </w:rPr>
      </w:pPr>
      <w:proofErr w:type="gramStart"/>
      <w:r w:rsidRPr="00F371F8">
        <w:rPr>
          <w:sz w:val="28"/>
          <w:szCs w:val="28"/>
        </w:rPr>
        <w:t xml:space="preserve">i. </w:t>
      </w:r>
      <w:r w:rsidR="00DC0578">
        <w:rPr>
          <w:sz w:val="28"/>
          <w:szCs w:val="28"/>
        </w:rPr>
        <w:t xml:space="preserve"> </w:t>
      </w:r>
      <w:r w:rsidRPr="00F371F8">
        <w:rPr>
          <w:sz w:val="28"/>
          <w:szCs w:val="28"/>
        </w:rPr>
        <w:t>Qualifications</w:t>
      </w:r>
      <w:proofErr w:type="gramEnd"/>
      <w:r w:rsidRPr="00F371F8">
        <w:rPr>
          <w:sz w:val="28"/>
          <w:szCs w:val="28"/>
        </w:rPr>
        <w:t xml:space="preserve"> for membership on the Board of Governors;</w:t>
      </w:r>
    </w:p>
    <w:p w14:paraId="349B5CEB" w14:textId="65480295" w:rsidR="00F371F8" w:rsidRPr="00F371F8" w:rsidRDefault="00F371F8" w:rsidP="002353A4">
      <w:pPr>
        <w:pStyle w:val="StyleDBodyFLIndentLeft-013Firstline0"/>
        <w:spacing w:after="240" w:line="240" w:lineRule="auto"/>
        <w:ind w:left="2160" w:right="1440" w:firstLine="0"/>
        <w:jc w:val="left"/>
        <w:rPr>
          <w:sz w:val="28"/>
          <w:szCs w:val="28"/>
        </w:rPr>
      </w:pPr>
      <w:r w:rsidRPr="00F371F8">
        <w:rPr>
          <w:sz w:val="28"/>
          <w:szCs w:val="28"/>
        </w:rPr>
        <w:t>ii</w:t>
      </w:r>
      <w:proofErr w:type="gramStart"/>
      <w:r w:rsidRPr="00F371F8">
        <w:rPr>
          <w:sz w:val="28"/>
          <w:szCs w:val="28"/>
        </w:rPr>
        <w:t xml:space="preserve">. </w:t>
      </w:r>
      <w:r w:rsidR="00DC0578">
        <w:rPr>
          <w:sz w:val="28"/>
          <w:szCs w:val="28"/>
        </w:rPr>
        <w:t xml:space="preserve"> </w:t>
      </w:r>
      <w:r w:rsidRPr="00F371F8">
        <w:rPr>
          <w:sz w:val="28"/>
          <w:szCs w:val="28"/>
        </w:rPr>
        <w:t>Appointment</w:t>
      </w:r>
      <w:proofErr w:type="gramEnd"/>
      <w:r w:rsidRPr="00F371F8">
        <w:rPr>
          <w:sz w:val="28"/>
          <w:szCs w:val="28"/>
        </w:rPr>
        <w:t>, election and removal of members of the Board of Governors;</w:t>
      </w:r>
    </w:p>
    <w:p w14:paraId="24B7AFF4" w14:textId="1697FE39" w:rsidR="00F371F8" w:rsidRDefault="00F371F8" w:rsidP="002353A4">
      <w:pPr>
        <w:pStyle w:val="StyleDBodyFLIndentLeft-013Firstline0"/>
        <w:spacing w:after="240" w:line="240" w:lineRule="auto"/>
        <w:ind w:left="2160" w:right="1440" w:firstLine="0"/>
        <w:jc w:val="left"/>
        <w:rPr>
          <w:sz w:val="28"/>
          <w:szCs w:val="28"/>
        </w:rPr>
      </w:pPr>
      <w:r w:rsidRPr="00F371F8">
        <w:rPr>
          <w:sz w:val="28"/>
          <w:szCs w:val="28"/>
        </w:rPr>
        <w:t>iii</w:t>
      </w:r>
      <w:proofErr w:type="gramStart"/>
      <w:r w:rsidRPr="00F371F8">
        <w:rPr>
          <w:sz w:val="28"/>
          <w:szCs w:val="28"/>
        </w:rPr>
        <w:t xml:space="preserve">. </w:t>
      </w:r>
      <w:r w:rsidR="00DC0578">
        <w:rPr>
          <w:sz w:val="28"/>
          <w:szCs w:val="28"/>
        </w:rPr>
        <w:t xml:space="preserve"> </w:t>
      </w:r>
      <w:r w:rsidRPr="00F371F8">
        <w:rPr>
          <w:sz w:val="28"/>
          <w:szCs w:val="28"/>
        </w:rPr>
        <w:t>Term</w:t>
      </w:r>
      <w:proofErr w:type="gramEnd"/>
      <w:r w:rsidRPr="00F371F8">
        <w:rPr>
          <w:sz w:val="28"/>
          <w:szCs w:val="28"/>
        </w:rPr>
        <w:t xml:space="preserve"> limits for members of the Board of Governors;</w:t>
      </w:r>
    </w:p>
    <w:p w14:paraId="1915973F" w14:textId="6000A05B" w:rsidR="00F371F8" w:rsidRPr="00F371F8" w:rsidRDefault="00F371F8" w:rsidP="002353A4">
      <w:pPr>
        <w:pStyle w:val="StyleDBodyFLIndentLeft-013Firstline0"/>
        <w:spacing w:after="240" w:line="240" w:lineRule="auto"/>
        <w:ind w:left="2160" w:right="1440" w:firstLine="0"/>
        <w:jc w:val="left"/>
        <w:rPr>
          <w:sz w:val="28"/>
          <w:szCs w:val="28"/>
        </w:rPr>
      </w:pPr>
      <w:r w:rsidRPr="00F371F8">
        <w:rPr>
          <w:sz w:val="28"/>
          <w:szCs w:val="28"/>
        </w:rPr>
        <w:t>iv</w:t>
      </w:r>
      <w:proofErr w:type="gramStart"/>
      <w:r w:rsidRPr="00F371F8">
        <w:rPr>
          <w:sz w:val="28"/>
          <w:szCs w:val="28"/>
        </w:rPr>
        <w:t xml:space="preserve">. </w:t>
      </w:r>
      <w:r w:rsidR="00DC0578">
        <w:rPr>
          <w:sz w:val="28"/>
          <w:szCs w:val="28"/>
        </w:rPr>
        <w:t xml:space="preserve"> </w:t>
      </w:r>
      <w:r w:rsidRPr="00F371F8">
        <w:rPr>
          <w:sz w:val="28"/>
          <w:szCs w:val="28"/>
        </w:rPr>
        <w:t>Election</w:t>
      </w:r>
      <w:proofErr w:type="gramEnd"/>
      <w:r w:rsidRPr="00F371F8">
        <w:rPr>
          <w:sz w:val="28"/>
          <w:szCs w:val="28"/>
        </w:rPr>
        <w:t xml:space="preserve"> process;</w:t>
      </w:r>
    </w:p>
    <w:p w14:paraId="6C580A00" w14:textId="1314A01F" w:rsidR="00F371F8" w:rsidRPr="00F371F8" w:rsidRDefault="00F371F8" w:rsidP="002353A4">
      <w:pPr>
        <w:pStyle w:val="StyleDBodyFLIndentLeft-013Firstline0"/>
        <w:spacing w:after="240" w:line="240" w:lineRule="auto"/>
        <w:ind w:left="2160" w:right="1440" w:firstLine="0"/>
        <w:jc w:val="left"/>
        <w:rPr>
          <w:sz w:val="28"/>
          <w:szCs w:val="28"/>
        </w:rPr>
      </w:pPr>
      <w:proofErr w:type="gramStart"/>
      <w:r w:rsidRPr="00F371F8">
        <w:rPr>
          <w:sz w:val="28"/>
          <w:szCs w:val="28"/>
        </w:rPr>
        <w:t xml:space="preserve">v. </w:t>
      </w:r>
      <w:r w:rsidR="00DC0578">
        <w:rPr>
          <w:sz w:val="28"/>
          <w:szCs w:val="28"/>
        </w:rPr>
        <w:t xml:space="preserve"> </w:t>
      </w:r>
      <w:r w:rsidRPr="00F371F8">
        <w:rPr>
          <w:sz w:val="28"/>
          <w:szCs w:val="28"/>
        </w:rPr>
        <w:t>Board</w:t>
      </w:r>
      <w:proofErr w:type="gramEnd"/>
      <w:r w:rsidRPr="00F371F8">
        <w:rPr>
          <w:sz w:val="28"/>
          <w:szCs w:val="28"/>
        </w:rPr>
        <w:t xml:space="preserve"> of Governors size and composition; and</w:t>
      </w:r>
    </w:p>
    <w:p w14:paraId="5EFB1756" w14:textId="194F8FAB" w:rsidR="00F371F8" w:rsidRDefault="00F371F8" w:rsidP="002353A4">
      <w:pPr>
        <w:pStyle w:val="StyleDBodyFLIndentLeft-013Firstline0"/>
        <w:spacing w:after="240" w:line="240" w:lineRule="auto"/>
        <w:ind w:left="2160" w:right="1440" w:firstLine="0"/>
        <w:jc w:val="left"/>
        <w:rPr>
          <w:sz w:val="28"/>
          <w:szCs w:val="28"/>
        </w:rPr>
      </w:pPr>
      <w:r w:rsidRPr="00F371F8">
        <w:rPr>
          <w:sz w:val="28"/>
          <w:szCs w:val="28"/>
        </w:rPr>
        <w:t>vi</w:t>
      </w:r>
      <w:proofErr w:type="gramStart"/>
      <w:r w:rsidRPr="00F371F8">
        <w:rPr>
          <w:sz w:val="28"/>
          <w:szCs w:val="28"/>
        </w:rPr>
        <w:t xml:space="preserve">. </w:t>
      </w:r>
      <w:r w:rsidR="00DC0578">
        <w:rPr>
          <w:sz w:val="28"/>
          <w:szCs w:val="28"/>
        </w:rPr>
        <w:t xml:space="preserve"> </w:t>
      </w:r>
      <w:r w:rsidRPr="00F371F8">
        <w:rPr>
          <w:sz w:val="28"/>
          <w:szCs w:val="28"/>
        </w:rPr>
        <w:t>State</w:t>
      </w:r>
      <w:proofErr w:type="gramEnd"/>
      <w:r w:rsidRPr="00F371F8">
        <w:rPr>
          <w:sz w:val="28"/>
          <w:szCs w:val="28"/>
        </w:rPr>
        <w:t xml:space="preserve"> Bar leadership structure and composition.</w:t>
      </w:r>
    </w:p>
    <w:p w14:paraId="5B33C2BD" w14:textId="6EB556A2" w:rsidR="00FA3A6E" w:rsidRDefault="00F371F8" w:rsidP="002353A4">
      <w:pPr>
        <w:pStyle w:val="StyleDBodyFLIndentLeft-013Firstline0"/>
        <w:spacing w:line="480" w:lineRule="auto"/>
        <w:ind w:left="0" w:firstLine="0"/>
        <w:jc w:val="left"/>
        <w:rPr>
          <w:sz w:val="28"/>
          <w:szCs w:val="28"/>
        </w:rPr>
      </w:pPr>
      <w:r w:rsidRPr="00F371F8">
        <w:rPr>
          <w:i/>
          <w:sz w:val="28"/>
          <w:szCs w:val="28"/>
        </w:rPr>
        <w:t xml:space="preserve">Id.  </w:t>
      </w:r>
      <w:r w:rsidR="00DC0578">
        <w:rPr>
          <w:sz w:val="28"/>
          <w:szCs w:val="28"/>
        </w:rPr>
        <w:t>The Court did not ask the question raised by the Petition:  Should the State Bar continue to be a mandatory integrated bar for all purposes?  Only one of the several assigned tasks, “[d]</w:t>
      </w:r>
      <w:proofErr w:type="spellStart"/>
      <w:r w:rsidR="00DC0578" w:rsidRPr="00F371F8">
        <w:rPr>
          <w:sz w:val="28"/>
          <w:szCs w:val="28"/>
        </w:rPr>
        <w:t>oes</w:t>
      </w:r>
      <w:proofErr w:type="spellEnd"/>
      <w:r w:rsidR="00DC0578" w:rsidRPr="00F371F8">
        <w:rPr>
          <w:sz w:val="28"/>
          <w:szCs w:val="28"/>
        </w:rPr>
        <w:t xml:space="preserve"> the mission of the State Bar n</w:t>
      </w:r>
      <w:r w:rsidR="00DC0578">
        <w:rPr>
          <w:sz w:val="28"/>
          <w:szCs w:val="28"/>
        </w:rPr>
        <w:t>eed to be clarified or modified,” arguably raised the issue.  Everything else was about leadership structure and governance.</w:t>
      </w:r>
    </w:p>
    <w:p w14:paraId="6BC2B4F5" w14:textId="3C803480" w:rsidR="00FA3A6E" w:rsidRDefault="00DC0578" w:rsidP="002353A4">
      <w:pPr>
        <w:pStyle w:val="StyleDBodyFLIndentLeft-013Firstline0"/>
        <w:spacing w:line="480" w:lineRule="auto"/>
        <w:ind w:left="0" w:firstLine="720"/>
        <w:jc w:val="left"/>
        <w:rPr>
          <w:sz w:val="28"/>
          <w:szCs w:val="28"/>
        </w:rPr>
      </w:pPr>
      <w:r>
        <w:rPr>
          <w:sz w:val="28"/>
          <w:szCs w:val="28"/>
        </w:rPr>
        <w:t xml:space="preserve">One would expect a task force on structure and governance of any organization to be populated with current and former insiders, those likely to have the most experience and information necessary to adequately address the issues raised.  The Task Force appears to have been consistent with this expectation.  Many State Bar leaders were involved.  While this may be a good thing for structure and governance issues, insiders </w:t>
      </w:r>
      <w:r w:rsidR="00CB4E70">
        <w:rPr>
          <w:sz w:val="28"/>
          <w:szCs w:val="28"/>
        </w:rPr>
        <w:t>may be conflicted over whether to abolish mandatory membership entirely</w:t>
      </w:r>
      <w:r w:rsidR="000E0A03">
        <w:rPr>
          <w:sz w:val="28"/>
          <w:szCs w:val="28"/>
        </w:rPr>
        <w:t>, or something much less, as proposed in the Petition.</w:t>
      </w:r>
    </w:p>
    <w:p w14:paraId="4AF527DD" w14:textId="0E9D22AE" w:rsidR="000E0A03" w:rsidRDefault="000E0A03" w:rsidP="002353A4">
      <w:pPr>
        <w:pStyle w:val="StyleDBodyFLIndentLeft-013Firstline0"/>
        <w:spacing w:line="480" w:lineRule="auto"/>
        <w:ind w:firstLine="720"/>
        <w:jc w:val="left"/>
        <w:rPr>
          <w:sz w:val="28"/>
          <w:szCs w:val="28"/>
        </w:rPr>
      </w:pPr>
      <w:r>
        <w:rPr>
          <w:sz w:val="28"/>
          <w:szCs w:val="28"/>
        </w:rPr>
        <w:t xml:space="preserve">Based on their report, it appears the Task Force considered only the “abolishing the organization” option.  </w:t>
      </w:r>
      <w:r w:rsidR="00EF718C">
        <w:rPr>
          <w:sz w:val="28"/>
          <w:szCs w:val="28"/>
        </w:rPr>
        <w:t xml:space="preserve">The scant three plus pages of the report on the issue argue why a mandatory integrated bar is preferable over a purely voluntary one.  </w:t>
      </w:r>
      <w:r w:rsidR="00EF718C" w:rsidRPr="00EF718C">
        <w:rPr>
          <w:i/>
          <w:sz w:val="28"/>
          <w:szCs w:val="28"/>
        </w:rPr>
        <w:t>See</w:t>
      </w:r>
      <w:r w:rsidR="00EF718C">
        <w:rPr>
          <w:sz w:val="28"/>
          <w:szCs w:val="28"/>
        </w:rPr>
        <w:t xml:space="preserve"> </w:t>
      </w:r>
      <w:r w:rsidR="00EF718C" w:rsidRPr="00EF718C">
        <w:rPr>
          <w:sz w:val="28"/>
          <w:szCs w:val="28"/>
        </w:rPr>
        <w:t>Report of the Task Force</w:t>
      </w:r>
      <w:r w:rsidR="00EF718C">
        <w:rPr>
          <w:sz w:val="28"/>
          <w:szCs w:val="28"/>
        </w:rPr>
        <w:t xml:space="preserve"> </w:t>
      </w:r>
      <w:r w:rsidR="00EF718C" w:rsidRPr="00EF718C">
        <w:rPr>
          <w:sz w:val="28"/>
          <w:szCs w:val="28"/>
        </w:rPr>
        <w:t>on the</w:t>
      </w:r>
      <w:r w:rsidR="00EF718C">
        <w:rPr>
          <w:sz w:val="28"/>
          <w:szCs w:val="28"/>
        </w:rPr>
        <w:t xml:space="preserve"> </w:t>
      </w:r>
      <w:r w:rsidR="00EF718C" w:rsidRPr="00EF718C">
        <w:rPr>
          <w:sz w:val="28"/>
          <w:szCs w:val="28"/>
        </w:rPr>
        <w:t>Review of the Role and Governance Structure</w:t>
      </w:r>
      <w:r w:rsidR="00EF718C">
        <w:rPr>
          <w:sz w:val="28"/>
          <w:szCs w:val="28"/>
        </w:rPr>
        <w:t xml:space="preserve"> </w:t>
      </w:r>
      <w:r w:rsidR="00EF718C" w:rsidRPr="00EF718C">
        <w:rPr>
          <w:sz w:val="28"/>
          <w:szCs w:val="28"/>
        </w:rPr>
        <w:t>of the State Bar of Arizona</w:t>
      </w:r>
      <w:r w:rsidR="00EF718C">
        <w:rPr>
          <w:sz w:val="28"/>
          <w:szCs w:val="28"/>
        </w:rPr>
        <w:t xml:space="preserve"> (</w:t>
      </w:r>
      <w:r w:rsidR="00EF718C" w:rsidRPr="00EF718C">
        <w:rPr>
          <w:sz w:val="28"/>
          <w:szCs w:val="28"/>
        </w:rPr>
        <w:t>September 1, 2015</w:t>
      </w:r>
      <w:r w:rsidR="00EF718C">
        <w:rPr>
          <w:sz w:val="28"/>
          <w:szCs w:val="28"/>
        </w:rPr>
        <w:t xml:space="preserve">) (“Report”) at 6-9. </w:t>
      </w:r>
      <w:r w:rsidR="00EF718C" w:rsidRPr="00EF718C">
        <w:rPr>
          <w:sz w:val="28"/>
          <w:szCs w:val="28"/>
        </w:rPr>
        <w:t xml:space="preserve"> </w:t>
      </w:r>
      <w:r>
        <w:rPr>
          <w:sz w:val="28"/>
          <w:szCs w:val="28"/>
        </w:rPr>
        <w:t xml:space="preserve">If </w:t>
      </w:r>
      <w:r w:rsidR="00EF718C">
        <w:rPr>
          <w:sz w:val="28"/>
          <w:szCs w:val="28"/>
        </w:rPr>
        <w:t>a hybrid o</w:t>
      </w:r>
      <w:r>
        <w:rPr>
          <w:sz w:val="28"/>
          <w:szCs w:val="28"/>
        </w:rPr>
        <w:t>ption</w:t>
      </w:r>
      <w:r w:rsidR="00EF718C">
        <w:rPr>
          <w:sz w:val="28"/>
          <w:szCs w:val="28"/>
        </w:rPr>
        <w:t xml:space="preserve"> such as that suggested in the Petition was discussed, it did not make it into the </w:t>
      </w:r>
      <w:r w:rsidR="00B21547">
        <w:rPr>
          <w:sz w:val="28"/>
          <w:szCs w:val="28"/>
        </w:rPr>
        <w:t>R</w:t>
      </w:r>
      <w:r w:rsidR="00EF718C">
        <w:rPr>
          <w:sz w:val="28"/>
          <w:szCs w:val="28"/>
        </w:rPr>
        <w:t>eport.  On</w:t>
      </w:r>
      <w:r w:rsidR="00CB4E70">
        <w:rPr>
          <w:sz w:val="28"/>
          <w:szCs w:val="28"/>
        </w:rPr>
        <w:t>e</w:t>
      </w:r>
      <w:r w:rsidR="00EF718C">
        <w:rPr>
          <w:sz w:val="28"/>
          <w:szCs w:val="28"/>
        </w:rPr>
        <w:t xml:space="preserve"> member, however, did file a </w:t>
      </w:r>
      <w:r w:rsidR="00CB4E70">
        <w:rPr>
          <w:sz w:val="28"/>
          <w:szCs w:val="28"/>
        </w:rPr>
        <w:t>vigorous 25-page</w:t>
      </w:r>
      <w:r w:rsidR="00B21547">
        <w:rPr>
          <w:sz w:val="28"/>
          <w:szCs w:val="28"/>
        </w:rPr>
        <w:t xml:space="preserve"> </w:t>
      </w:r>
      <w:r w:rsidR="00EF718C">
        <w:rPr>
          <w:sz w:val="28"/>
          <w:szCs w:val="28"/>
        </w:rPr>
        <w:t xml:space="preserve">dissent in opposition to the </w:t>
      </w:r>
      <w:r w:rsidR="00B21547">
        <w:rPr>
          <w:sz w:val="28"/>
          <w:szCs w:val="28"/>
        </w:rPr>
        <w:t xml:space="preserve">Task Force’s </w:t>
      </w:r>
      <w:r w:rsidR="0091013B">
        <w:rPr>
          <w:sz w:val="28"/>
          <w:szCs w:val="28"/>
        </w:rPr>
        <w:t xml:space="preserve">mandatory integrated bar conclusion.  </w:t>
      </w:r>
      <w:r w:rsidR="0091013B" w:rsidRPr="00C33643">
        <w:rPr>
          <w:i/>
          <w:sz w:val="28"/>
          <w:szCs w:val="28"/>
        </w:rPr>
        <w:t xml:space="preserve">See </w:t>
      </w:r>
      <w:r w:rsidR="0091013B">
        <w:rPr>
          <w:sz w:val="28"/>
          <w:szCs w:val="28"/>
        </w:rPr>
        <w:t xml:space="preserve">Letter from </w:t>
      </w:r>
      <w:r w:rsidR="00C33643">
        <w:rPr>
          <w:sz w:val="28"/>
          <w:szCs w:val="28"/>
        </w:rPr>
        <w:t>Paul Avelar to the Task Force (June 11, 2015), Report at Appendix J, pp. 89-113.</w:t>
      </w:r>
      <w:r w:rsidR="00483DA9">
        <w:rPr>
          <w:sz w:val="28"/>
          <w:szCs w:val="28"/>
        </w:rPr>
        <w:t xml:space="preserve">  Mr. Avelar obviously considered the issue in much greater detail.  </w:t>
      </w:r>
    </w:p>
    <w:p w14:paraId="769B06E3" w14:textId="19BB07CB" w:rsidR="007130ED" w:rsidRPr="007130ED" w:rsidRDefault="000378C6" w:rsidP="002353A4">
      <w:pPr>
        <w:pStyle w:val="StyleDBodyFLIndentLeft-013Firstline0"/>
        <w:numPr>
          <w:ilvl w:val="1"/>
          <w:numId w:val="22"/>
        </w:numPr>
        <w:spacing w:line="480" w:lineRule="auto"/>
        <w:ind w:left="720" w:firstLine="0"/>
        <w:jc w:val="left"/>
        <w:rPr>
          <w:b/>
          <w:sz w:val="28"/>
          <w:szCs w:val="28"/>
        </w:rPr>
      </w:pPr>
      <w:r>
        <w:rPr>
          <w:b/>
          <w:sz w:val="28"/>
          <w:szCs w:val="28"/>
        </w:rPr>
        <w:t>N</w:t>
      </w:r>
      <w:r w:rsidR="007130ED" w:rsidRPr="007130ED">
        <w:rPr>
          <w:b/>
          <w:sz w:val="28"/>
          <w:szCs w:val="28"/>
        </w:rPr>
        <w:t xml:space="preserve">otice and </w:t>
      </w:r>
      <w:r>
        <w:rPr>
          <w:b/>
          <w:sz w:val="28"/>
          <w:szCs w:val="28"/>
        </w:rPr>
        <w:t xml:space="preserve">an </w:t>
      </w:r>
      <w:r w:rsidR="007130ED" w:rsidRPr="007130ED">
        <w:rPr>
          <w:b/>
          <w:sz w:val="28"/>
          <w:szCs w:val="28"/>
        </w:rPr>
        <w:t>opportunity to be heard</w:t>
      </w:r>
      <w:r>
        <w:rPr>
          <w:b/>
          <w:sz w:val="28"/>
          <w:szCs w:val="28"/>
        </w:rPr>
        <w:t>.</w:t>
      </w:r>
    </w:p>
    <w:p w14:paraId="409F0520" w14:textId="5F84A377" w:rsidR="00EA7B9C" w:rsidRDefault="000378C6" w:rsidP="00EA7B9C">
      <w:pPr>
        <w:pStyle w:val="StyleDBodyFLIndentLeft-013Firstline0"/>
        <w:spacing w:line="480" w:lineRule="auto"/>
        <w:ind w:left="0" w:firstLine="720"/>
        <w:jc w:val="left"/>
        <w:rPr>
          <w:sz w:val="28"/>
          <w:szCs w:val="28"/>
        </w:rPr>
      </w:pPr>
      <w:r>
        <w:rPr>
          <w:sz w:val="28"/>
          <w:szCs w:val="28"/>
        </w:rPr>
        <w:t xml:space="preserve">According to the State Bar, the Report was made “readily accessible to interested stakeholders, who were given the opportunity to comment on the findings in the Report.”  State </w:t>
      </w:r>
      <w:proofErr w:type="gramStart"/>
      <w:r>
        <w:rPr>
          <w:sz w:val="28"/>
          <w:szCs w:val="28"/>
        </w:rPr>
        <w:t>Bar</w:t>
      </w:r>
      <w:proofErr w:type="gramEnd"/>
      <w:r>
        <w:rPr>
          <w:sz w:val="28"/>
          <w:szCs w:val="28"/>
        </w:rPr>
        <w:t xml:space="preserve"> Comment at 3.  </w:t>
      </w:r>
      <w:r w:rsidR="00272713">
        <w:rPr>
          <w:sz w:val="28"/>
          <w:szCs w:val="28"/>
        </w:rPr>
        <w:t xml:space="preserve">Who are the “interested stakeholders?”  Would that not include everyone currently required to join the mandatory integrated bar?  Petitioner does not recall a notice that a Supreme Court task force was considering whether parts of the State Bar other than lawyer regulation should remain mandatory, or whether they could be moved into a voluntary organization.  </w:t>
      </w:r>
      <w:r w:rsidR="00EA7B9C">
        <w:rPr>
          <w:sz w:val="28"/>
          <w:szCs w:val="28"/>
        </w:rPr>
        <w:t xml:space="preserve">One would expect such notice and links to the draft and final Report be given to all Arizona lawyers, as interested stakeholders.  </w:t>
      </w:r>
    </w:p>
    <w:p w14:paraId="34642CE6" w14:textId="63C797F7" w:rsidR="007130ED" w:rsidRDefault="00272713" w:rsidP="00C12DBA">
      <w:pPr>
        <w:pStyle w:val="StyleDBodyFLIndentLeft-013Firstline0"/>
        <w:spacing w:line="480" w:lineRule="auto"/>
        <w:ind w:left="0" w:firstLine="0"/>
        <w:jc w:val="left"/>
        <w:rPr>
          <w:sz w:val="28"/>
          <w:szCs w:val="28"/>
        </w:rPr>
      </w:pPr>
      <w:r>
        <w:rPr>
          <w:sz w:val="28"/>
          <w:szCs w:val="28"/>
        </w:rPr>
        <w:t>While this is admittedly anecdotal evidence, lawyers in Petitioner’s office were not aware of the Task Force.</w:t>
      </w:r>
      <w:r w:rsidR="00096640">
        <w:rPr>
          <w:sz w:val="28"/>
          <w:szCs w:val="28"/>
        </w:rPr>
        <w:t xml:space="preserve">  What the task force did in private and </w:t>
      </w:r>
      <w:r w:rsidR="00EA7B9C">
        <w:rPr>
          <w:sz w:val="28"/>
          <w:szCs w:val="28"/>
        </w:rPr>
        <w:t xml:space="preserve">then </w:t>
      </w:r>
      <w:r w:rsidR="00096640">
        <w:rPr>
          <w:sz w:val="28"/>
          <w:szCs w:val="28"/>
        </w:rPr>
        <w:t xml:space="preserve">published on the </w:t>
      </w:r>
      <w:r w:rsidR="00EA7B9C">
        <w:rPr>
          <w:sz w:val="28"/>
          <w:szCs w:val="28"/>
        </w:rPr>
        <w:t>Internet</w:t>
      </w:r>
      <w:r w:rsidR="00096640">
        <w:rPr>
          <w:sz w:val="28"/>
          <w:szCs w:val="28"/>
        </w:rPr>
        <w:t xml:space="preserve"> does not preclude this </w:t>
      </w:r>
      <w:r w:rsidR="00483DA9">
        <w:rPr>
          <w:sz w:val="28"/>
          <w:szCs w:val="28"/>
        </w:rPr>
        <w:t>C</w:t>
      </w:r>
      <w:r w:rsidR="00096640">
        <w:rPr>
          <w:sz w:val="28"/>
          <w:szCs w:val="28"/>
        </w:rPr>
        <w:t>ourt from considering the Petition.</w:t>
      </w:r>
    </w:p>
    <w:p w14:paraId="31BAD76C" w14:textId="50D0C4FF" w:rsidR="00096640" w:rsidRDefault="00096640" w:rsidP="002353A4">
      <w:pPr>
        <w:pStyle w:val="StyleDBodyFLIndentLeft-013Firstline0"/>
        <w:numPr>
          <w:ilvl w:val="1"/>
          <w:numId w:val="22"/>
        </w:numPr>
        <w:spacing w:line="480" w:lineRule="auto"/>
        <w:ind w:left="720" w:firstLine="0"/>
        <w:jc w:val="left"/>
        <w:rPr>
          <w:b/>
          <w:sz w:val="28"/>
          <w:szCs w:val="28"/>
        </w:rPr>
      </w:pPr>
      <w:r>
        <w:rPr>
          <w:b/>
          <w:sz w:val="28"/>
          <w:szCs w:val="28"/>
        </w:rPr>
        <w:t>The State Bar’s view of its mission is misguided.</w:t>
      </w:r>
    </w:p>
    <w:p w14:paraId="52FB5D25" w14:textId="7B1DBC03" w:rsidR="004A6A61" w:rsidRDefault="00096640" w:rsidP="002353A4">
      <w:pPr>
        <w:pStyle w:val="StyleDBodyFLIndentLeft-013Firstline0"/>
        <w:spacing w:line="480" w:lineRule="auto"/>
        <w:ind w:left="0" w:firstLine="720"/>
        <w:jc w:val="left"/>
        <w:rPr>
          <w:sz w:val="28"/>
          <w:szCs w:val="28"/>
        </w:rPr>
      </w:pPr>
      <w:r>
        <w:rPr>
          <w:sz w:val="28"/>
          <w:szCs w:val="28"/>
        </w:rPr>
        <w:t xml:space="preserve">The State Bar contends its purpose is to “protect </w:t>
      </w:r>
      <w:r w:rsidR="007130ED" w:rsidRPr="00096640">
        <w:rPr>
          <w:sz w:val="28"/>
          <w:szCs w:val="28"/>
        </w:rPr>
        <w:t>the public</w:t>
      </w:r>
      <w:r>
        <w:rPr>
          <w:sz w:val="28"/>
          <w:szCs w:val="28"/>
        </w:rPr>
        <w:t xml:space="preserve">.”  </w:t>
      </w:r>
      <w:r w:rsidR="00483DA9">
        <w:rPr>
          <w:sz w:val="28"/>
          <w:szCs w:val="28"/>
        </w:rPr>
        <w:t xml:space="preserve">State </w:t>
      </w:r>
      <w:proofErr w:type="gramStart"/>
      <w:r w:rsidR="00483DA9">
        <w:rPr>
          <w:sz w:val="28"/>
          <w:szCs w:val="28"/>
        </w:rPr>
        <w:t>Bar</w:t>
      </w:r>
      <w:proofErr w:type="gramEnd"/>
      <w:r w:rsidR="00483DA9">
        <w:rPr>
          <w:sz w:val="28"/>
          <w:szCs w:val="28"/>
        </w:rPr>
        <w:t xml:space="preserve"> </w:t>
      </w:r>
      <w:r>
        <w:rPr>
          <w:sz w:val="28"/>
          <w:szCs w:val="28"/>
        </w:rPr>
        <w:t xml:space="preserve">Comment at 3.  This makes sense.  If protecting the public means the testing, licensing, and disciplining of Arizona lawyers, all of this is covered by lawyer regulation, which would remain mandatory under the Petition.  </w:t>
      </w:r>
      <w:r w:rsidR="004A6A61">
        <w:rPr>
          <w:sz w:val="28"/>
          <w:szCs w:val="28"/>
        </w:rPr>
        <w:t>According to the Task Force, however, “[a]</w:t>
      </w:r>
      <w:r w:rsidR="004A6A61" w:rsidRPr="004A6A61">
        <w:rPr>
          <w:sz w:val="28"/>
          <w:szCs w:val="28"/>
        </w:rPr>
        <w:t xml:space="preserve">pproximately one-half of the </w:t>
      </w:r>
      <w:r w:rsidR="004A6A61">
        <w:rPr>
          <w:sz w:val="28"/>
          <w:szCs w:val="28"/>
        </w:rPr>
        <w:t>[State Bar]</w:t>
      </w:r>
      <w:r w:rsidR="004A6A61" w:rsidRPr="004A6A61">
        <w:rPr>
          <w:sz w:val="28"/>
          <w:szCs w:val="28"/>
        </w:rPr>
        <w:t>’s budget is devoted to attorney regulation.</w:t>
      </w:r>
      <w:r w:rsidR="004A6A61">
        <w:rPr>
          <w:sz w:val="28"/>
          <w:szCs w:val="28"/>
        </w:rPr>
        <w:t>”  Th</w:t>
      </w:r>
      <w:r w:rsidR="00483DA9">
        <w:rPr>
          <w:sz w:val="28"/>
          <w:szCs w:val="28"/>
        </w:rPr>
        <w:t>is means the</w:t>
      </w:r>
      <w:r w:rsidR="004A6A61">
        <w:rPr>
          <w:sz w:val="28"/>
          <w:szCs w:val="28"/>
        </w:rPr>
        <w:t xml:space="preserve"> other half of the budget must “protect the public” in some other way.</w:t>
      </w:r>
    </w:p>
    <w:p w14:paraId="5101C129" w14:textId="11F09301" w:rsidR="004A6A61" w:rsidRDefault="004A6A61" w:rsidP="002353A4">
      <w:pPr>
        <w:pStyle w:val="StyleDBodyFLIndentLeft-013Firstline0"/>
        <w:spacing w:line="480" w:lineRule="auto"/>
        <w:ind w:left="0" w:firstLine="720"/>
        <w:jc w:val="left"/>
        <w:rPr>
          <w:sz w:val="28"/>
          <w:szCs w:val="28"/>
        </w:rPr>
      </w:pPr>
      <w:r>
        <w:rPr>
          <w:sz w:val="28"/>
          <w:szCs w:val="28"/>
        </w:rPr>
        <w:t xml:space="preserve">The </w:t>
      </w:r>
      <w:r w:rsidR="00483DA9">
        <w:rPr>
          <w:sz w:val="28"/>
          <w:szCs w:val="28"/>
        </w:rPr>
        <w:t xml:space="preserve">State Bar </w:t>
      </w:r>
      <w:r>
        <w:rPr>
          <w:sz w:val="28"/>
          <w:szCs w:val="28"/>
        </w:rPr>
        <w:t>Comment states that Rule 32 “</w:t>
      </w:r>
      <w:proofErr w:type="gramStart"/>
      <w:r>
        <w:rPr>
          <w:sz w:val="28"/>
          <w:szCs w:val="28"/>
        </w:rPr>
        <w:t>do[</w:t>
      </w:r>
      <w:proofErr w:type="spellStart"/>
      <w:proofErr w:type="gramEnd"/>
      <w:r>
        <w:rPr>
          <w:sz w:val="28"/>
          <w:szCs w:val="28"/>
        </w:rPr>
        <w:t>es</w:t>
      </w:r>
      <w:proofErr w:type="spellEnd"/>
      <w:r>
        <w:rPr>
          <w:sz w:val="28"/>
          <w:szCs w:val="28"/>
        </w:rPr>
        <w:t xml:space="preserve">] not require the State Bar to heed the political or ideological dispositions of our members or to speak as a voice for our members.”  </w:t>
      </w:r>
      <w:r w:rsidR="00483DA9">
        <w:rPr>
          <w:sz w:val="28"/>
          <w:szCs w:val="28"/>
        </w:rPr>
        <w:t xml:space="preserve">State </w:t>
      </w:r>
      <w:proofErr w:type="gramStart"/>
      <w:r w:rsidR="00483DA9">
        <w:rPr>
          <w:sz w:val="28"/>
          <w:szCs w:val="28"/>
        </w:rPr>
        <w:t>Bar</w:t>
      </w:r>
      <w:proofErr w:type="gramEnd"/>
      <w:r w:rsidR="00483DA9">
        <w:rPr>
          <w:sz w:val="28"/>
          <w:szCs w:val="28"/>
        </w:rPr>
        <w:t xml:space="preserve"> Comment </w:t>
      </w:r>
      <w:r w:rsidR="00F94D35">
        <w:rPr>
          <w:sz w:val="28"/>
          <w:szCs w:val="28"/>
        </w:rPr>
        <w:t xml:space="preserve">at 5.  </w:t>
      </w:r>
      <w:r>
        <w:rPr>
          <w:sz w:val="28"/>
          <w:szCs w:val="28"/>
        </w:rPr>
        <w:t xml:space="preserve">In other words, we will charge </w:t>
      </w:r>
      <w:proofErr w:type="gramStart"/>
      <w:r>
        <w:rPr>
          <w:sz w:val="28"/>
          <w:szCs w:val="28"/>
        </w:rPr>
        <w:t>them</w:t>
      </w:r>
      <w:proofErr w:type="gramEnd"/>
      <w:r>
        <w:rPr>
          <w:sz w:val="28"/>
          <w:szCs w:val="28"/>
        </w:rPr>
        <w:t xml:space="preserve"> fees because we can, but we do not need to listen to them or speak for them.  </w:t>
      </w:r>
      <w:r w:rsidR="00EA7B9C">
        <w:rPr>
          <w:sz w:val="28"/>
          <w:szCs w:val="28"/>
        </w:rPr>
        <w:t xml:space="preserve">Any accountability provided by electing the Board of Governors is shown to be nothing more than an illusion.  </w:t>
      </w:r>
      <w:r w:rsidR="00F94D35">
        <w:rPr>
          <w:sz w:val="28"/>
          <w:szCs w:val="28"/>
        </w:rPr>
        <w:t xml:space="preserve">This is a textbook example of taxation without representation.  In today’s world, many organizations will have members </w:t>
      </w:r>
      <w:r w:rsidR="00483DA9">
        <w:rPr>
          <w:sz w:val="28"/>
          <w:szCs w:val="28"/>
        </w:rPr>
        <w:t>who</w:t>
      </w:r>
      <w:r w:rsidR="00F94D35">
        <w:rPr>
          <w:sz w:val="28"/>
          <w:szCs w:val="28"/>
        </w:rPr>
        <w:t xml:space="preserve"> do not agree politically or ideologically.  That is the very nature of democracy.  But an organization </w:t>
      </w:r>
      <w:r w:rsidR="00EA7B9C">
        <w:rPr>
          <w:sz w:val="28"/>
          <w:szCs w:val="28"/>
        </w:rPr>
        <w:t>that</w:t>
      </w:r>
      <w:r w:rsidR="00F94D35">
        <w:rPr>
          <w:sz w:val="28"/>
          <w:szCs w:val="28"/>
        </w:rPr>
        <w:t xml:space="preserve"> disclaims any obligation to consider what its members want is in need of </w:t>
      </w:r>
      <w:r w:rsidR="00EA7B9C">
        <w:rPr>
          <w:sz w:val="28"/>
          <w:szCs w:val="28"/>
        </w:rPr>
        <w:t>change</w:t>
      </w:r>
      <w:r w:rsidR="00F94D35">
        <w:rPr>
          <w:sz w:val="28"/>
          <w:szCs w:val="28"/>
        </w:rPr>
        <w:t>.</w:t>
      </w:r>
    </w:p>
    <w:p w14:paraId="1568E924" w14:textId="5979B074" w:rsidR="00F94D35" w:rsidRDefault="00F94D35" w:rsidP="002353A4">
      <w:pPr>
        <w:pStyle w:val="StyleDBodyFLIndentLeft-013Firstline0"/>
        <w:spacing w:line="480" w:lineRule="auto"/>
        <w:ind w:left="0" w:firstLine="720"/>
        <w:jc w:val="left"/>
        <w:rPr>
          <w:sz w:val="28"/>
          <w:szCs w:val="28"/>
        </w:rPr>
      </w:pPr>
      <w:r>
        <w:rPr>
          <w:sz w:val="28"/>
          <w:szCs w:val="28"/>
        </w:rPr>
        <w:t xml:space="preserve">The </w:t>
      </w:r>
      <w:r w:rsidR="00483DA9">
        <w:rPr>
          <w:sz w:val="28"/>
          <w:szCs w:val="28"/>
        </w:rPr>
        <w:t xml:space="preserve">State Bar Comment </w:t>
      </w:r>
      <w:r>
        <w:rPr>
          <w:sz w:val="28"/>
          <w:szCs w:val="28"/>
        </w:rPr>
        <w:t xml:space="preserve">does not explain why Arizona lawyers and judges, but no other </w:t>
      </w:r>
      <w:r w:rsidR="00483DA9">
        <w:rPr>
          <w:sz w:val="28"/>
          <w:szCs w:val="28"/>
        </w:rPr>
        <w:t xml:space="preserve">Arizona </w:t>
      </w:r>
      <w:r>
        <w:rPr>
          <w:sz w:val="28"/>
          <w:szCs w:val="28"/>
        </w:rPr>
        <w:t xml:space="preserve">constituency, is responsible for the part of protecting the public that is not covered under lawyer regulation.  </w:t>
      </w:r>
      <w:r w:rsidR="00A0158D">
        <w:rPr>
          <w:sz w:val="28"/>
          <w:szCs w:val="28"/>
        </w:rPr>
        <w:t xml:space="preserve">Other professions, such as medicine, contracting, real estate </w:t>
      </w:r>
      <w:proofErr w:type="gramStart"/>
      <w:r w:rsidR="00A0158D">
        <w:rPr>
          <w:sz w:val="28"/>
          <w:szCs w:val="28"/>
        </w:rPr>
        <w:t>sales,</w:t>
      </w:r>
      <w:proofErr w:type="gramEnd"/>
      <w:r w:rsidR="00A0158D">
        <w:rPr>
          <w:sz w:val="28"/>
          <w:szCs w:val="28"/>
        </w:rPr>
        <w:t xml:space="preserve"> and barbering require mandatory licensing, and a governing organization regulates the members</w:t>
      </w:r>
      <w:r w:rsidR="00483DA9">
        <w:rPr>
          <w:sz w:val="28"/>
          <w:szCs w:val="28"/>
        </w:rPr>
        <w:t xml:space="preserve"> and charges them licensing fees</w:t>
      </w:r>
      <w:r w:rsidR="00A0158D">
        <w:rPr>
          <w:sz w:val="28"/>
          <w:szCs w:val="28"/>
        </w:rPr>
        <w:t xml:space="preserve">.  </w:t>
      </w:r>
      <w:r w:rsidR="00E23BD4">
        <w:rPr>
          <w:sz w:val="28"/>
          <w:szCs w:val="28"/>
        </w:rPr>
        <w:t xml:space="preserve">But only the State Bar spends a mere 50% of its budget on direct regulation, forcing all Arizona lawyers and judges to pay for excessive “services” whether they use them or not.  Why?  The State Bar Comment does not clearly say, or clearly distinguish between regulation and member services.  </w:t>
      </w:r>
    </w:p>
    <w:p w14:paraId="0BB487FE" w14:textId="635BDF4F" w:rsidR="00A0158D" w:rsidRDefault="00A0158D" w:rsidP="002353A4">
      <w:pPr>
        <w:pStyle w:val="StyleDBodyFLIndentLeft-013Firstline0"/>
        <w:spacing w:line="480" w:lineRule="auto"/>
        <w:ind w:left="0" w:firstLine="720"/>
        <w:jc w:val="left"/>
        <w:rPr>
          <w:sz w:val="28"/>
          <w:szCs w:val="28"/>
        </w:rPr>
      </w:pPr>
      <w:r>
        <w:rPr>
          <w:sz w:val="28"/>
          <w:szCs w:val="28"/>
        </w:rPr>
        <w:t xml:space="preserve">The misguided nature of the State Bar’s perceived mission is illustrated well in the fees paid by inactive and retired Arizona lawyers.  Both categories need little or no traditional lawyer regulation.  They are not practicing law.  They are inactive or retired.  The State Bar’s necessary lawyer regulation function </w:t>
      </w:r>
      <w:r w:rsidR="008C6A2D">
        <w:rPr>
          <w:sz w:val="28"/>
          <w:szCs w:val="28"/>
        </w:rPr>
        <w:t xml:space="preserve">relative to </w:t>
      </w:r>
      <w:r>
        <w:rPr>
          <w:sz w:val="28"/>
          <w:szCs w:val="28"/>
        </w:rPr>
        <w:t xml:space="preserve">both categories involves little more than keeping </w:t>
      </w:r>
      <w:r w:rsidR="00483DA9">
        <w:rPr>
          <w:sz w:val="28"/>
          <w:szCs w:val="28"/>
        </w:rPr>
        <w:t>their names</w:t>
      </w:r>
      <w:r>
        <w:rPr>
          <w:sz w:val="28"/>
          <w:szCs w:val="28"/>
        </w:rPr>
        <w:t xml:space="preserve"> on a list.  Yet, inactive members pay </w:t>
      </w:r>
      <w:r w:rsidR="008C6A2D">
        <w:rPr>
          <w:sz w:val="28"/>
          <w:szCs w:val="28"/>
        </w:rPr>
        <w:t xml:space="preserve">$265 in dues per year, and retired members pay $215.  That is an expensive list.  </w:t>
      </w:r>
      <w:r w:rsidR="00E23BD4">
        <w:rPr>
          <w:sz w:val="28"/>
          <w:szCs w:val="28"/>
        </w:rPr>
        <w:t xml:space="preserve">These costs likely would decline if </w:t>
      </w:r>
      <w:r w:rsidR="00E75F5C">
        <w:rPr>
          <w:sz w:val="28"/>
          <w:szCs w:val="28"/>
        </w:rPr>
        <w:t xml:space="preserve">mandatory </w:t>
      </w:r>
      <w:r w:rsidR="00E23BD4">
        <w:rPr>
          <w:sz w:val="28"/>
          <w:szCs w:val="28"/>
        </w:rPr>
        <w:t xml:space="preserve">membership </w:t>
      </w:r>
      <w:r w:rsidR="00E75F5C">
        <w:rPr>
          <w:sz w:val="28"/>
          <w:szCs w:val="28"/>
        </w:rPr>
        <w:t>became</w:t>
      </w:r>
      <w:r w:rsidR="00E23BD4">
        <w:rPr>
          <w:sz w:val="28"/>
          <w:szCs w:val="28"/>
        </w:rPr>
        <w:t xml:space="preserve"> focused on </w:t>
      </w:r>
      <w:r w:rsidR="00E75F5C">
        <w:rPr>
          <w:sz w:val="28"/>
          <w:szCs w:val="28"/>
        </w:rPr>
        <w:t xml:space="preserve">only lawyer </w:t>
      </w:r>
      <w:r w:rsidR="00E23BD4">
        <w:rPr>
          <w:sz w:val="28"/>
          <w:szCs w:val="28"/>
        </w:rPr>
        <w:t>regulation.  That would be fair and right.  Inactive and retired people are near the bottom of any reasonable list of Arizonans prioritized in order of who should pay for lawyers’ and judges’ extra-curricular activities.</w:t>
      </w:r>
    </w:p>
    <w:p w14:paraId="0315A955" w14:textId="0D33B7AE" w:rsidR="002D1E93" w:rsidRDefault="00230217" w:rsidP="002353A4">
      <w:pPr>
        <w:pStyle w:val="StyleDBodyFLIndentLeft-013Firstline0"/>
        <w:spacing w:line="480" w:lineRule="auto"/>
        <w:ind w:left="0" w:firstLine="720"/>
        <w:jc w:val="left"/>
        <w:rPr>
          <w:sz w:val="28"/>
          <w:szCs w:val="28"/>
        </w:rPr>
      </w:pPr>
      <w:r>
        <w:rPr>
          <w:sz w:val="28"/>
          <w:szCs w:val="28"/>
        </w:rPr>
        <w:t xml:space="preserve">The </w:t>
      </w:r>
      <w:r w:rsidR="00483DA9">
        <w:rPr>
          <w:sz w:val="28"/>
          <w:szCs w:val="28"/>
        </w:rPr>
        <w:t xml:space="preserve">State Bar </w:t>
      </w:r>
      <w:r>
        <w:rPr>
          <w:sz w:val="28"/>
          <w:szCs w:val="28"/>
        </w:rPr>
        <w:t xml:space="preserve">Comment cites statistics </w:t>
      </w:r>
      <w:r w:rsidR="00483DA9">
        <w:rPr>
          <w:sz w:val="28"/>
          <w:szCs w:val="28"/>
        </w:rPr>
        <w:t>that</w:t>
      </w:r>
      <w:r>
        <w:rPr>
          <w:sz w:val="28"/>
          <w:szCs w:val="28"/>
        </w:rPr>
        <w:t xml:space="preserve"> Nebraska experienced a decline in bar revenues after membership became voluntary, other than for lawyer regulation.  </w:t>
      </w:r>
      <w:r w:rsidRPr="00230217">
        <w:rPr>
          <w:i/>
          <w:sz w:val="28"/>
          <w:szCs w:val="28"/>
        </w:rPr>
        <w:t>See</w:t>
      </w:r>
      <w:r>
        <w:rPr>
          <w:sz w:val="28"/>
          <w:szCs w:val="28"/>
        </w:rPr>
        <w:t xml:space="preserve"> </w:t>
      </w:r>
      <w:r w:rsidR="00483DA9">
        <w:rPr>
          <w:sz w:val="28"/>
          <w:szCs w:val="28"/>
        </w:rPr>
        <w:t xml:space="preserve">State Bar </w:t>
      </w:r>
      <w:r>
        <w:rPr>
          <w:sz w:val="28"/>
          <w:szCs w:val="28"/>
        </w:rPr>
        <w:t xml:space="preserve">Comment at 7-9.  </w:t>
      </w:r>
      <w:r w:rsidR="00C81DB6">
        <w:rPr>
          <w:sz w:val="28"/>
          <w:szCs w:val="28"/>
        </w:rPr>
        <w:t xml:space="preserve">Nebraska lawyers also pay far less than Arizona lawyers in mandatory membership fees, </w:t>
      </w:r>
      <w:r w:rsidR="00E23BD4">
        <w:rPr>
          <w:sz w:val="28"/>
          <w:szCs w:val="28"/>
        </w:rPr>
        <w:t xml:space="preserve">and there is no reason to believe </w:t>
      </w:r>
      <w:r w:rsidR="00C81DB6">
        <w:rPr>
          <w:sz w:val="28"/>
          <w:szCs w:val="28"/>
        </w:rPr>
        <w:t xml:space="preserve">they are more ethical </w:t>
      </w:r>
      <w:r w:rsidR="00D2286A">
        <w:rPr>
          <w:sz w:val="28"/>
          <w:szCs w:val="28"/>
        </w:rPr>
        <w:t xml:space="preserve">than we are </w:t>
      </w:r>
      <w:r w:rsidR="00C81DB6">
        <w:rPr>
          <w:sz w:val="28"/>
          <w:szCs w:val="28"/>
        </w:rPr>
        <w:t xml:space="preserve">or </w:t>
      </w:r>
      <w:r w:rsidR="00D2286A">
        <w:rPr>
          <w:sz w:val="28"/>
          <w:szCs w:val="28"/>
        </w:rPr>
        <w:t xml:space="preserve">less </w:t>
      </w:r>
      <w:r w:rsidR="00C81DB6">
        <w:rPr>
          <w:sz w:val="28"/>
          <w:szCs w:val="28"/>
        </w:rPr>
        <w:t xml:space="preserve">in need of regulation.  </w:t>
      </w:r>
      <w:r w:rsidR="00AA3F6B">
        <w:rPr>
          <w:sz w:val="28"/>
          <w:szCs w:val="28"/>
        </w:rPr>
        <w:t>“</w:t>
      </w:r>
      <w:r w:rsidR="00AA3F6B" w:rsidRPr="00AA3F6B">
        <w:rPr>
          <w:sz w:val="28"/>
          <w:szCs w:val="28"/>
        </w:rPr>
        <w:t>The lawyers in Nebraska now pay a mandatory fee of $98 directly to the Nebraska Supreme</w:t>
      </w:r>
      <w:r w:rsidR="00AA3F6B">
        <w:rPr>
          <w:sz w:val="28"/>
          <w:szCs w:val="28"/>
        </w:rPr>
        <w:t xml:space="preserve"> </w:t>
      </w:r>
      <w:r w:rsidR="00AA3F6B" w:rsidRPr="00AA3F6B">
        <w:rPr>
          <w:sz w:val="28"/>
          <w:szCs w:val="28"/>
        </w:rPr>
        <w:t xml:space="preserve">Court for regulation. </w:t>
      </w:r>
      <w:r w:rsidR="00AA3F6B">
        <w:rPr>
          <w:sz w:val="28"/>
          <w:szCs w:val="28"/>
        </w:rPr>
        <w:t xml:space="preserve"> </w:t>
      </w:r>
      <w:r w:rsidR="00AA3F6B" w:rsidRPr="00AA3F6B">
        <w:rPr>
          <w:sz w:val="28"/>
          <w:szCs w:val="28"/>
        </w:rPr>
        <w:t>And dues to the Nebraska State Bar Association are now voluntary.</w:t>
      </w:r>
      <w:r w:rsidR="00AA3F6B">
        <w:rPr>
          <w:sz w:val="28"/>
          <w:szCs w:val="28"/>
        </w:rPr>
        <w:t xml:space="preserve">”  </w:t>
      </w:r>
      <w:r w:rsidR="00C81DB6" w:rsidRPr="00C81DB6">
        <w:rPr>
          <w:sz w:val="28"/>
          <w:szCs w:val="28"/>
        </w:rPr>
        <w:t xml:space="preserve">Liz </w:t>
      </w:r>
      <w:proofErr w:type="spellStart"/>
      <w:r w:rsidR="00C81DB6" w:rsidRPr="00C81DB6">
        <w:rPr>
          <w:sz w:val="28"/>
          <w:szCs w:val="28"/>
        </w:rPr>
        <w:t>Neeley</w:t>
      </w:r>
      <w:proofErr w:type="spellEnd"/>
      <w:r w:rsidR="00C81DB6" w:rsidRPr="00C81DB6">
        <w:rPr>
          <w:sz w:val="28"/>
          <w:szCs w:val="28"/>
        </w:rPr>
        <w:t>, Exec</w:t>
      </w:r>
      <w:r w:rsidR="00C81DB6">
        <w:rPr>
          <w:sz w:val="28"/>
          <w:szCs w:val="28"/>
        </w:rPr>
        <w:t xml:space="preserve">. </w:t>
      </w:r>
      <w:r w:rsidR="00C81DB6" w:rsidRPr="00C81DB6">
        <w:rPr>
          <w:sz w:val="28"/>
          <w:szCs w:val="28"/>
        </w:rPr>
        <w:t>Dir</w:t>
      </w:r>
      <w:r w:rsidR="00C81DB6">
        <w:rPr>
          <w:sz w:val="28"/>
          <w:szCs w:val="28"/>
        </w:rPr>
        <w:t>.</w:t>
      </w:r>
      <w:r w:rsidR="00C81DB6" w:rsidRPr="00C81DB6">
        <w:rPr>
          <w:sz w:val="28"/>
          <w:szCs w:val="28"/>
        </w:rPr>
        <w:t>, Neb</w:t>
      </w:r>
      <w:r w:rsidR="00C81DB6">
        <w:rPr>
          <w:sz w:val="28"/>
          <w:szCs w:val="28"/>
        </w:rPr>
        <w:t>.</w:t>
      </w:r>
      <w:r w:rsidR="00C81DB6" w:rsidRPr="00C81DB6">
        <w:rPr>
          <w:sz w:val="28"/>
          <w:szCs w:val="28"/>
        </w:rPr>
        <w:t xml:space="preserve"> St</w:t>
      </w:r>
      <w:r w:rsidR="00C81DB6">
        <w:rPr>
          <w:sz w:val="28"/>
          <w:szCs w:val="28"/>
        </w:rPr>
        <w:t>.</w:t>
      </w:r>
      <w:r w:rsidR="00C81DB6" w:rsidRPr="00C81DB6">
        <w:rPr>
          <w:sz w:val="28"/>
          <w:szCs w:val="28"/>
        </w:rPr>
        <w:t xml:space="preserve"> Bar Assoc</w:t>
      </w:r>
      <w:r w:rsidR="00C81DB6">
        <w:rPr>
          <w:sz w:val="28"/>
          <w:szCs w:val="28"/>
        </w:rPr>
        <w:t xml:space="preserve">., Remarks before California </w:t>
      </w:r>
      <w:r w:rsidR="00C81DB6" w:rsidRPr="00C81DB6">
        <w:rPr>
          <w:sz w:val="28"/>
          <w:szCs w:val="28"/>
        </w:rPr>
        <w:t>Governance in the</w:t>
      </w:r>
      <w:r w:rsidR="00C81DB6">
        <w:rPr>
          <w:sz w:val="28"/>
          <w:szCs w:val="28"/>
        </w:rPr>
        <w:t xml:space="preserve"> </w:t>
      </w:r>
      <w:r w:rsidR="00C81DB6" w:rsidRPr="00C81DB6">
        <w:rPr>
          <w:sz w:val="28"/>
          <w:szCs w:val="28"/>
        </w:rPr>
        <w:t>Public Interest Task Force (April 25, 2016)</w:t>
      </w:r>
      <w:r w:rsidR="00C81DB6">
        <w:rPr>
          <w:sz w:val="28"/>
          <w:szCs w:val="28"/>
        </w:rPr>
        <w:t xml:space="preserve"> (transcript available in </w:t>
      </w:r>
      <w:r w:rsidR="00C81DB6" w:rsidRPr="00C81DB6">
        <w:rPr>
          <w:sz w:val="28"/>
          <w:szCs w:val="28"/>
        </w:rPr>
        <w:t xml:space="preserve">The State Bar of California, </w:t>
      </w:r>
      <w:r w:rsidR="00C81DB6" w:rsidRPr="00E23BD4">
        <w:rPr>
          <w:i/>
          <w:sz w:val="28"/>
          <w:szCs w:val="28"/>
        </w:rPr>
        <w:t>White Paper, The Functions, Authority &amp; Structure of the State Bar of California</w:t>
      </w:r>
      <w:r w:rsidR="00C81DB6" w:rsidRPr="00C81DB6">
        <w:rPr>
          <w:sz w:val="28"/>
          <w:szCs w:val="28"/>
        </w:rPr>
        <w:t xml:space="preserve"> (May 12, 2016)</w:t>
      </w:r>
      <w:r w:rsidR="002D1E93">
        <w:rPr>
          <w:sz w:val="28"/>
          <w:szCs w:val="28"/>
        </w:rPr>
        <w:t>,</w:t>
      </w:r>
      <w:r w:rsidR="00C81DB6" w:rsidRPr="00C81DB6">
        <w:rPr>
          <w:sz w:val="28"/>
          <w:szCs w:val="28"/>
        </w:rPr>
        <w:t xml:space="preserve"> Append</w:t>
      </w:r>
      <w:r w:rsidR="00C81DB6">
        <w:rPr>
          <w:sz w:val="28"/>
          <w:szCs w:val="28"/>
        </w:rPr>
        <w:t xml:space="preserve">ix F at 14).  </w:t>
      </w:r>
    </w:p>
    <w:p w14:paraId="6CB4B154" w14:textId="710DC7A4" w:rsidR="007130ED" w:rsidRDefault="00230217" w:rsidP="002353A4">
      <w:pPr>
        <w:pStyle w:val="StyleDBodyFLIndentLeft-013Firstline0"/>
        <w:spacing w:line="480" w:lineRule="auto"/>
        <w:ind w:left="0" w:firstLine="720"/>
        <w:jc w:val="left"/>
        <w:rPr>
          <w:sz w:val="28"/>
          <w:szCs w:val="28"/>
        </w:rPr>
      </w:pPr>
      <w:r>
        <w:rPr>
          <w:sz w:val="28"/>
          <w:szCs w:val="28"/>
        </w:rPr>
        <w:t>It makes sense that if you charge people for something they do not think they want or need, or if you charge too much, some of them might stop paying if they are given that option.  Almost anyone wrongfully compelled to do something may stop doing it if you let them.  Th</w:t>
      </w:r>
      <w:r w:rsidR="00D2286A">
        <w:rPr>
          <w:sz w:val="28"/>
          <w:szCs w:val="28"/>
        </w:rPr>
        <w:t>is fact</w:t>
      </w:r>
      <w:r>
        <w:rPr>
          <w:sz w:val="28"/>
          <w:szCs w:val="28"/>
        </w:rPr>
        <w:t xml:space="preserve"> is no excuse to continue </w:t>
      </w:r>
      <w:r w:rsidR="00AA3F6B">
        <w:rPr>
          <w:sz w:val="28"/>
          <w:szCs w:val="28"/>
        </w:rPr>
        <w:t>compelling them.</w:t>
      </w:r>
    </w:p>
    <w:p w14:paraId="143DB211" w14:textId="037E3D39" w:rsidR="00D2286A" w:rsidRDefault="00D2286A" w:rsidP="002353A4">
      <w:pPr>
        <w:pStyle w:val="StyleDBodyFLIndentLeft-013Firstline0"/>
        <w:spacing w:line="480" w:lineRule="auto"/>
        <w:ind w:left="0" w:firstLine="720"/>
        <w:jc w:val="left"/>
        <w:rPr>
          <w:sz w:val="28"/>
          <w:szCs w:val="28"/>
        </w:rPr>
      </w:pPr>
      <w:r>
        <w:rPr>
          <w:sz w:val="28"/>
          <w:szCs w:val="28"/>
        </w:rPr>
        <w:t xml:space="preserve">Clearly not a fan of Nebraska’s voluntary bar, </w:t>
      </w:r>
      <w:r w:rsidR="00E23BD4" w:rsidRPr="00C81DB6">
        <w:rPr>
          <w:sz w:val="28"/>
          <w:szCs w:val="28"/>
        </w:rPr>
        <w:t>Neb</w:t>
      </w:r>
      <w:r w:rsidR="00E23BD4">
        <w:rPr>
          <w:sz w:val="28"/>
          <w:szCs w:val="28"/>
        </w:rPr>
        <w:t>raska</w:t>
      </w:r>
      <w:r w:rsidR="00E23BD4" w:rsidRPr="00C81DB6">
        <w:rPr>
          <w:sz w:val="28"/>
          <w:szCs w:val="28"/>
        </w:rPr>
        <w:t xml:space="preserve"> St</w:t>
      </w:r>
      <w:r w:rsidR="00E23BD4">
        <w:rPr>
          <w:sz w:val="28"/>
          <w:szCs w:val="28"/>
        </w:rPr>
        <w:t>ate</w:t>
      </w:r>
      <w:r w:rsidR="00E23BD4" w:rsidRPr="00C81DB6">
        <w:rPr>
          <w:sz w:val="28"/>
          <w:szCs w:val="28"/>
        </w:rPr>
        <w:t xml:space="preserve"> Bar Assoc</w:t>
      </w:r>
      <w:r w:rsidR="00E23BD4">
        <w:rPr>
          <w:sz w:val="28"/>
          <w:szCs w:val="28"/>
        </w:rPr>
        <w:t>iation</w:t>
      </w:r>
      <w:r w:rsidR="00E23BD4" w:rsidDel="006A1EB6">
        <w:rPr>
          <w:sz w:val="28"/>
          <w:szCs w:val="28"/>
        </w:rPr>
        <w:t xml:space="preserve"> </w:t>
      </w:r>
      <w:r w:rsidR="00E23BD4" w:rsidRPr="00C81DB6">
        <w:rPr>
          <w:sz w:val="28"/>
          <w:szCs w:val="28"/>
        </w:rPr>
        <w:t>Exec</w:t>
      </w:r>
      <w:r w:rsidR="00E23BD4">
        <w:rPr>
          <w:sz w:val="28"/>
          <w:szCs w:val="28"/>
        </w:rPr>
        <w:t xml:space="preserve">utive </w:t>
      </w:r>
      <w:r w:rsidR="00E23BD4" w:rsidRPr="00C81DB6">
        <w:rPr>
          <w:sz w:val="28"/>
          <w:szCs w:val="28"/>
        </w:rPr>
        <w:t>Dir</w:t>
      </w:r>
      <w:r w:rsidR="00E23BD4">
        <w:rPr>
          <w:sz w:val="28"/>
          <w:szCs w:val="28"/>
        </w:rPr>
        <w:t>ector</w:t>
      </w:r>
      <w:r w:rsidR="00E23BD4" w:rsidRPr="00C81DB6">
        <w:rPr>
          <w:sz w:val="28"/>
          <w:szCs w:val="28"/>
        </w:rPr>
        <w:t xml:space="preserve"> </w:t>
      </w:r>
      <w:r w:rsidR="00E23BD4">
        <w:rPr>
          <w:sz w:val="28"/>
          <w:szCs w:val="28"/>
        </w:rPr>
        <w:t xml:space="preserve">Neely’s </w:t>
      </w:r>
      <w:r>
        <w:rPr>
          <w:sz w:val="28"/>
          <w:szCs w:val="28"/>
        </w:rPr>
        <w:t>comments to the California Bar are telling:</w:t>
      </w:r>
    </w:p>
    <w:p w14:paraId="2FB4FBE5" w14:textId="5C0E66ED" w:rsidR="00C81DB6" w:rsidRDefault="00D2286A" w:rsidP="00E23BD4">
      <w:pPr>
        <w:pStyle w:val="StyleDBodyFLIndentLeft-013Firstline0"/>
        <w:spacing w:after="240" w:line="240" w:lineRule="auto"/>
        <w:ind w:left="1440" w:right="1440" w:firstLine="0"/>
        <w:jc w:val="left"/>
        <w:rPr>
          <w:sz w:val="28"/>
          <w:szCs w:val="28"/>
        </w:rPr>
      </w:pPr>
      <w:r w:rsidRPr="00D2286A">
        <w:rPr>
          <w:sz w:val="28"/>
          <w:szCs w:val="28"/>
        </w:rPr>
        <w:t xml:space="preserve">I guess in a nutshell, what </w:t>
      </w:r>
      <w:r w:rsidR="00E23BD4" w:rsidRPr="00D2286A">
        <w:rPr>
          <w:sz w:val="28"/>
          <w:szCs w:val="28"/>
        </w:rPr>
        <w:t>I</w:t>
      </w:r>
      <w:r w:rsidR="00E23BD4">
        <w:rPr>
          <w:sz w:val="28"/>
          <w:szCs w:val="28"/>
        </w:rPr>
        <w:t>’</w:t>
      </w:r>
      <w:r w:rsidR="00E23BD4" w:rsidRPr="00D2286A">
        <w:rPr>
          <w:sz w:val="28"/>
          <w:szCs w:val="28"/>
        </w:rPr>
        <w:t>d</w:t>
      </w:r>
      <w:r w:rsidRPr="00D2286A">
        <w:rPr>
          <w:sz w:val="28"/>
          <w:szCs w:val="28"/>
        </w:rPr>
        <w:t xml:space="preserve"> like to say is the beauty of a mandatory bar association is that it can look outside itself.</w:t>
      </w:r>
      <w:r>
        <w:rPr>
          <w:sz w:val="28"/>
          <w:szCs w:val="28"/>
        </w:rPr>
        <w:t xml:space="preserve"> </w:t>
      </w:r>
      <w:r w:rsidRPr="00D2286A">
        <w:rPr>
          <w:sz w:val="28"/>
          <w:szCs w:val="28"/>
        </w:rPr>
        <w:t xml:space="preserve"> It can</w:t>
      </w:r>
      <w:r>
        <w:rPr>
          <w:sz w:val="28"/>
          <w:szCs w:val="28"/>
        </w:rPr>
        <w:t xml:space="preserve"> </w:t>
      </w:r>
      <w:r w:rsidRPr="00D2286A">
        <w:rPr>
          <w:sz w:val="28"/>
          <w:szCs w:val="28"/>
        </w:rPr>
        <w:t xml:space="preserve">serve its membership, but it can also serve the public and it can serve the court system. </w:t>
      </w:r>
      <w:r>
        <w:rPr>
          <w:sz w:val="28"/>
          <w:szCs w:val="28"/>
        </w:rPr>
        <w:t xml:space="preserve"> </w:t>
      </w:r>
      <w:r w:rsidRPr="00D2286A">
        <w:rPr>
          <w:sz w:val="28"/>
          <w:szCs w:val="28"/>
        </w:rPr>
        <w:t>Voluntary bar associations for</w:t>
      </w:r>
      <w:r>
        <w:rPr>
          <w:sz w:val="28"/>
          <w:szCs w:val="28"/>
        </w:rPr>
        <w:t xml:space="preserve"> </w:t>
      </w:r>
      <w:r w:rsidRPr="00D2286A">
        <w:rPr>
          <w:sz w:val="28"/>
          <w:szCs w:val="28"/>
        </w:rPr>
        <w:t xml:space="preserve">their own survival must be inward looking. </w:t>
      </w:r>
      <w:r>
        <w:rPr>
          <w:sz w:val="28"/>
          <w:szCs w:val="28"/>
        </w:rPr>
        <w:t xml:space="preserve"> </w:t>
      </w:r>
      <w:r w:rsidRPr="00D2286A">
        <w:rPr>
          <w:sz w:val="28"/>
          <w:szCs w:val="28"/>
        </w:rPr>
        <w:t>They must focus primarily on the value to their membership so that dues revenue</w:t>
      </w:r>
      <w:r>
        <w:rPr>
          <w:sz w:val="28"/>
          <w:szCs w:val="28"/>
        </w:rPr>
        <w:t xml:space="preserve"> </w:t>
      </w:r>
      <w:r w:rsidRPr="00D2286A">
        <w:rPr>
          <w:sz w:val="28"/>
          <w:szCs w:val="28"/>
        </w:rPr>
        <w:t xml:space="preserve">will continue to come in and service to the courts and the public becomes secondary. </w:t>
      </w:r>
      <w:r>
        <w:rPr>
          <w:sz w:val="28"/>
          <w:szCs w:val="28"/>
        </w:rPr>
        <w:t xml:space="preserve"> </w:t>
      </w:r>
      <w:r w:rsidRPr="00D2286A">
        <w:rPr>
          <w:sz w:val="28"/>
          <w:szCs w:val="28"/>
        </w:rPr>
        <w:t xml:space="preserve">I think </w:t>
      </w:r>
      <w:r w:rsidR="00E23BD4" w:rsidRPr="00D2286A">
        <w:rPr>
          <w:sz w:val="28"/>
          <w:szCs w:val="28"/>
        </w:rPr>
        <w:t>it</w:t>
      </w:r>
      <w:r w:rsidR="00E23BD4">
        <w:rPr>
          <w:sz w:val="28"/>
          <w:szCs w:val="28"/>
        </w:rPr>
        <w:t>’</w:t>
      </w:r>
      <w:r w:rsidR="00E23BD4" w:rsidRPr="00D2286A">
        <w:rPr>
          <w:sz w:val="28"/>
          <w:szCs w:val="28"/>
        </w:rPr>
        <w:t>s</w:t>
      </w:r>
      <w:r w:rsidRPr="00D2286A">
        <w:rPr>
          <w:sz w:val="28"/>
          <w:szCs w:val="28"/>
        </w:rPr>
        <w:t xml:space="preserve"> unrealistic to think that you can take a revenue reduction like this and maintain the same level of service and functions.  In making cuts, voluntary bar associations will look at all they currently do and ask themselves which of these provides value to our membership? </w:t>
      </w:r>
      <w:r>
        <w:rPr>
          <w:sz w:val="28"/>
          <w:szCs w:val="28"/>
        </w:rPr>
        <w:t xml:space="preserve"> </w:t>
      </w:r>
      <w:r w:rsidRPr="00D2286A">
        <w:rPr>
          <w:sz w:val="28"/>
          <w:szCs w:val="28"/>
        </w:rPr>
        <w:t>How can we strengthen our value proposition?</w:t>
      </w:r>
    </w:p>
    <w:p w14:paraId="41E7DB70" w14:textId="77777777" w:rsidR="006325AA" w:rsidRDefault="00D2286A" w:rsidP="002353A4">
      <w:pPr>
        <w:pStyle w:val="StyleDBodyFLIndentLeft-013Firstline0"/>
        <w:spacing w:line="480" w:lineRule="auto"/>
        <w:ind w:left="0" w:firstLine="0"/>
        <w:jc w:val="left"/>
        <w:rPr>
          <w:i/>
          <w:sz w:val="28"/>
          <w:szCs w:val="28"/>
        </w:rPr>
      </w:pPr>
      <w:r w:rsidRPr="00D2286A">
        <w:rPr>
          <w:i/>
          <w:sz w:val="28"/>
          <w:szCs w:val="28"/>
        </w:rPr>
        <w:t xml:space="preserve">Id.  </w:t>
      </w:r>
    </w:p>
    <w:p w14:paraId="3DD0EFC4" w14:textId="379260F9" w:rsidR="00230217" w:rsidRDefault="002D1E93" w:rsidP="002353A4">
      <w:pPr>
        <w:pStyle w:val="StyleDBodyFLIndentLeft-013Firstline0"/>
        <w:spacing w:line="480" w:lineRule="auto"/>
        <w:ind w:left="0" w:firstLine="720"/>
        <w:jc w:val="left"/>
        <w:rPr>
          <w:sz w:val="28"/>
          <w:szCs w:val="28"/>
        </w:rPr>
      </w:pPr>
      <w:r>
        <w:rPr>
          <w:sz w:val="28"/>
          <w:szCs w:val="28"/>
        </w:rPr>
        <w:t xml:space="preserve">The </w:t>
      </w:r>
      <w:r w:rsidR="00600CB9">
        <w:rPr>
          <w:sz w:val="28"/>
          <w:szCs w:val="28"/>
        </w:rPr>
        <w:t xml:space="preserve">“beauty” </w:t>
      </w:r>
      <w:r>
        <w:rPr>
          <w:sz w:val="28"/>
          <w:szCs w:val="28"/>
        </w:rPr>
        <w:t xml:space="preserve">of forced membership in any organization, is that management has no need </w:t>
      </w:r>
      <w:r w:rsidR="00600CB9">
        <w:rPr>
          <w:sz w:val="28"/>
          <w:szCs w:val="28"/>
        </w:rPr>
        <w:t>to worry about member demands because the members have no choice but to belong.  That does not justify compulsion.  Petitioner asks, what is wrong with giving the state bar some incentive to provide value to its members?</w:t>
      </w:r>
      <w:r w:rsidR="006325AA">
        <w:rPr>
          <w:sz w:val="28"/>
          <w:szCs w:val="28"/>
        </w:rPr>
        <w:t xml:space="preserve">  </w:t>
      </w:r>
      <w:r w:rsidR="00D2286A">
        <w:rPr>
          <w:sz w:val="28"/>
          <w:szCs w:val="28"/>
        </w:rPr>
        <w:t xml:space="preserve">Eighteen other states </w:t>
      </w:r>
      <w:r w:rsidR="006325AA">
        <w:rPr>
          <w:sz w:val="28"/>
          <w:szCs w:val="28"/>
        </w:rPr>
        <w:t xml:space="preserve">have voluntary bars.  Many of them, including but not limited to </w:t>
      </w:r>
      <w:r>
        <w:rPr>
          <w:sz w:val="28"/>
          <w:szCs w:val="28"/>
        </w:rPr>
        <w:t xml:space="preserve">New York, </w:t>
      </w:r>
      <w:r w:rsidR="006325AA">
        <w:rPr>
          <w:sz w:val="28"/>
          <w:szCs w:val="28"/>
        </w:rPr>
        <w:t>Delaware, Maryland, Illinois, and moving west, Kansas and Colorado, have practicing lawyers with fine reputations.  Arizona could join them without harming the state, its reputation, or the public.</w:t>
      </w:r>
    </w:p>
    <w:p w14:paraId="0B3EC9E5" w14:textId="47B40A3B" w:rsidR="007130ED" w:rsidRPr="007130ED" w:rsidRDefault="006325AA" w:rsidP="002353A4">
      <w:pPr>
        <w:pStyle w:val="StyleDBodyFLIndentLeft-013Firstline0"/>
        <w:numPr>
          <w:ilvl w:val="1"/>
          <w:numId w:val="22"/>
        </w:numPr>
        <w:spacing w:line="480" w:lineRule="auto"/>
        <w:ind w:left="720" w:firstLine="0"/>
        <w:jc w:val="left"/>
        <w:rPr>
          <w:b/>
          <w:sz w:val="28"/>
          <w:szCs w:val="28"/>
        </w:rPr>
      </w:pPr>
      <w:r>
        <w:rPr>
          <w:b/>
          <w:sz w:val="28"/>
          <w:szCs w:val="28"/>
        </w:rPr>
        <w:t>The State Bar is not “</w:t>
      </w:r>
      <w:r w:rsidRPr="006325AA">
        <w:rPr>
          <w:b/>
          <w:i/>
          <w:sz w:val="28"/>
          <w:szCs w:val="28"/>
        </w:rPr>
        <w:t>Keller</w:t>
      </w:r>
      <w:r>
        <w:rPr>
          <w:b/>
          <w:sz w:val="28"/>
          <w:szCs w:val="28"/>
        </w:rPr>
        <w:t xml:space="preserve"> pure.”</w:t>
      </w:r>
    </w:p>
    <w:p w14:paraId="60F95704" w14:textId="4F25852F" w:rsidR="006325AA" w:rsidRDefault="00320E71" w:rsidP="002353A4">
      <w:pPr>
        <w:pStyle w:val="StyleDBodyFLIndentLeft-013Firstline0"/>
        <w:spacing w:line="480" w:lineRule="auto"/>
        <w:ind w:left="0" w:firstLine="720"/>
        <w:jc w:val="left"/>
        <w:rPr>
          <w:sz w:val="28"/>
          <w:szCs w:val="28"/>
        </w:rPr>
      </w:pPr>
      <w:r>
        <w:rPr>
          <w:sz w:val="28"/>
          <w:szCs w:val="28"/>
        </w:rPr>
        <w:t xml:space="preserve">The State Bar contends </w:t>
      </w:r>
      <w:r w:rsidR="00600CB9">
        <w:rPr>
          <w:sz w:val="28"/>
          <w:szCs w:val="28"/>
        </w:rPr>
        <w:t xml:space="preserve">that </w:t>
      </w:r>
      <w:r>
        <w:rPr>
          <w:sz w:val="28"/>
          <w:szCs w:val="28"/>
        </w:rPr>
        <w:t xml:space="preserve">it “does not use membership dues to fund activities of a political or ideological nature that are not reasonably related to the State Bar’s core functions,” and </w:t>
      </w:r>
      <w:r w:rsidR="00600CB9">
        <w:rPr>
          <w:sz w:val="28"/>
          <w:szCs w:val="28"/>
        </w:rPr>
        <w:t xml:space="preserve">that </w:t>
      </w:r>
      <w:r>
        <w:rPr>
          <w:sz w:val="28"/>
          <w:szCs w:val="28"/>
        </w:rPr>
        <w:t xml:space="preserve">“a member may still object to and receive a refund of the annual fee allocable to those activities.”  </w:t>
      </w:r>
      <w:r w:rsidR="002D1E93">
        <w:rPr>
          <w:sz w:val="28"/>
          <w:szCs w:val="28"/>
        </w:rPr>
        <w:t xml:space="preserve">State </w:t>
      </w:r>
      <w:proofErr w:type="gramStart"/>
      <w:r w:rsidR="002D1E93">
        <w:rPr>
          <w:sz w:val="28"/>
          <w:szCs w:val="28"/>
        </w:rPr>
        <w:t>Bar</w:t>
      </w:r>
      <w:proofErr w:type="gramEnd"/>
      <w:r w:rsidR="002D1E93">
        <w:rPr>
          <w:sz w:val="28"/>
          <w:szCs w:val="28"/>
        </w:rPr>
        <w:t xml:space="preserve"> </w:t>
      </w:r>
      <w:r>
        <w:rPr>
          <w:sz w:val="28"/>
          <w:szCs w:val="28"/>
        </w:rPr>
        <w:t>Comment at 10.</w:t>
      </w:r>
      <w:r w:rsidR="00823D4E">
        <w:rPr>
          <w:sz w:val="28"/>
          <w:szCs w:val="28"/>
        </w:rPr>
        <w:t xml:space="preserve">  What activities?  Where are they explained?  What is the reasonably prompt opportunity to object to them?  Who is the decision-maker?  Petitioner’s recent dues statement contained none of this information.  </w:t>
      </w:r>
    </w:p>
    <w:p w14:paraId="588C2FA2" w14:textId="1B4E04B8" w:rsidR="006325AA" w:rsidRDefault="00D27C09" w:rsidP="002353A4">
      <w:pPr>
        <w:pStyle w:val="StyleDBodyFLIndentLeft-013Firstline0"/>
        <w:spacing w:line="480" w:lineRule="auto"/>
        <w:ind w:left="0" w:firstLine="720"/>
        <w:jc w:val="left"/>
        <w:rPr>
          <w:sz w:val="28"/>
          <w:szCs w:val="28"/>
        </w:rPr>
      </w:pPr>
      <w:r>
        <w:rPr>
          <w:sz w:val="28"/>
          <w:szCs w:val="28"/>
        </w:rPr>
        <w:t>The State Bar dismisses out of hand Petitioner’s case</w:t>
      </w:r>
      <w:r w:rsidR="002D1E93">
        <w:rPr>
          <w:sz w:val="28"/>
          <w:szCs w:val="28"/>
        </w:rPr>
        <w:t xml:space="preserve"> citations</w:t>
      </w:r>
      <w:r>
        <w:rPr>
          <w:sz w:val="28"/>
          <w:szCs w:val="28"/>
        </w:rPr>
        <w:t xml:space="preserve"> regarding union loans and union members because “the State Bar is not a union and does not function as a union.”  </w:t>
      </w:r>
      <w:r w:rsidR="002D1E93">
        <w:rPr>
          <w:sz w:val="28"/>
          <w:szCs w:val="28"/>
        </w:rPr>
        <w:t xml:space="preserve">State </w:t>
      </w:r>
      <w:proofErr w:type="gramStart"/>
      <w:r w:rsidR="002D1E93">
        <w:rPr>
          <w:sz w:val="28"/>
          <w:szCs w:val="28"/>
        </w:rPr>
        <w:t>Bar</w:t>
      </w:r>
      <w:proofErr w:type="gramEnd"/>
      <w:r w:rsidR="002D1E93">
        <w:rPr>
          <w:sz w:val="28"/>
          <w:szCs w:val="28"/>
        </w:rPr>
        <w:t xml:space="preserve"> </w:t>
      </w:r>
      <w:r>
        <w:rPr>
          <w:sz w:val="28"/>
          <w:szCs w:val="28"/>
        </w:rPr>
        <w:t xml:space="preserve">Comment at 10.  </w:t>
      </w:r>
      <w:r w:rsidR="00600CB9">
        <w:rPr>
          <w:sz w:val="28"/>
          <w:szCs w:val="28"/>
        </w:rPr>
        <w:t xml:space="preserve">The </w:t>
      </w:r>
      <w:r w:rsidR="00600CB9" w:rsidRPr="00D27C09">
        <w:rPr>
          <w:i/>
          <w:sz w:val="28"/>
          <w:szCs w:val="28"/>
        </w:rPr>
        <w:t>Keller</w:t>
      </w:r>
      <w:r w:rsidR="00600CB9">
        <w:rPr>
          <w:sz w:val="28"/>
          <w:szCs w:val="28"/>
        </w:rPr>
        <w:t xml:space="preserve"> court rejected this tautology.</w:t>
      </w:r>
      <w:r w:rsidR="002353A4">
        <w:rPr>
          <w:sz w:val="28"/>
          <w:szCs w:val="28"/>
        </w:rPr>
        <w:t xml:space="preserve">  Reversing</w:t>
      </w:r>
      <w:r w:rsidR="002D1E93">
        <w:rPr>
          <w:sz w:val="28"/>
          <w:szCs w:val="28"/>
        </w:rPr>
        <w:t xml:space="preserve"> and remanding</w:t>
      </w:r>
      <w:r w:rsidR="002353A4">
        <w:rPr>
          <w:sz w:val="28"/>
          <w:szCs w:val="28"/>
        </w:rPr>
        <w:t>, Chief Justice Rehnquist quoted from the California Supreme Court’s dissenting opinion as follows:</w:t>
      </w:r>
    </w:p>
    <w:p w14:paraId="0642E398" w14:textId="091366CF" w:rsidR="002353A4" w:rsidRDefault="00823D4E" w:rsidP="002353A4">
      <w:pPr>
        <w:pStyle w:val="StyleDBodyFLIndentLeft-013Firstline0"/>
        <w:spacing w:after="240" w:line="240" w:lineRule="auto"/>
        <w:ind w:left="1440" w:right="1440" w:firstLine="0"/>
        <w:jc w:val="left"/>
        <w:rPr>
          <w:sz w:val="28"/>
          <w:szCs w:val="28"/>
        </w:rPr>
      </w:pPr>
      <w:r w:rsidRPr="00823D4E">
        <w:rPr>
          <w:sz w:val="28"/>
          <w:szCs w:val="28"/>
        </w:rPr>
        <w:t>[C]</w:t>
      </w:r>
      <w:proofErr w:type="spellStart"/>
      <w:r w:rsidRPr="00823D4E">
        <w:rPr>
          <w:sz w:val="28"/>
          <w:szCs w:val="28"/>
        </w:rPr>
        <w:t>ontrary</w:t>
      </w:r>
      <w:proofErr w:type="spellEnd"/>
      <w:r w:rsidRPr="00823D4E">
        <w:rPr>
          <w:sz w:val="28"/>
          <w:szCs w:val="28"/>
        </w:rPr>
        <w:t xml:space="preserve"> to the majority</w:t>
      </w:r>
      <w:r w:rsidR="00600CB9">
        <w:rPr>
          <w:sz w:val="28"/>
          <w:szCs w:val="28"/>
        </w:rPr>
        <w:t>’</w:t>
      </w:r>
      <w:r w:rsidRPr="00823D4E">
        <w:rPr>
          <w:sz w:val="28"/>
          <w:szCs w:val="28"/>
        </w:rPr>
        <w:t xml:space="preserve">s assumption, the State Bar would not have to perform the three-step </w:t>
      </w:r>
      <w:r w:rsidRPr="002353A4">
        <w:rPr>
          <w:i/>
          <w:sz w:val="28"/>
          <w:szCs w:val="28"/>
        </w:rPr>
        <w:t>Ellis</w:t>
      </w:r>
      <w:r w:rsidRPr="00823D4E">
        <w:rPr>
          <w:sz w:val="28"/>
          <w:szCs w:val="28"/>
        </w:rPr>
        <w:t xml:space="preserve"> analysis prior to each instance in which it seeks to advise the Legislature or the courts of its views on a matter. </w:t>
      </w:r>
      <w:r w:rsidR="002353A4">
        <w:rPr>
          <w:sz w:val="28"/>
          <w:szCs w:val="28"/>
        </w:rPr>
        <w:t xml:space="preserve"> </w:t>
      </w:r>
      <w:r w:rsidRPr="00823D4E">
        <w:rPr>
          <w:sz w:val="28"/>
          <w:szCs w:val="28"/>
        </w:rPr>
        <w:t xml:space="preserve">Instead, according to </w:t>
      </w:r>
      <w:r w:rsidRPr="002353A4">
        <w:rPr>
          <w:i/>
          <w:sz w:val="28"/>
          <w:szCs w:val="28"/>
        </w:rPr>
        <w:t>Hudson</w:t>
      </w:r>
      <w:r w:rsidRPr="00823D4E">
        <w:rPr>
          <w:sz w:val="28"/>
          <w:szCs w:val="28"/>
        </w:rPr>
        <w:t xml:space="preserve">, </w:t>
      </w:r>
      <w:r w:rsidR="002353A4">
        <w:rPr>
          <w:sz w:val="28"/>
          <w:szCs w:val="28"/>
        </w:rPr>
        <w:t>“</w:t>
      </w:r>
      <w:r w:rsidRPr="00823D4E">
        <w:rPr>
          <w:sz w:val="28"/>
          <w:szCs w:val="28"/>
        </w:rPr>
        <w:t>the constitutional requirements for the [association</w:t>
      </w:r>
      <w:r w:rsidR="00600CB9">
        <w:rPr>
          <w:sz w:val="28"/>
          <w:szCs w:val="28"/>
        </w:rPr>
        <w:t>’</w:t>
      </w:r>
      <w:r w:rsidRPr="00823D4E">
        <w:rPr>
          <w:sz w:val="28"/>
          <w:szCs w:val="28"/>
        </w:rPr>
        <w:t>s] collection of ... fees include an adequate explanation of the basis for the fee, a reasonably prompt opportunity to challenge the amount of the fee before an impartial decision</w:t>
      </w:r>
      <w:r>
        <w:rPr>
          <w:sz w:val="28"/>
          <w:szCs w:val="28"/>
        </w:rPr>
        <w:t xml:space="preserve"> </w:t>
      </w:r>
      <w:r w:rsidRPr="00823D4E">
        <w:rPr>
          <w:sz w:val="28"/>
          <w:szCs w:val="28"/>
        </w:rPr>
        <w:t>maker, and an escrow for the amounts reasonably in dispute whi</w:t>
      </w:r>
      <w:r w:rsidR="002353A4">
        <w:rPr>
          <w:sz w:val="28"/>
          <w:szCs w:val="28"/>
        </w:rPr>
        <w:t>le such challenges are pending.”</w:t>
      </w:r>
      <w:r w:rsidRPr="00823D4E">
        <w:rPr>
          <w:sz w:val="28"/>
          <w:szCs w:val="28"/>
        </w:rPr>
        <w:t xml:space="preserve"> </w:t>
      </w:r>
      <w:r w:rsidR="002353A4">
        <w:rPr>
          <w:sz w:val="28"/>
          <w:szCs w:val="28"/>
        </w:rPr>
        <w:t xml:space="preserve"> </w:t>
      </w:r>
      <w:r w:rsidRPr="00823D4E">
        <w:rPr>
          <w:sz w:val="28"/>
          <w:szCs w:val="28"/>
        </w:rPr>
        <w:t>Since the bar already is statutorily required to submit detailed budgets to the Legislature prior to obtaining approval for setting members</w:t>
      </w:r>
      <w:r w:rsidR="00600CB9">
        <w:rPr>
          <w:sz w:val="28"/>
          <w:szCs w:val="28"/>
        </w:rPr>
        <w:t>’</w:t>
      </w:r>
      <w:r w:rsidRPr="00823D4E">
        <w:rPr>
          <w:sz w:val="28"/>
          <w:szCs w:val="28"/>
        </w:rPr>
        <w:t xml:space="preserve"> annual dues, the argument that the constitutionally m</w:t>
      </w:r>
      <w:r w:rsidR="002353A4">
        <w:rPr>
          <w:sz w:val="28"/>
          <w:szCs w:val="28"/>
        </w:rPr>
        <w:t>andated procedure would create “</w:t>
      </w:r>
      <w:r w:rsidRPr="00823D4E">
        <w:rPr>
          <w:sz w:val="28"/>
          <w:szCs w:val="28"/>
        </w:rPr>
        <w:t>an extraordinary burden</w:t>
      </w:r>
      <w:r w:rsidR="002353A4">
        <w:rPr>
          <w:sz w:val="28"/>
          <w:szCs w:val="28"/>
        </w:rPr>
        <w:t>”</w:t>
      </w:r>
      <w:r w:rsidRPr="00823D4E">
        <w:rPr>
          <w:sz w:val="28"/>
          <w:szCs w:val="28"/>
        </w:rPr>
        <w:t xml:space="preserve"> for the bar is unpersuasive.</w:t>
      </w:r>
      <w:r w:rsidR="002353A4">
        <w:rPr>
          <w:sz w:val="28"/>
          <w:szCs w:val="28"/>
        </w:rPr>
        <w:t xml:space="preserve"> </w:t>
      </w:r>
      <w:r>
        <w:rPr>
          <w:sz w:val="28"/>
          <w:szCs w:val="28"/>
        </w:rPr>
        <w:t xml:space="preserve"> </w:t>
      </w:r>
    </w:p>
    <w:p w14:paraId="59D816C2" w14:textId="77777777" w:rsidR="002353A4" w:rsidRDefault="00823D4E" w:rsidP="002353A4">
      <w:pPr>
        <w:pStyle w:val="StyleDBodyFLIndentLeft-013Firstline0"/>
        <w:spacing w:after="240" w:line="240" w:lineRule="auto"/>
        <w:ind w:left="1440" w:right="1440" w:firstLine="0"/>
        <w:jc w:val="left"/>
        <w:rPr>
          <w:sz w:val="28"/>
          <w:szCs w:val="28"/>
        </w:rPr>
      </w:pPr>
      <w:r w:rsidRPr="00823D4E">
        <w:rPr>
          <w:sz w:val="28"/>
          <w:szCs w:val="28"/>
        </w:rPr>
        <w:t>While such a procedure would likely result in some additional administrative burden to the bar and perhaps prove at times to be somewhat inconvenient, such additional burden or inconvenience is hardly sufficient to justify</w:t>
      </w:r>
      <w:r>
        <w:rPr>
          <w:sz w:val="28"/>
          <w:szCs w:val="28"/>
        </w:rPr>
        <w:t xml:space="preserve"> </w:t>
      </w:r>
      <w:r w:rsidR="002353A4">
        <w:rPr>
          <w:sz w:val="28"/>
          <w:szCs w:val="28"/>
        </w:rPr>
        <w:t xml:space="preserve">contravention </w:t>
      </w:r>
      <w:r w:rsidRPr="00823D4E">
        <w:rPr>
          <w:sz w:val="28"/>
          <w:szCs w:val="28"/>
        </w:rPr>
        <w:t xml:space="preserve">of the constitutional mandate. </w:t>
      </w:r>
      <w:r w:rsidR="002353A4">
        <w:rPr>
          <w:sz w:val="28"/>
          <w:szCs w:val="28"/>
        </w:rPr>
        <w:t xml:space="preserve"> </w:t>
      </w:r>
      <w:r w:rsidRPr="00823D4E">
        <w:rPr>
          <w:sz w:val="28"/>
          <w:szCs w:val="28"/>
        </w:rPr>
        <w:t xml:space="preserve">It is noteworthy that unions representing government employees have developed, and have operated successfully within the parameters of </w:t>
      </w:r>
      <w:proofErr w:type="spellStart"/>
      <w:r w:rsidRPr="002353A4">
        <w:rPr>
          <w:i/>
          <w:sz w:val="28"/>
          <w:szCs w:val="28"/>
        </w:rPr>
        <w:t>Abood</w:t>
      </w:r>
      <w:proofErr w:type="spellEnd"/>
      <w:r w:rsidRPr="00823D4E">
        <w:rPr>
          <w:sz w:val="28"/>
          <w:szCs w:val="28"/>
        </w:rPr>
        <w:t xml:space="preserve"> procedures for over a decade. </w:t>
      </w:r>
    </w:p>
    <w:p w14:paraId="4BE839D3" w14:textId="285DBB36" w:rsidR="00420B3E" w:rsidRPr="00420B3E" w:rsidRDefault="002353A4" w:rsidP="00420B3E">
      <w:pPr>
        <w:pStyle w:val="StyleDBodyFLIndentLeft-013Firstline0"/>
        <w:spacing w:line="480" w:lineRule="auto"/>
        <w:ind w:left="0" w:firstLine="0"/>
        <w:rPr>
          <w:sz w:val="28"/>
          <w:szCs w:val="28"/>
        </w:rPr>
      </w:pPr>
      <w:r w:rsidRPr="00D27C09">
        <w:rPr>
          <w:i/>
          <w:sz w:val="28"/>
          <w:szCs w:val="28"/>
        </w:rPr>
        <w:t>Keller v. State Bar of California</w:t>
      </w:r>
      <w:r>
        <w:rPr>
          <w:sz w:val="28"/>
          <w:szCs w:val="28"/>
        </w:rPr>
        <w:t>, 496 U.S. 1, 16-17</w:t>
      </w:r>
      <w:r w:rsidR="00600CB9">
        <w:rPr>
          <w:sz w:val="28"/>
          <w:szCs w:val="28"/>
        </w:rPr>
        <w:t xml:space="preserve"> </w:t>
      </w:r>
      <w:r w:rsidRPr="00823D4E">
        <w:rPr>
          <w:sz w:val="28"/>
          <w:szCs w:val="28"/>
        </w:rPr>
        <w:t>(1990)</w:t>
      </w:r>
      <w:r w:rsidR="00420B3E">
        <w:rPr>
          <w:sz w:val="28"/>
          <w:szCs w:val="28"/>
        </w:rPr>
        <w:t xml:space="preserve"> (quoting </w:t>
      </w:r>
      <w:r w:rsidR="00420B3E" w:rsidRPr="00420B3E">
        <w:rPr>
          <w:i/>
          <w:sz w:val="28"/>
          <w:szCs w:val="28"/>
        </w:rPr>
        <w:t>Keller v. State Bar</w:t>
      </w:r>
      <w:r w:rsidR="00420B3E" w:rsidRPr="00420B3E">
        <w:rPr>
          <w:sz w:val="28"/>
          <w:szCs w:val="28"/>
        </w:rPr>
        <w:t>, 47 Cal. 3d 1152, 1192, 767 P.2d 1020, 1046 (1989)</w:t>
      </w:r>
      <w:r w:rsidR="00420B3E">
        <w:rPr>
          <w:sz w:val="28"/>
          <w:szCs w:val="28"/>
        </w:rPr>
        <w:t xml:space="preserve"> (Kaufman, J., concurring and dissenting)) </w:t>
      </w:r>
      <w:r w:rsidR="00420B3E" w:rsidRPr="00823D4E">
        <w:rPr>
          <w:sz w:val="28"/>
          <w:szCs w:val="28"/>
        </w:rPr>
        <w:t>(citations and footnote omitted).</w:t>
      </w:r>
      <w:r w:rsidR="002D1E93">
        <w:rPr>
          <w:sz w:val="28"/>
          <w:szCs w:val="28"/>
        </w:rPr>
        <w:t xml:space="preserve">  </w:t>
      </w:r>
      <w:r w:rsidR="00600CB9">
        <w:rPr>
          <w:sz w:val="28"/>
          <w:szCs w:val="28"/>
        </w:rPr>
        <w:t xml:space="preserve">The Court </w:t>
      </w:r>
      <w:r w:rsidR="002D1E93">
        <w:rPr>
          <w:sz w:val="28"/>
          <w:szCs w:val="28"/>
        </w:rPr>
        <w:t>had no problem applying analogous union case law to a bar association.</w:t>
      </w:r>
    </w:p>
    <w:p w14:paraId="6DE2E845" w14:textId="49231FEF" w:rsidR="007F6E69" w:rsidRDefault="00823D4E" w:rsidP="002353A4">
      <w:pPr>
        <w:pStyle w:val="StyleDBodyFLIndentLeft-013Firstline0"/>
        <w:spacing w:line="480" w:lineRule="auto"/>
        <w:ind w:left="0" w:firstLine="720"/>
        <w:jc w:val="left"/>
        <w:rPr>
          <w:sz w:val="28"/>
          <w:szCs w:val="28"/>
        </w:rPr>
      </w:pPr>
      <w:r>
        <w:rPr>
          <w:sz w:val="28"/>
          <w:szCs w:val="28"/>
        </w:rPr>
        <w:t xml:space="preserve">Supreme Court Rule 32(c)(8) </w:t>
      </w:r>
      <w:r w:rsidR="00D27C09">
        <w:rPr>
          <w:sz w:val="28"/>
          <w:szCs w:val="28"/>
        </w:rPr>
        <w:t xml:space="preserve">states in part that “a member who objects to particular State Bar lobbying activities may request a refund of the portion of the annual fee allocable to those activities at the end of the membership year.”  Petitioner has no personal experience with this rule and knows only anecdotally that other lawyers have said “it does not work.”  </w:t>
      </w:r>
      <w:r w:rsidR="00CA5E52">
        <w:rPr>
          <w:sz w:val="28"/>
          <w:szCs w:val="28"/>
        </w:rPr>
        <w:t xml:space="preserve">The process </w:t>
      </w:r>
      <w:r w:rsidR="00DC7F69">
        <w:rPr>
          <w:sz w:val="28"/>
          <w:szCs w:val="28"/>
        </w:rPr>
        <w:t>appears to be very</w:t>
      </w:r>
      <w:r w:rsidR="00CA5E52">
        <w:rPr>
          <w:sz w:val="28"/>
          <w:szCs w:val="28"/>
        </w:rPr>
        <w:t xml:space="preserve"> onerous.  </w:t>
      </w:r>
      <w:r w:rsidR="00CA5E52" w:rsidRPr="00CA5E52">
        <w:rPr>
          <w:i/>
          <w:sz w:val="28"/>
          <w:szCs w:val="28"/>
        </w:rPr>
        <w:t>See</w:t>
      </w:r>
      <w:r w:rsidR="00CA5E52">
        <w:rPr>
          <w:sz w:val="28"/>
          <w:szCs w:val="28"/>
        </w:rPr>
        <w:t xml:space="preserve"> </w:t>
      </w:r>
      <w:r w:rsidR="00DC7F69">
        <w:rPr>
          <w:sz w:val="28"/>
          <w:szCs w:val="28"/>
        </w:rPr>
        <w:t>State Bar Bylaws, Article XIII.</w:t>
      </w:r>
      <w:r w:rsidR="00DC7F69">
        <w:rPr>
          <w:rStyle w:val="FootnoteReference"/>
          <w:sz w:val="28"/>
          <w:szCs w:val="28"/>
        </w:rPr>
        <w:footnoteReference w:id="4"/>
      </w:r>
      <w:r w:rsidR="00DC7F69">
        <w:rPr>
          <w:sz w:val="28"/>
          <w:szCs w:val="28"/>
        </w:rPr>
        <w:t xml:space="preserve">  </w:t>
      </w:r>
      <w:r w:rsidR="007B6B6D">
        <w:rPr>
          <w:sz w:val="28"/>
          <w:szCs w:val="28"/>
        </w:rPr>
        <w:t xml:space="preserve">The absurdity of expecting more than 24,000 Arizona lawyers to know </w:t>
      </w:r>
      <w:r w:rsidR="00420B3E">
        <w:rPr>
          <w:sz w:val="28"/>
          <w:szCs w:val="28"/>
        </w:rPr>
        <w:t>everything</w:t>
      </w:r>
      <w:r>
        <w:rPr>
          <w:sz w:val="28"/>
          <w:szCs w:val="28"/>
        </w:rPr>
        <w:t xml:space="preserve"> the State Bar does on a regular basis</w:t>
      </w:r>
      <w:r w:rsidR="00DC7F69">
        <w:rPr>
          <w:sz w:val="28"/>
          <w:szCs w:val="28"/>
        </w:rPr>
        <w:t>,</w:t>
      </w:r>
      <w:r>
        <w:rPr>
          <w:sz w:val="28"/>
          <w:szCs w:val="28"/>
        </w:rPr>
        <w:t xml:space="preserve"> and then</w:t>
      </w:r>
      <w:r w:rsidR="007B6B6D">
        <w:rPr>
          <w:sz w:val="28"/>
          <w:szCs w:val="28"/>
        </w:rPr>
        <w:t xml:space="preserve"> </w:t>
      </w:r>
      <w:r w:rsidR="00DC7F69">
        <w:rPr>
          <w:sz w:val="28"/>
          <w:szCs w:val="28"/>
        </w:rPr>
        <w:t xml:space="preserve">individually </w:t>
      </w:r>
      <w:r w:rsidR="007B6B6D">
        <w:rPr>
          <w:sz w:val="28"/>
          <w:szCs w:val="28"/>
        </w:rPr>
        <w:t xml:space="preserve">decide whether to opt out of paying for </w:t>
      </w:r>
      <w:r w:rsidR="00DC7F69">
        <w:rPr>
          <w:sz w:val="28"/>
          <w:szCs w:val="28"/>
        </w:rPr>
        <w:t>something, taking a risk the State Bar will require individual arbitration proceedings over a few dollars, should be</w:t>
      </w:r>
      <w:r w:rsidR="007B6B6D">
        <w:rPr>
          <w:sz w:val="28"/>
          <w:szCs w:val="28"/>
        </w:rPr>
        <w:t xml:space="preserve"> obvious.</w:t>
      </w:r>
    </w:p>
    <w:p w14:paraId="5BA1535B" w14:textId="097AC5B7" w:rsidR="00B312B2" w:rsidRPr="00A80A95" w:rsidRDefault="00A80A95" w:rsidP="002353A4">
      <w:pPr>
        <w:pStyle w:val="StyleDBodyFLIndentLeft-013Firstline0"/>
        <w:numPr>
          <w:ilvl w:val="1"/>
          <w:numId w:val="22"/>
        </w:numPr>
        <w:spacing w:line="480" w:lineRule="auto"/>
        <w:ind w:left="720" w:firstLine="0"/>
        <w:jc w:val="left"/>
        <w:rPr>
          <w:b/>
          <w:sz w:val="28"/>
          <w:szCs w:val="28"/>
        </w:rPr>
      </w:pPr>
      <w:bookmarkStart w:id="7" w:name="ResDated"/>
      <w:r w:rsidRPr="00A80A95">
        <w:rPr>
          <w:b/>
          <w:sz w:val="28"/>
          <w:szCs w:val="28"/>
        </w:rPr>
        <w:t>Conclusion</w:t>
      </w:r>
      <w:r w:rsidR="00B312B2" w:rsidRPr="00A80A95">
        <w:rPr>
          <w:b/>
          <w:sz w:val="28"/>
          <w:szCs w:val="28"/>
        </w:rPr>
        <w:t>.</w:t>
      </w:r>
    </w:p>
    <w:p w14:paraId="5707B056" w14:textId="47624F2C" w:rsidR="00A80A95" w:rsidRPr="00AD156D" w:rsidRDefault="007B2DE7" w:rsidP="002353A4">
      <w:pPr>
        <w:spacing w:line="480" w:lineRule="auto"/>
        <w:ind w:firstLine="720"/>
        <w:rPr>
          <w:sz w:val="28"/>
          <w:szCs w:val="28"/>
        </w:rPr>
      </w:pPr>
      <w:r>
        <w:rPr>
          <w:sz w:val="28"/>
          <w:szCs w:val="28"/>
        </w:rPr>
        <w:t xml:space="preserve">Petitioner </w:t>
      </w:r>
      <w:r w:rsidR="008C6A2D">
        <w:rPr>
          <w:sz w:val="28"/>
          <w:szCs w:val="28"/>
        </w:rPr>
        <w:t xml:space="preserve">reiterates his January 10, 2017 </w:t>
      </w:r>
      <w:r>
        <w:rPr>
          <w:sz w:val="28"/>
          <w:szCs w:val="28"/>
        </w:rPr>
        <w:t>request</w:t>
      </w:r>
      <w:r w:rsidR="008C6A2D">
        <w:rPr>
          <w:sz w:val="28"/>
          <w:szCs w:val="28"/>
        </w:rPr>
        <w:t xml:space="preserve"> that</w:t>
      </w:r>
      <w:r>
        <w:rPr>
          <w:sz w:val="28"/>
          <w:szCs w:val="28"/>
        </w:rPr>
        <w:t xml:space="preserve"> this Court </w:t>
      </w:r>
      <w:r w:rsidRPr="00867635">
        <w:rPr>
          <w:sz w:val="28"/>
          <w:szCs w:val="28"/>
        </w:rPr>
        <w:t>adopt amendments to Rule</w:t>
      </w:r>
      <w:r>
        <w:rPr>
          <w:sz w:val="28"/>
          <w:szCs w:val="28"/>
        </w:rPr>
        <w:t>s</w:t>
      </w:r>
      <w:r w:rsidRPr="00867635">
        <w:rPr>
          <w:sz w:val="28"/>
          <w:szCs w:val="28"/>
        </w:rPr>
        <w:t xml:space="preserve"> 32</w:t>
      </w:r>
      <w:r>
        <w:rPr>
          <w:sz w:val="28"/>
          <w:szCs w:val="28"/>
        </w:rPr>
        <w:t>(c) and (d)</w:t>
      </w:r>
      <w:r w:rsidRPr="00867635">
        <w:rPr>
          <w:sz w:val="28"/>
          <w:szCs w:val="28"/>
        </w:rPr>
        <w:t xml:space="preserve">, Rules of the Supreme Court, as proposed </w:t>
      </w:r>
      <w:r>
        <w:rPr>
          <w:sz w:val="28"/>
          <w:szCs w:val="28"/>
        </w:rPr>
        <w:t xml:space="preserve">in the Petition.  </w:t>
      </w:r>
    </w:p>
    <w:p w14:paraId="5D04AAC2" w14:textId="2BE6870D" w:rsidR="00856900" w:rsidRPr="00F430EE" w:rsidRDefault="00856900" w:rsidP="00A80A95">
      <w:pPr>
        <w:pStyle w:val="DBodyFLIndent"/>
        <w:spacing w:line="480" w:lineRule="auto"/>
        <w:rPr>
          <w:sz w:val="28"/>
          <w:szCs w:val="28"/>
        </w:rPr>
      </w:pPr>
      <w:r w:rsidRPr="00F430EE">
        <w:rPr>
          <w:sz w:val="28"/>
          <w:szCs w:val="28"/>
        </w:rPr>
        <w:fldChar w:fldCharType="begin"/>
      </w:r>
      <w:r w:rsidRPr="00F430EE">
        <w:rPr>
          <w:sz w:val="28"/>
          <w:szCs w:val="28"/>
        </w:rPr>
        <w:instrText xml:space="preserve"> AUTOTEXTLIST   \s SHDateOpt \t "Right-click to choose from the list"  \* MERGEFORMAT </w:instrText>
      </w:r>
      <w:r w:rsidRPr="00F430EE">
        <w:rPr>
          <w:sz w:val="28"/>
          <w:szCs w:val="28"/>
        </w:rPr>
        <w:fldChar w:fldCharType="separate"/>
      </w:r>
      <w:proofErr w:type="gramStart"/>
      <w:r w:rsidRPr="00F430EE">
        <w:rPr>
          <w:sz w:val="28"/>
          <w:szCs w:val="28"/>
        </w:rPr>
        <w:t xml:space="preserve">RESPECTFULLY SUBMITTED: </w:t>
      </w:r>
      <w:r w:rsidRPr="00F430EE">
        <w:rPr>
          <w:sz w:val="28"/>
          <w:szCs w:val="28"/>
        </w:rPr>
        <w:fldChar w:fldCharType="end"/>
      </w:r>
      <w:bookmarkEnd w:id="7"/>
      <w:r w:rsidR="009A0DC7" w:rsidRPr="00F430EE">
        <w:rPr>
          <w:sz w:val="28"/>
          <w:szCs w:val="28"/>
        </w:rPr>
        <w:t xml:space="preserve"> </w:t>
      </w:r>
      <w:r w:rsidR="00CF3D62">
        <w:rPr>
          <w:sz w:val="28"/>
          <w:szCs w:val="28"/>
        </w:rPr>
        <w:t xml:space="preserve">June </w:t>
      </w:r>
      <w:r w:rsidR="007130ED">
        <w:rPr>
          <w:sz w:val="28"/>
          <w:szCs w:val="28"/>
        </w:rPr>
        <w:t>21</w:t>
      </w:r>
      <w:r w:rsidR="00CF3D62">
        <w:rPr>
          <w:sz w:val="28"/>
          <w:szCs w:val="28"/>
        </w:rPr>
        <w:t>, 2017.</w:t>
      </w:r>
      <w:proofErr w:type="gramEnd"/>
    </w:p>
    <w:p w14:paraId="1717B450" w14:textId="77777777" w:rsidR="00856900" w:rsidRPr="00F430EE" w:rsidRDefault="00856900" w:rsidP="00A80A95">
      <w:pPr>
        <w:tabs>
          <w:tab w:val="left" w:pos="9180"/>
        </w:tabs>
        <w:spacing w:line="240" w:lineRule="auto"/>
        <w:ind w:left="3960"/>
        <w:outlineLvl w:val="0"/>
        <w:rPr>
          <w:sz w:val="28"/>
          <w:szCs w:val="28"/>
        </w:rPr>
      </w:pPr>
      <w:r w:rsidRPr="00F430EE">
        <w:rPr>
          <w:sz w:val="28"/>
          <w:szCs w:val="28"/>
        </w:rPr>
        <w:t>By</w:t>
      </w:r>
      <w:r w:rsidRPr="00F430EE">
        <w:rPr>
          <w:sz w:val="28"/>
          <w:szCs w:val="28"/>
          <w:u w:val="single"/>
        </w:rPr>
        <w:t xml:space="preserve"> /</w:t>
      </w:r>
      <w:r w:rsidR="00595F87">
        <w:rPr>
          <w:i/>
          <w:sz w:val="28"/>
          <w:szCs w:val="28"/>
          <w:u w:val="single"/>
        </w:rPr>
        <w:t>s/ Gregory W. Falls</w:t>
      </w:r>
      <w:r w:rsidRPr="00F430EE">
        <w:rPr>
          <w:sz w:val="28"/>
          <w:szCs w:val="28"/>
          <w:u w:val="single"/>
        </w:rPr>
        <w:tab/>
      </w:r>
    </w:p>
    <w:p w14:paraId="036D20C1" w14:textId="77777777" w:rsidR="00856900" w:rsidRPr="00F430EE" w:rsidRDefault="00856900" w:rsidP="00A80A95">
      <w:pPr>
        <w:pStyle w:val="SigBlock2"/>
        <w:keepNext w:val="0"/>
        <w:spacing w:line="240" w:lineRule="auto"/>
        <w:rPr>
          <w:sz w:val="28"/>
          <w:szCs w:val="28"/>
        </w:rPr>
      </w:pPr>
      <w:bookmarkStart w:id="8" w:name="Atty1Sig"/>
      <w:r w:rsidRPr="00F430EE">
        <w:rPr>
          <w:sz w:val="28"/>
          <w:szCs w:val="28"/>
        </w:rPr>
        <w:t>Gregory W. Falls</w:t>
      </w:r>
    </w:p>
    <w:p w14:paraId="0C8E4EBA" w14:textId="77777777" w:rsidR="00A80A95" w:rsidRPr="00A80A95" w:rsidRDefault="00A80A95" w:rsidP="00A80A95">
      <w:pPr>
        <w:pStyle w:val="SigBlock2"/>
        <w:spacing w:line="240" w:lineRule="auto"/>
        <w:rPr>
          <w:sz w:val="28"/>
          <w:szCs w:val="28"/>
        </w:rPr>
      </w:pPr>
      <w:bookmarkStart w:id="9" w:name="Address2"/>
      <w:bookmarkEnd w:id="8"/>
      <w:r w:rsidRPr="00A80A95">
        <w:rPr>
          <w:sz w:val="28"/>
          <w:szCs w:val="28"/>
        </w:rPr>
        <w:t>Sherman &amp; Howard L.L.C.</w:t>
      </w:r>
    </w:p>
    <w:p w14:paraId="4A6EFB67" w14:textId="77777777" w:rsidR="00A80A95" w:rsidRPr="00A80A95" w:rsidRDefault="00A80A95" w:rsidP="00A80A95">
      <w:pPr>
        <w:pStyle w:val="SigBlock2"/>
        <w:spacing w:line="240" w:lineRule="auto"/>
        <w:rPr>
          <w:sz w:val="28"/>
          <w:szCs w:val="28"/>
        </w:rPr>
      </w:pPr>
      <w:r w:rsidRPr="00A80A95">
        <w:rPr>
          <w:sz w:val="28"/>
          <w:szCs w:val="28"/>
        </w:rPr>
        <w:t>201 East Washington Street, Suite 800</w:t>
      </w:r>
    </w:p>
    <w:p w14:paraId="1EAF8359" w14:textId="77777777" w:rsidR="00856900" w:rsidRPr="00F430EE" w:rsidRDefault="00A80A95" w:rsidP="00A80A95">
      <w:pPr>
        <w:pStyle w:val="SigBlock2"/>
        <w:keepNext w:val="0"/>
        <w:spacing w:line="240" w:lineRule="auto"/>
        <w:rPr>
          <w:sz w:val="28"/>
          <w:szCs w:val="28"/>
        </w:rPr>
      </w:pPr>
      <w:r w:rsidRPr="00A80A95">
        <w:rPr>
          <w:sz w:val="28"/>
          <w:szCs w:val="28"/>
        </w:rPr>
        <w:t>Phoenix, Arizona 85004-2327</w:t>
      </w:r>
      <w:bookmarkEnd w:id="9"/>
    </w:p>
    <w:sectPr w:rsidR="00856900" w:rsidRPr="00F430EE" w:rsidSect="00ED3904">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576" w:gutter="0"/>
      <w:pgNumType w:start="1"/>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197042" w14:textId="77777777" w:rsidR="007D31E5" w:rsidRDefault="007D31E5">
      <w:r>
        <w:separator/>
      </w:r>
    </w:p>
  </w:endnote>
  <w:endnote w:type="continuationSeparator" w:id="0">
    <w:p w14:paraId="1C872142" w14:textId="77777777" w:rsidR="007D31E5" w:rsidRDefault="007D3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D6E54F" w14:textId="77777777" w:rsidR="007D31E5" w:rsidRDefault="007D31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27E715" w14:textId="77777777" w:rsidR="007D31E5" w:rsidRDefault="007D31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F82022" w14:textId="77777777" w:rsidR="007D31E5" w:rsidRDefault="007D31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2150A">
      <w:rPr>
        <w:rStyle w:val="PageNumber"/>
        <w:noProof/>
      </w:rPr>
      <w:t>4</w:t>
    </w:r>
    <w:r>
      <w:rPr>
        <w:rStyle w:val="PageNumber"/>
      </w:rPr>
      <w:fldChar w:fldCharType="end"/>
    </w:r>
  </w:p>
  <w:p w14:paraId="61F5A24C" w14:textId="570BA817" w:rsidR="007D31E5" w:rsidRPr="0012150A" w:rsidRDefault="0012150A" w:rsidP="0012150A">
    <w:pPr>
      <w:pStyle w:val="DocID"/>
    </w:pPr>
    <w:fldSimple w:instr=" DOCPROPERTY &quot;DocID&quot; ">
      <w:r>
        <w:t>Active/45670308.1</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3E99B4" w14:textId="546897BE" w:rsidR="001160A2" w:rsidRPr="0012150A" w:rsidRDefault="0012150A" w:rsidP="0012150A">
    <w:pPr>
      <w:pStyle w:val="DocID"/>
    </w:pPr>
    <w:fldSimple w:instr=" DOCPROPERTY &quot;DocID&quot; ">
      <w:r>
        <w:t>Active/45670308.1</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4EBA82" w14:textId="77777777" w:rsidR="007D31E5" w:rsidRDefault="007D31E5">
      <w:r>
        <w:separator/>
      </w:r>
    </w:p>
  </w:footnote>
  <w:footnote w:type="continuationSeparator" w:id="0">
    <w:p w14:paraId="241282E7" w14:textId="77777777" w:rsidR="007D31E5" w:rsidRDefault="007D31E5">
      <w:r>
        <w:continuationSeparator/>
      </w:r>
    </w:p>
  </w:footnote>
  <w:footnote w:id="1">
    <w:p w14:paraId="262261DB" w14:textId="65D92664" w:rsidR="00441D70" w:rsidRDefault="00441D70" w:rsidP="00441D70">
      <w:pPr>
        <w:pStyle w:val="FootnoteText"/>
        <w:spacing w:before="120"/>
      </w:pPr>
      <w:r>
        <w:rPr>
          <w:rStyle w:val="FootnoteReference"/>
        </w:rPr>
        <w:footnoteRef/>
      </w:r>
      <w:r>
        <w:t xml:space="preserve"> </w:t>
      </w:r>
      <w:hyperlink r:id="rId1" w:history="1">
        <w:r w:rsidRPr="00E75F5C">
          <w:rPr>
            <w:rStyle w:val="Hyperlink"/>
          </w:rPr>
          <w:t>http://www.economist.com/node/14116121</w:t>
        </w:r>
      </w:hyperlink>
      <w:r>
        <w:t>.</w:t>
      </w:r>
    </w:p>
  </w:footnote>
  <w:footnote w:id="2">
    <w:p w14:paraId="10586996" w14:textId="77777777" w:rsidR="00441D70" w:rsidRDefault="00441D70" w:rsidP="00441D70">
      <w:pPr>
        <w:pStyle w:val="FootnoteText"/>
        <w:spacing w:before="120"/>
      </w:pPr>
      <w:r>
        <w:rPr>
          <w:rStyle w:val="FootnoteReference"/>
        </w:rPr>
        <w:footnoteRef/>
      </w:r>
      <w:r>
        <w:t xml:space="preserve"> </w:t>
      </w:r>
      <w:r w:rsidRPr="005F4CE7">
        <w:rPr>
          <w:i/>
          <w:sz w:val="28"/>
          <w:szCs w:val="28"/>
        </w:rPr>
        <w:t>See</w:t>
      </w:r>
      <w:r>
        <w:rPr>
          <w:sz w:val="28"/>
          <w:szCs w:val="28"/>
        </w:rPr>
        <w:t xml:space="preserve"> History, State Bar of Arizona, </w:t>
      </w:r>
      <w:hyperlink r:id="rId2" w:history="1">
        <w:r w:rsidRPr="002322BF">
          <w:rPr>
            <w:rStyle w:val="Hyperlink"/>
            <w:sz w:val="28"/>
            <w:szCs w:val="28"/>
          </w:rPr>
          <w:t>http://www.azbar.org/aboutus/history</w:t>
        </w:r>
      </w:hyperlink>
      <w:r>
        <w:rPr>
          <w:sz w:val="28"/>
          <w:szCs w:val="28"/>
        </w:rPr>
        <w:t xml:space="preserve"> (last visited June 16, 2017).  </w:t>
      </w:r>
    </w:p>
  </w:footnote>
  <w:footnote w:id="3">
    <w:p w14:paraId="2AD7488E" w14:textId="77777777" w:rsidR="00441D70" w:rsidRDefault="00441D70" w:rsidP="00441D70">
      <w:pPr>
        <w:pStyle w:val="FootnoteText"/>
        <w:spacing w:before="120"/>
      </w:pPr>
      <w:r>
        <w:rPr>
          <w:rStyle w:val="FootnoteReference"/>
        </w:rPr>
        <w:footnoteRef/>
      </w:r>
      <w:r>
        <w:t xml:space="preserve"> </w:t>
      </w:r>
      <w:r w:rsidRPr="005F4CE7">
        <w:rPr>
          <w:i/>
          <w:sz w:val="28"/>
          <w:szCs w:val="28"/>
        </w:rPr>
        <w:t>See</w:t>
      </w:r>
      <w:r>
        <w:rPr>
          <w:sz w:val="28"/>
          <w:szCs w:val="28"/>
        </w:rPr>
        <w:t xml:space="preserve"> Inflation Calculator, </w:t>
      </w:r>
      <w:hyperlink r:id="rId3" w:history="1">
        <w:r w:rsidRPr="002322BF">
          <w:rPr>
            <w:rStyle w:val="Hyperlink"/>
            <w:sz w:val="28"/>
            <w:szCs w:val="28"/>
          </w:rPr>
          <w:t>http://www.in2013dollars.com/1902-dollars-in-2016?amount=5</w:t>
        </w:r>
      </w:hyperlink>
      <w:r>
        <w:rPr>
          <w:sz w:val="28"/>
          <w:szCs w:val="28"/>
        </w:rPr>
        <w:t xml:space="preserve"> (last visited June 16, 2017).  </w:t>
      </w:r>
    </w:p>
  </w:footnote>
  <w:footnote w:id="4">
    <w:p w14:paraId="2A502561" w14:textId="6CB87F69" w:rsidR="00DC7F69" w:rsidRDefault="00DC7F69" w:rsidP="00DC7F69">
      <w:pPr>
        <w:pStyle w:val="FootnoteText"/>
        <w:spacing w:before="120"/>
        <w:jc w:val="left"/>
      </w:pPr>
      <w:r>
        <w:rPr>
          <w:rStyle w:val="FootnoteReference"/>
        </w:rPr>
        <w:footnoteRef/>
      </w:r>
      <w:r>
        <w:t xml:space="preserve"> </w:t>
      </w:r>
      <w:hyperlink r:id="rId4" w:history="1">
        <w:r w:rsidRPr="00DC7F69">
          <w:rPr>
            <w:rStyle w:val="Hyperlink"/>
            <w:sz w:val="28"/>
            <w:szCs w:val="28"/>
          </w:rPr>
          <w:t>http://www.azbar.org/media/922524/bylaws_sba__final_approved_oct2013_-_keller_section.pdf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653335" w14:textId="77777777" w:rsidR="0012150A" w:rsidRDefault="001215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57CED4" w14:textId="77777777" w:rsidR="0012150A" w:rsidRDefault="0012150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FFEEA8" w14:textId="77777777" w:rsidR="0012150A" w:rsidRDefault="001215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861B4"/>
    <w:multiLevelType w:val="multilevel"/>
    <w:tmpl w:val="FD1A5638"/>
    <w:lvl w:ilvl="0">
      <w:start w:val="1"/>
      <w:numFmt w:val="upperRoman"/>
      <w:pStyle w:val="Heading1"/>
      <w:lvlText w:val="%1."/>
      <w:lvlJc w:val="left"/>
      <w:pPr>
        <w:tabs>
          <w:tab w:val="num" w:pos="720"/>
        </w:tabs>
        <w:ind w:left="720" w:hanging="720"/>
      </w:pPr>
      <w:rPr>
        <w:rFonts w:ascii="Times New Roman" w:hAnsi="Times New Roman" w:hint="default"/>
        <w:b/>
        <w:i w:val="0"/>
        <w:sz w:val="26"/>
        <w:u w:val="none"/>
      </w:rPr>
    </w:lvl>
    <w:lvl w:ilvl="1">
      <w:start w:val="1"/>
      <w:numFmt w:val="upperLetter"/>
      <w:pStyle w:val="Heading2"/>
      <w:lvlText w:val="%2."/>
      <w:lvlJc w:val="left"/>
      <w:pPr>
        <w:tabs>
          <w:tab w:val="num" w:pos="1080"/>
        </w:tabs>
        <w:ind w:left="0" w:firstLine="720"/>
      </w:pPr>
      <w:rPr>
        <w:rFonts w:ascii="Times New Roman" w:hAnsi="Times New Roman" w:hint="default"/>
        <w:b w:val="0"/>
        <w:i w:val="0"/>
        <w:color w:val="auto"/>
        <w:sz w:val="26"/>
        <w:u w:val="none"/>
      </w:rPr>
    </w:lvl>
    <w:lvl w:ilvl="2">
      <w:start w:val="1"/>
      <w:numFmt w:val="decimal"/>
      <w:pStyle w:val="Heading3"/>
      <w:lvlText w:val="%3."/>
      <w:lvlJc w:val="left"/>
      <w:pPr>
        <w:tabs>
          <w:tab w:val="num" w:pos="1440"/>
        </w:tabs>
        <w:ind w:left="1440" w:hanging="720"/>
      </w:pPr>
      <w:rPr>
        <w:rFonts w:ascii="Times New Roman" w:hAnsi="Times New Roman" w:hint="default"/>
        <w:b w:val="0"/>
        <w:i w:val="0"/>
        <w:color w:val="auto"/>
        <w:spacing w:val="0"/>
        <w:w w:val="100"/>
        <w:kern w:val="0"/>
        <w:position w:val="0"/>
        <w:sz w:val="26"/>
        <w:u w:val="none"/>
      </w:rPr>
    </w:lvl>
    <w:lvl w:ilvl="3">
      <w:start w:val="1"/>
      <w:numFmt w:val="lowerRoman"/>
      <w:pStyle w:val="Heading4"/>
      <w:lvlText w:val="(%4)"/>
      <w:lvlJc w:val="left"/>
      <w:pPr>
        <w:tabs>
          <w:tab w:val="num" w:pos="2880"/>
        </w:tabs>
        <w:ind w:left="2880" w:hanging="720"/>
      </w:pPr>
      <w:rPr>
        <w:rFonts w:ascii="Times New Roman" w:hAnsi="Times New Roman" w:hint="default"/>
        <w:b w:val="0"/>
        <w:i w:val="0"/>
        <w:sz w:val="26"/>
      </w:rPr>
    </w:lvl>
    <w:lvl w:ilvl="4">
      <w:start w:val="1"/>
      <w:numFmt w:val="decimal"/>
      <w:pStyle w:val="Heading5"/>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
    <w:nsid w:val="0AD82D6D"/>
    <w:multiLevelType w:val="hybridMultilevel"/>
    <w:tmpl w:val="45E84F1E"/>
    <w:lvl w:ilvl="0" w:tplc="497CAD7E">
      <w:start w:val="3"/>
      <w:numFmt w:val="upperRoman"/>
      <w:lvlText w:val="%1&gt;"/>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4283EA2"/>
    <w:multiLevelType w:val="singleLevel"/>
    <w:tmpl w:val="1F58ED64"/>
    <w:lvl w:ilvl="0">
      <w:start w:val="1"/>
      <w:numFmt w:val="lowerRoman"/>
      <w:pStyle w:val="Litigation4"/>
      <w:lvlText w:val="(%1)"/>
      <w:lvlJc w:val="left"/>
      <w:pPr>
        <w:tabs>
          <w:tab w:val="num" w:pos="3600"/>
        </w:tabs>
        <w:ind w:left="3600" w:hanging="720"/>
      </w:pPr>
      <w:rPr>
        <w:rFonts w:ascii="Times New Roman" w:hAnsi="Times New Roman" w:hint="default"/>
        <w:b w:val="0"/>
        <w:i w:val="0"/>
        <w:sz w:val="26"/>
      </w:rPr>
    </w:lvl>
  </w:abstractNum>
  <w:abstractNum w:abstractNumId="3">
    <w:nsid w:val="33C70E4F"/>
    <w:multiLevelType w:val="hybridMultilevel"/>
    <w:tmpl w:val="5D1A2EF4"/>
    <w:lvl w:ilvl="0" w:tplc="92566DCA">
      <w:start w:val="3"/>
      <w:numFmt w:val="upperRoman"/>
      <w:lvlText w:val="%1&gt;"/>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4A26687"/>
    <w:multiLevelType w:val="hybridMultilevel"/>
    <w:tmpl w:val="2C66A8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92B722B"/>
    <w:multiLevelType w:val="hybridMultilevel"/>
    <w:tmpl w:val="8D56A4DE"/>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43222AEE"/>
    <w:multiLevelType w:val="singleLevel"/>
    <w:tmpl w:val="A1CCBEB6"/>
    <w:lvl w:ilvl="0">
      <w:start w:val="1"/>
      <w:numFmt w:val="upperLetter"/>
      <w:pStyle w:val="Litigation2"/>
      <w:lvlText w:val="%1."/>
      <w:lvlJc w:val="left"/>
      <w:pPr>
        <w:tabs>
          <w:tab w:val="num" w:pos="2160"/>
        </w:tabs>
        <w:ind w:left="2160" w:hanging="720"/>
      </w:pPr>
      <w:rPr>
        <w:rFonts w:ascii="Times New Roman" w:hAnsi="Times New Roman" w:hint="default"/>
        <w:b w:val="0"/>
        <w:i w:val="0"/>
        <w:caps w:val="0"/>
        <w:strike w:val="0"/>
        <w:dstrike w:val="0"/>
        <w:vanish w:val="0"/>
        <w:color w:val="auto"/>
        <w:spacing w:val="0"/>
        <w:w w:val="100"/>
        <w:kern w:val="0"/>
        <w:position w:val="0"/>
        <w:sz w:val="26"/>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nsid w:val="45D66D4C"/>
    <w:multiLevelType w:val="singleLevel"/>
    <w:tmpl w:val="07A232B8"/>
    <w:lvl w:ilvl="0">
      <w:start w:val="1"/>
      <w:numFmt w:val="lowerLetter"/>
      <w:pStyle w:val="Litigation3"/>
      <w:lvlText w:val="%1."/>
      <w:lvlJc w:val="left"/>
      <w:pPr>
        <w:tabs>
          <w:tab w:val="num" w:pos="2880"/>
        </w:tabs>
        <w:ind w:left="2880" w:hanging="720"/>
      </w:pPr>
      <w:rPr>
        <w:rFonts w:ascii="Times New Roman" w:hAnsi="Times New Roman" w:hint="default"/>
        <w:b w:val="0"/>
        <w:i w:val="0"/>
        <w:caps w:val="0"/>
        <w:strike w:val="0"/>
        <w:dstrike w:val="0"/>
        <w:vanish w:val="0"/>
        <w:color w:val="auto"/>
        <w:sz w:val="26"/>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nsid w:val="473631CE"/>
    <w:multiLevelType w:val="hybridMultilevel"/>
    <w:tmpl w:val="AA587FEC"/>
    <w:lvl w:ilvl="0" w:tplc="04090013">
      <w:start w:val="1"/>
      <w:numFmt w:val="upperRoman"/>
      <w:lvlText w:val="%1."/>
      <w:lvlJc w:val="right"/>
      <w:pPr>
        <w:ind w:left="540" w:hanging="720"/>
      </w:pPr>
      <w:rPr>
        <w:rFonts w:hint="default"/>
      </w:rPr>
    </w:lvl>
    <w:lvl w:ilvl="1" w:tplc="28883F46">
      <w:start w:val="1"/>
      <w:numFmt w:val="upperLetter"/>
      <w:lvlText w:val="%2."/>
      <w:lvlJc w:val="left"/>
      <w:pPr>
        <w:ind w:left="900" w:hanging="360"/>
      </w:pPr>
      <w:rPr>
        <w:rFonts w:hint="default"/>
      </w:r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9">
    <w:nsid w:val="4F9F5A9B"/>
    <w:multiLevelType w:val="hybridMultilevel"/>
    <w:tmpl w:val="43B4CAAC"/>
    <w:lvl w:ilvl="0" w:tplc="4394056C">
      <w:start w:val="1"/>
      <w:numFmt w:val="upperRoman"/>
      <w:lvlText w:val="%1."/>
      <w:lvlJc w:val="left"/>
      <w:pPr>
        <w:ind w:left="540" w:hanging="72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0">
    <w:nsid w:val="51FF5F6F"/>
    <w:multiLevelType w:val="hybridMultilevel"/>
    <w:tmpl w:val="1D0E23B2"/>
    <w:lvl w:ilvl="0" w:tplc="2220AF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18216BE"/>
    <w:multiLevelType w:val="hybridMultilevel"/>
    <w:tmpl w:val="D5E2F8FC"/>
    <w:lvl w:ilvl="0" w:tplc="B2304E64">
      <w:start w:val="1"/>
      <w:numFmt w:val="upperRoman"/>
      <w:lvlText w:val="%1."/>
      <w:lvlJc w:val="left"/>
      <w:pPr>
        <w:ind w:left="540" w:hanging="720"/>
      </w:pPr>
      <w:rPr>
        <w:rFonts w:hint="default"/>
      </w:rPr>
    </w:lvl>
    <w:lvl w:ilvl="1" w:tplc="04090019">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2">
    <w:nsid w:val="623C5FF5"/>
    <w:multiLevelType w:val="hybridMultilevel"/>
    <w:tmpl w:val="D6481172"/>
    <w:lvl w:ilvl="0" w:tplc="B7D8564A">
      <w:start w:val="1"/>
      <w:numFmt w:val="decimal"/>
      <w:lvlText w:val="(%1)"/>
      <w:lvlJc w:val="left"/>
      <w:pPr>
        <w:ind w:left="1995" w:hanging="12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C4A7B97"/>
    <w:multiLevelType w:val="hybridMultilevel"/>
    <w:tmpl w:val="6890EF62"/>
    <w:lvl w:ilvl="0" w:tplc="5C6E855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ED914F4"/>
    <w:multiLevelType w:val="multilevel"/>
    <w:tmpl w:val="D6CE4D5E"/>
    <w:lvl w:ilvl="0">
      <w:start w:val="1"/>
      <w:numFmt w:val="decimal"/>
      <w:pStyle w:val="Litigation1"/>
      <w:lvlText w:val="%1."/>
      <w:lvlJc w:val="left"/>
      <w:pPr>
        <w:tabs>
          <w:tab w:val="num" w:pos="1080"/>
        </w:tabs>
        <w:ind w:left="0" w:firstLine="720"/>
      </w:pPr>
      <w:rPr>
        <w:rFonts w:ascii="Times New Roman" w:hAnsi="Times New Roman" w:hint="default"/>
        <w:b w:val="0"/>
        <w:i w:val="0"/>
        <w:sz w:val="26"/>
      </w:rPr>
    </w:lvl>
    <w:lvl w:ilvl="1">
      <w:start w:val="1"/>
      <w:numFmt w:val="lowerLetter"/>
      <w:lvlText w:val="(%2)"/>
      <w:lvlJc w:val="left"/>
      <w:pPr>
        <w:tabs>
          <w:tab w:val="num" w:pos="2880"/>
        </w:tabs>
        <w:ind w:left="2880" w:hanging="720"/>
      </w:pPr>
      <w:rPr>
        <w:rFonts w:ascii="Arial" w:hAnsi="Arial" w:hint="default"/>
        <w:b w:val="0"/>
        <w:i w:val="0"/>
        <w:sz w:val="22"/>
      </w:rPr>
    </w:lvl>
    <w:lvl w:ilvl="2">
      <w:start w:val="1"/>
      <w:numFmt w:val="lowerRoman"/>
      <w:lvlText w:val="(%3)"/>
      <w:lvlJc w:val="left"/>
      <w:pPr>
        <w:tabs>
          <w:tab w:val="num" w:pos="3600"/>
        </w:tabs>
        <w:ind w:left="3600" w:hanging="720"/>
      </w:pPr>
      <w:rPr>
        <w:rFonts w:ascii="Arial" w:hAnsi="Arial" w:hint="default"/>
        <w:b w:val="0"/>
        <w:i w:val="0"/>
        <w:sz w:val="22"/>
      </w:rPr>
    </w:lvl>
    <w:lvl w:ilvl="3">
      <w:start w:val="1"/>
      <w:numFmt w:val="decimal"/>
      <w:lvlText w:val="(%4)"/>
      <w:lvlJc w:val="left"/>
      <w:pPr>
        <w:tabs>
          <w:tab w:val="num" w:pos="3240"/>
        </w:tabs>
        <w:ind w:left="2160" w:firstLine="720"/>
      </w:pPr>
      <w:rPr>
        <w:rFonts w:ascii="Arial" w:hAnsi="Arial" w:hint="default"/>
        <w:b w:val="0"/>
        <w:i w:val="0"/>
        <w:sz w:val="22"/>
      </w:rPr>
    </w:lvl>
    <w:lvl w:ilvl="4">
      <w:start w:val="1"/>
      <w:numFmt w:val="lowerLetter"/>
      <w:lvlText w:val="(%5)"/>
      <w:lvlJc w:val="left"/>
      <w:pPr>
        <w:tabs>
          <w:tab w:val="num" w:pos="2520"/>
        </w:tabs>
        <w:ind w:left="2520" w:hanging="360"/>
      </w:pPr>
      <w:rPr>
        <w:rFonts w:ascii="Arial" w:hAnsi="Arial" w:hint="default"/>
        <w:b w:val="0"/>
        <w:i w:val="0"/>
        <w:sz w:val="22"/>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5">
    <w:nsid w:val="7FF93EBF"/>
    <w:multiLevelType w:val="hybridMultilevel"/>
    <w:tmpl w:val="DE88ABFA"/>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4"/>
  </w:num>
  <w:num w:numId="2">
    <w:abstractNumId w:val="6"/>
  </w:num>
  <w:num w:numId="3">
    <w:abstractNumId w:val="7"/>
  </w:num>
  <w:num w:numId="4">
    <w:abstractNumId w:val="2"/>
  </w:num>
  <w:num w:numId="5">
    <w:abstractNumId w:val="14"/>
  </w:num>
  <w:num w:numId="6">
    <w:abstractNumId w:val="6"/>
  </w:num>
  <w:num w:numId="7">
    <w:abstractNumId w:val="7"/>
  </w:num>
  <w:num w:numId="8">
    <w:abstractNumId w:val="2"/>
  </w:num>
  <w:num w:numId="9">
    <w:abstractNumId w:val="0"/>
  </w:num>
  <w:num w:numId="10">
    <w:abstractNumId w:val="0"/>
  </w:num>
  <w:num w:numId="11">
    <w:abstractNumId w:val="0"/>
  </w:num>
  <w:num w:numId="12">
    <w:abstractNumId w:val="15"/>
  </w:num>
  <w:num w:numId="13">
    <w:abstractNumId w:val="13"/>
  </w:num>
  <w:num w:numId="14">
    <w:abstractNumId w:val="5"/>
  </w:num>
  <w:num w:numId="15">
    <w:abstractNumId w:val="4"/>
  </w:num>
  <w:num w:numId="16">
    <w:abstractNumId w:val="3"/>
  </w:num>
  <w:num w:numId="17">
    <w:abstractNumId w:val="1"/>
  </w:num>
  <w:num w:numId="18">
    <w:abstractNumId w:val="9"/>
  </w:num>
  <w:num w:numId="19">
    <w:abstractNumId w:val="12"/>
  </w:num>
  <w:num w:numId="20">
    <w:abstractNumId w:val="11"/>
  </w:num>
  <w:num w:numId="21">
    <w:abstractNumId w:val="10"/>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suppressBottomSpacing/>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leaned" w:val="True"/>
    <w:docVar w:name="IDInfo" w:val="F"/>
  </w:docVars>
  <w:rsids>
    <w:rsidRoot w:val="00743FAB"/>
    <w:rsid w:val="00000FD4"/>
    <w:rsid w:val="0000185E"/>
    <w:rsid w:val="00002581"/>
    <w:rsid w:val="00004399"/>
    <w:rsid w:val="000067FF"/>
    <w:rsid w:val="00011DC2"/>
    <w:rsid w:val="00015008"/>
    <w:rsid w:val="00017BA1"/>
    <w:rsid w:val="0002094E"/>
    <w:rsid w:val="00022AFE"/>
    <w:rsid w:val="000256AE"/>
    <w:rsid w:val="0003001E"/>
    <w:rsid w:val="00030F88"/>
    <w:rsid w:val="00035035"/>
    <w:rsid w:val="000378C6"/>
    <w:rsid w:val="00040EB8"/>
    <w:rsid w:val="000466CD"/>
    <w:rsid w:val="0004724A"/>
    <w:rsid w:val="000526E2"/>
    <w:rsid w:val="00054988"/>
    <w:rsid w:val="00055774"/>
    <w:rsid w:val="000572A4"/>
    <w:rsid w:val="0005762E"/>
    <w:rsid w:val="00067DCE"/>
    <w:rsid w:val="00075387"/>
    <w:rsid w:val="00076E55"/>
    <w:rsid w:val="00096640"/>
    <w:rsid w:val="00097EAF"/>
    <w:rsid w:val="000A204A"/>
    <w:rsid w:val="000A4A94"/>
    <w:rsid w:val="000B3BE5"/>
    <w:rsid w:val="000B647E"/>
    <w:rsid w:val="000C59D9"/>
    <w:rsid w:val="000C5EB3"/>
    <w:rsid w:val="000D0FBF"/>
    <w:rsid w:val="000D5905"/>
    <w:rsid w:val="000E0A03"/>
    <w:rsid w:val="000E34D9"/>
    <w:rsid w:val="000E5D87"/>
    <w:rsid w:val="000E77D4"/>
    <w:rsid w:val="000F0306"/>
    <w:rsid w:val="000F0B67"/>
    <w:rsid w:val="000F16F2"/>
    <w:rsid w:val="000F4A4E"/>
    <w:rsid w:val="000F6AF8"/>
    <w:rsid w:val="00102CE8"/>
    <w:rsid w:val="00107690"/>
    <w:rsid w:val="00114BD8"/>
    <w:rsid w:val="001160A2"/>
    <w:rsid w:val="0011658E"/>
    <w:rsid w:val="0011720C"/>
    <w:rsid w:val="00120B0B"/>
    <w:rsid w:val="00120DAC"/>
    <w:rsid w:val="0012150A"/>
    <w:rsid w:val="00122E38"/>
    <w:rsid w:val="00126A92"/>
    <w:rsid w:val="00127C61"/>
    <w:rsid w:val="00131C85"/>
    <w:rsid w:val="001331BB"/>
    <w:rsid w:val="00136DC6"/>
    <w:rsid w:val="0014220D"/>
    <w:rsid w:val="001435F7"/>
    <w:rsid w:val="00145BC3"/>
    <w:rsid w:val="00150218"/>
    <w:rsid w:val="00154307"/>
    <w:rsid w:val="001629FD"/>
    <w:rsid w:val="00162EFF"/>
    <w:rsid w:val="001673D1"/>
    <w:rsid w:val="0016788C"/>
    <w:rsid w:val="001718F8"/>
    <w:rsid w:val="001754C8"/>
    <w:rsid w:val="00181D11"/>
    <w:rsid w:val="0018259F"/>
    <w:rsid w:val="00195FC4"/>
    <w:rsid w:val="001A4477"/>
    <w:rsid w:val="001A7A6A"/>
    <w:rsid w:val="001B4822"/>
    <w:rsid w:val="001B5783"/>
    <w:rsid w:val="001B59FD"/>
    <w:rsid w:val="001B60DF"/>
    <w:rsid w:val="001B78F4"/>
    <w:rsid w:val="001C0298"/>
    <w:rsid w:val="001C15D2"/>
    <w:rsid w:val="001C1EBF"/>
    <w:rsid w:val="001C3AE7"/>
    <w:rsid w:val="001C415E"/>
    <w:rsid w:val="001C7F2A"/>
    <w:rsid w:val="001D1037"/>
    <w:rsid w:val="001D24FC"/>
    <w:rsid w:val="001D3197"/>
    <w:rsid w:val="001E0285"/>
    <w:rsid w:val="001E65F3"/>
    <w:rsid w:val="001F1BAB"/>
    <w:rsid w:val="001F4441"/>
    <w:rsid w:val="001F4923"/>
    <w:rsid w:val="00202FF8"/>
    <w:rsid w:val="0020568F"/>
    <w:rsid w:val="00205A68"/>
    <w:rsid w:val="002150D1"/>
    <w:rsid w:val="00217210"/>
    <w:rsid w:val="00221BA8"/>
    <w:rsid w:val="0022575A"/>
    <w:rsid w:val="00227B59"/>
    <w:rsid w:val="00230217"/>
    <w:rsid w:val="002353A4"/>
    <w:rsid w:val="00235556"/>
    <w:rsid w:val="00235BF2"/>
    <w:rsid w:val="00240CDA"/>
    <w:rsid w:val="0024438E"/>
    <w:rsid w:val="00255A2A"/>
    <w:rsid w:val="0025679A"/>
    <w:rsid w:val="0026472F"/>
    <w:rsid w:val="00264F61"/>
    <w:rsid w:val="00271C43"/>
    <w:rsid w:val="00272713"/>
    <w:rsid w:val="00273A45"/>
    <w:rsid w:val="00277A39"/>
    <w:rsid w:val="002948AC"/>
    <w:rsid w:val="002A0387"/>
    <w:rsid w:val="002A03A5"/>
    <w:rsid w:val="002A786E"/>
    <w:rsid w:val="002B29C3"/>
    <w:rsid w:val="002C0227"/>
    <w:rsid w:val="002C2248"/>
    <w:rsid w:val="002C56FE"/>
    <w:rsid w:val="002D09BD"/>
    <w:rsid w:val="002D1E93"/>
    <w:rsid w:val="002D403F"/>
    <w:rsid w:val="002E74A1"/>
    <w:rsid w:val="002E7FF3"/>
    <w:rsid w:val="002F2C33"/>
    <w:rsid w:val="00313700"/>
    <w:rsid w:val="00315898"/>
    <w:rsid w:val="00317AB7"/>
    <w:rsid w:val="00320E71"/>
    <w:rsid w:val="00325D56"/>
    <w:rsid w:val="0032618A"/>
    <w:rsid w:val="00337C9C"/>
    <w:rsid w:val="00346AA9"/>
    <w:rsid w:val="00363A06"/>
    <w:rsid w:val="0036522A"/>
    <w:rsid w:val="0037035C"/>
    <w:rsid w:val="00370FC5"/>
    <w:rsid w:val="00372B9F"/>
    <w:rsid w:val="00373A7A"/>
    <w:rsid w:val="00377122"/>
    <w:rsid w:val="00377BE5"/>
    <w:rsid w:val="0038342A"/>
    <w:rsid w:val="00386CF0"/>
    <w:rsid w:val="00391527"/>
    <w:rsid w:val="00391549"/>
    <w:rsid w:val="00392042"/>
    <w:rsid w:val="003A3D19"/>
    <w:rsid w:val="003B4387"/>
    <w:rsid w:val="003C66BC"/>
    <w:rsid w:val="003C695F"/>
    <w:rsid w:val="003E3F10"/>
    <w:rsid w:val="003E4B9C"/>
    <w:rsid w:val="003E7ED5"/>
    <w:rsid w:val="003F1FB4"/>
    <w:rsid w:val="003F5D6D"/>
    <w:rsid w:val="003F7567"/>
    <w:rsid w:val="0040071C"/>
    <w:rsid w:val="00401494"/>
    <w:rsid w:val="004017F8"/>
    <w:rsid w:val="00410D6F"/>
    <w:rsid w:val="004115AD"/>
    <w:rsid w:val="00412078"/>
    <w:rsid w:val="00413EFF"/>
    <w:rsid w:val="00420B3E"/>
    <w:rsid w:val="00421EF8"/>
    <w:rsid w:val="004233D3"/>
    <w:rsid w:val="004317BA"/>
    <w:rsid w:val="004346C7"/>
    <w:rsid w:val="00435A8C"/>
    <w:rsid w:val="00437CBE"/>
    <w:rsid w:val="004419AA"/>
    <w:rsid w:val="00441D70"/>
    <w:rsid w:val="00442090"/>
    <w:rsid w:val="00447847"/>
    <w:rsid w:val="00460441"/>
    <w:rsid w:val="0046500B"/>
    <w:rsid w:val="004676C3"/>
    <w:rsid w:val="0047098C"/>
    <w:rsid w:val="00473088"/>
    <w:rsid w:val="0047482B"/>
    <w:rsid w:val="00476400"/>
    <w:rsid w:val="00477889"/>
    <w:rsid w:val="00482583"/>
    <w:rsid w:val="00483AB0"/>
    <w:rsid w:val="00483DA9"/>
    <w:rsid w:val="004865CD"/>
    <w:rsid w:val="00491059"/>
    <w:rsid w:val="00495F13"/>
    <w:rsid w:val="004A5116"/>
    <w:rsid w:val="004A54C5"/>
    <w:rsid w:val="004A64DE"/>
    <w:rsid w:val="004A6A61"/>
    <w:rsid w:val="004B2335"/>
    <w:rsid w:val="004B2E5C"/>
    <w:rsid w:val="004B498D"/>
    <w:rsid w:val="004B5373"/>
    <w:rsid w:val="004B6AD4"/>
    <w:rsid w:val="004B7A55"/>
    <w:rsid w:val="004C1D10"/>
    <w:rsid w:val="004D00F0"/>
    <w:rsid w:val="004D209B"/>
    <w:rsid w:val="004E0B99"/>
    <w:rsid w:val="004E162F"/>
    <w:rsid w:val="004E376A"/>
    <w:rsid w:val="004F04D2"/>
    <w:rsid w:val="004F664F"/>
    <w:rsid w:val="00510D3E"/>
    <w:rsid w:val="00512469"/>
    <w:rsid w:val="005132EF"/>
    <w:rsid w:val="005137C1"/>
    <w:rsid w:val="005242B5"/>
    <w:rsid w:val="005247B8"/>
    <w:rsid w:val="0053288C"/>
    <w:rsid w:val="005330F2"/>
    <w:rsid w:val="0053348E"/>
    <w:rsid w:val="005353AE"/>
    <w:rsid w:val="00537469"/>
    <w:rsid w:val="00543FE6"/>
    <w:rsid w:val="005443AB"/>
    <w:rsid w:val="0054535A"/>
    <w:rsid w:val="00563C88"/>
    <w:rsid w:val="005640D5"/>
    <w:rsid w:val="00570AE3"/>
    <w:rsid w:val="00575AB0"/>
    <w:rsid w:val="005764E4"/>
    <w:rsid w:val="00580A45"/>
    <w:rsid w:val="0058194D"/>
    <w:rsid w:val="00582892"/>
    <w:rsid w:val="00585BAC"/>
    <w:rsid w:val="00587223"/>
    <w:rsid w:val="00594FE7"/>
    <w:rsid w:val="00595F87"/>
    <w:rsid w:val="005A63EE"/>
    <w:rsid w:val="005D24F1"/>
    <w:rsid w:val="005D27AC"/>
    <w:rsid w:val="005D40AF"/>
    <w:rsid w:val="005D4BB5"/>
    <w:rsid w:val="005F4CE7"/>
    <w:rsid w:val="005F4FC7"/>
    <w:rsid w:val="00600CB9"/>
    <w:rsid w:val="00601E69"/>
    <w:rsid w:val="00604319"/>
    <w:rsid w:val="00615C18"/>
    <w:rsid w:val="00615D27"/>
    <w:rsid w:val="00616EDA"/>
    <w:rsid w:val="00624C5D"/>
    <w:rsid w:val="006325AA"/>
    <w:rsid w:val="00672118"/>
    <w:rsid w:val="006757AF"/>
    <w:rsid w:val="00680BBC"/>
    <w:rsid w:val="00684160"/>
    <w:rsid w:val="00685457"/>
    <w:rsid w:val="00692271"/>
    <w:rsid w:val="006A635E"/>
    <w:rsid w:val="006A7FF6"/>
    <w:rsid w:val="006B386D"/>
    <w:rsid w:val="006C0C68"/>
    <w:rsid w:val="006C0DA1"/>
    <w:rsid w:val="006C3FFC"/>
    <w:rsid w:val="006C682C"/>
    <w:rsid w:val="006C6FE0"/>
    <w:rsid w:val="006D1830"/>
    <w:rsid w:val="006D4F55"/>
    <w:rsid w:val="006D5DFB"/>
    <w:rsid w:val="006E19B0"/>
    <w:rsid w:val="006E24F7"/>
    <w:rsid w:val="006E3384"/>
    <w:rsid w:val="006E7FCA"/>
    <w:rsid w:val="006F166A"/>
    <w:rsid w:val="006F2ADC"/>
    <w:rsid w:val="006F70ED"/>
    <w:rsid w:val="007130ED"/>
    <w:rsid w:val="0072366E"/>
    <w:rsid w:val="00727FCE"/>
    <w:rsid w:val="00737351"/>
    <w:rsid w:val="00740B70"/>
    <w:rsid w:val="00740BE9"/>
    <w:rsid w:val="00743FAB"/>
    <w:rsid w:val="0074629F"/>
    <w:rsid w:val="007530F0"/>
    <w:rsid w:val="00755FD8"/>
    <w:rsid w:val="007570B3"/>
    <w:rsid w:val="007708AC"/>
    <w:rsid w:val="00771E44"/>
    <w:rsid w:val="007809D6"/>
    <w:rsid w:val="00785A06"/>
    <w:rsid w:val="00785ACE"/>
    <w:rsid w:val="0078685E"/>
    <w:rsid w:val="00793280"/>
    <w:rsid w:val="007A26AE"/>
    <w:rsid w:val="007A346B"/>
    <w:rsid w:val="007A6C17"/>
    <w:rsid w:val="007A6E41"/>
    <w:rsid w:val="007A79F9"/>
    <w:rsid w:val="007B2DE7"/>
    <w:rsid w:val="007B6B6D"/>
    <w:rsid w:val="007D31E5"/>
    <w:rsid w:val="007E0802"/>
    <w:rsid w:val="007E0BED"/>
    <w:rsid w:val="007E1058"/>
    <w:rsid w:val="007E71CD"/>
    <w:rsid w:val="007F07E1"/>
    <w:rsid w:val="007F3021"/>
    <w:rsid w:val="007F4622"/>
    <w:rsid w:val="007F5628"/>
    <w:rsid w:val="007F6E69"/>
    <w:rsid w:val="00801422"/>
    <w:rsid w:val="008023CD"/>
    <w:rsid w:val="00813314"/>
    <w:rsid w:val="008134AB"/>
    <w:rsid w:val="00820FEB"/>
    <w:rsid w:val="00823D4E"/>
    <w:rsid w:val="008301B8"/>
    <w:rsid w:val="00832479"/>
    <w:rsid w:val="00833540"/>
    <w:rsid w:val="00842597"/>
    <w:rsid w:val="008450D2"/>
    <w:rsid w:val="00856900"/>
    <w:rsid w:val="00867635"/>
    <w:rsid w:val="00871062"/>
    <w:rsid w:val="00872A9F"/>
    <w:rsid w:val="008756CB"/>
    <w:rsid w:val="00880CAF"/>
    <w:rsid w:val="00883319"/>
    <w:rsid w:val="00884070"/>
    <w:rsid w:val="008852D0"/>
    <w:rsid w:val="00885A6E"/>
    <w:rsid w:val="008902CD"/>
    <w:rsid w:val="008A1D3E"/>
    <w:rsid w:val="008A4EE8"/>
    <w:rsid w:val="008A76AF"/>
    <w:rsid w:val="008B5CDC"/>
    <w:rsid w:val="008B6063"/>
    <w:rsid w:val="008C040A"/>
    <w:rsid w:val="008C6A2D"/>
    <w:rsid w:val="008C74A3"/>
    <w:rsid w:val="008D004A"/>
    <w:rsid w:val="008D1268"/>
    <w:rsid w:val="008D6262"/>
    <w:rsid w:val="008E1342"/>
    <w:rsid w:val="008E19AE"/>
    <w:rsid w:val="008E2235"/>
    <w:rsid w:val="008E28E2"/>
    <w:rsid w:val="008F5232"/>
    <w:rsid w:val="008F71D6"/>
    <w:rsid w:val="0090606D"/>
    <w:rsid w:val="0091013B"/>
    <w:rsid w:val="00914653"/>
    <w:rsid w:val="00915082"/>
    <w:rsid w:val="00926240"/>
    <w:rsid w:val="0093285D"/>
    <w:rsid w:val="00936A99"/>
    <w:rsid w:val="009375C4"/>
    <w:rsid w:val="009412C3"/>
    <w:rsid w:val="00953C30"/>
    <w:rsid w:val="009608E0"/>
    <w:rsid w:val="009657AA"/>
    <w:rsid w:val="00966FC0"/>
    <w:rsid w:val="0096701B"/>
    <w:rsid w:val="009743FA"/>
    <w:rsid w:val="00974901"/>
    <w:rsid w:val="009749E8"/>
    <w:rsid w:val="00976317"/>
    <w:rsid w:val="009820B2"/>
    <w:rsid w:val="009909A3"/>
    <w:rsid w:val="00997600"/>
    <w:rsid w:val="00997DE7"/>
    <w:rsid w:val="009A0A2D"/>
    <w:rsid w:val="009A0A80"/>
    <w:rsid w:val="009A0DC7"/>
    <w:rsid w:val="009A6737"/>
    <w:rsid w:val="009B201A"/>
    <w:rsid w:val="009B5075"/>
    <w:rsid w:val="009C746D"/>
    <w:rsid w:val="009D2B67"/>
    <w:rsid w:val="009E3CA6"/>
    <w:rsid w:val="009E4BFA"/>
    <w:rsid w:val="009E631D"/>
    <w:rsid w:val="009F13F7"/>
    <w:rsid w:val="009F3924"/>
    <w:rsid w:val="009F3D03"/>
    <w:rsid w:val="009F4A7D"/>
    <w:rsid w:val="009F5B11"/>
    <w:rsid w:val="009F7773"/>
    <w:rsid w:val="00A003ED"/>
    <w:rsid w:val="00A0158D"/>
    <w:rsid w:val="00A026E8"/>
    <w:rsid w:val="00A04867"/>
    <w:rsid w:val="00A07657"/>
    <w:rsid w:val="00A10F40"/>
    <w:rsid w:val="00A12ABA"/>
    <w:rsid w:val="00A1424C"/>
    <w:rsid w:val="00A14560"/>
    <w:rsid w:val="00A22197"/>
    <w:rsid w:val="00A22F7D"/>
    <w:rsid w:val="00A24C9B"/>
    <w:rsid w:val="00A26F10"/>
    <w:rsid w:val="00A32A85"/>
    <w:rsid w:val="00A338D8"/>
    <w:rsid w:val="00A33D74"/>
    <w:rsid w:val="00A372ED"/>
    <w:rsid w:val="00A40BDA"/>
    <w:rsid w:val="00A41625"/>
    <w:rsid w:val="00A4312E"/>
    <w:rsid w:val="00A4339E"/>
    <w:rsid w:val="00A45099"/>
    <w:rsid w:val="00A46F00"/>
    <w:rsid w:val="00A55654"/>
    <w:rsid w:val="00A642B4"/>
    <w:rsid w:val="00A64743"/>
    <w:rsid w:val="00A71131"/>
    <w:rsid w:val="00A716CA"/>
    <w:rsid w:val="00A76C07"/>
    <w:rsid w:val="00A7772F"/>
    <w:rsid w:val="00A80205"/>
    <w:rsid w:val="00A80A95"/>
    <w:rsid w:val="00A80D3E"/>
    <w:rsid w:val="00A81058"/>
    <w:rsid w:val="00A863D4"/>
    <w:rsid w:val="00A95EFC"/>
    <w:rsid w:val="00AA3F6B"/>
    <w:rsid w:val="00AA6CA8"/>
    <w:rsid w:val="00AB7F89"/>
    <w:rsid w:val="00AC7DCD"/>
    <w:rsid w:val="00AC7E14"/>
    <w:rsid w:val="00AD1F64"/>
    <w:rsid w:val="00AD735C"/>
    <w:rsid w:val="00AE2F1F"/>
    <w:rsid w:val="00AE6107"/>
    <w:rsid w:val="00AE6559"/>
    <w:rsid w:val="00AF2814"/>
    <w:rsid w:val="00B12678"/>
    <w:rsid w:val="00B1322A"/>
    <w:rsid w:val="00B14A43"/>
    <w:rsid w:val="00B1531B"/>
    <w:rsid w:val="00B21547"/>
    <w:rsid w:val="00B27841"/>
    <w:rsid w:val="00B312B2"/>
    <w:rsid w:val="00B31D4A"/>
    <w:rsid w:val="00B33E38"/>
    <w:rsid w:val="00B34EA6"/>
    <w:rsid w:val="00B35046"/>
    <w:rsid w:val="00B409A6"/>
    <w:rsid w:val="00B414B6"/>
    <w:rsid w:val="00B432AD"/>
    <w:rsid w:val="00B508B2"/>
    <w:rsid w:val="00B5134E"/>
    <w:rsid w:val="00B5473E"/>
    <w:rsid w:val="00B61196"/>
    <w:rsid w:val="00B67D03"/>
    <w:rsid w:val="00B72190"/>
    <w:rsid w:val="00B82887"/>
    <w:rsid w:val="00B90A37"/>
    <w:rsid w:val="00B92EAD"/>
    <w:rsid w:val="00BA2936"/>
    <w:rsid w:val="00BB005B"/>
    <w:rsid w:val="00BB046C"/>
    <w:rsid w:val="00BB0562"/>
    <w:rsid w:val="00BB0DF9"/>
    <w:rsid w:val="00BB46B5"/>
    <w:rsid w:val="00BB5188"/>
    <w:rsid w:val="00BC0DFF"/>
    <w:rsid w:val="00BC6FFC"/>
    <w:rsid w:val="00BD103B"/>
    <w:rsid w:val="00BD2FAF"/>
    <w:rsid w:val="00BD6E49"/>
    <w:rsid w:val="00BE2D02"/>
    <w:rsid w:val="00BE3424"/>
    <w:rsid w:val="00BE41A7"/>
    <w:rsid w:val="00BF0639"/>
    <w:rsid w:val="00BF431D"/>
    <w:rsid w:val="00C11DC7"/>
    <w:rsid w:val="00C12DBA"/>
    <w:rsid w:val="00C2057A"/>
    <w:rsid w:val="00C26D9C"/>
    <w:rsid w:val="00C33643"/>
    <w:rsid w:val="00C34C33"/>
    <w:rsid w:val="00C35FE2"/>
    <w:rsid w:val="00C37E92"/>
    <w:rsid w:val="00C4106E"/>
    <w:rsid w:val="00C441E9"/>
    <w:rsid w:val="00C45682"/>
    <w:rsid w:val="00C45FA8"/>
    <w:rsid w:val="00C46B22"/>
    <w:rsid w:val="00C51A19"/>
    <w:rsid w:val="00C60A0E"/>
    <w:rsid w:val="00C61DB9"/>
    <w:rsid w:val="00C632E5"/>
    <w:rsid w:val="00C70266"/>
    <w:rsid w:val="00C737AE"/>
    <w:rsid w:val="00C77939"/>
    <w:rsid w:val="00C80371"/>
    <w:rsid w:val="00C81DB6"/>
    <w:rsid w:val="00C82AE4"/>
    <w:rsid w:val="00C85BD9"/>
    <w:rsid w:val="00C906F5"/>
    <w:rsid w:val="00C90EE8"/>
    <w:rsid w:val="00C92A7C"/>
    <w:rsid w:val="00C97923"/>
    <w:rsid w:val="00C97F62"/>
    <w:rsid w:val="00CA4C71"/>
    <w:rsid w:val="00CA57D2"/>
    <w:rsid w:val="00CA5E52"/>
    <w:rsid w:val="00CA650F"/>
    <w:rsid w:val="00CA6AF9"/>
    <w:rsid w:val="00CB1B62"/>
    <w:rsid w:val="00CB408E"/>
    <w:rsid w:val="00CB45E6"/>
    <w:rsid w:val="00CB4E70"/>
    <w:rsid w:val="00CB79BA"/>
    <w:rsid w:val="00CC10BE"/>
    <w:rsid w:val="00CC4C96"/>
    <w:rsid w:val="00CC7CCF"/>
    <w:rsid w:val="00CD0BFC"/>
    <w:rsid w:val="00CD3338"/>
    <w:rsid w:val="00CD6B98"/>
    <w:rsid w:val="00CD6E52"/>
    <w:rsid w:val="00CD7591"/>
    <w:rsid w:val="00CE4A1D"/>
    <w:rsid w:val="00CF0FA0"/>
    <w:rsid w:val="00CF3D62"/>
    <w:rsid w:val="00CF4DD7"/>
    <w:rsid w:val="00CF7EED"/>
    <w:rsid w:val="00D0078F"/>
    <w:rsid w:val="00D05523"/>
    <w:rsid w:val="00D0769E"/>
    <w:rsid w:val="00D07784"/>
    <w:rsid w:val="00D0786A"/>
    <w:rsid w:val="00D17789"/>
    <w:rsid w:val="00D17B24"/>
    <w:rsid w:val="00D2286A"/>
    <w:rsid w:val="00D2530C"/>
    <w:rsid w:val="00D25EDB"/>
    <w:rsid w:val="00D26005"/>
    <w:rsid w:val="00D27C09"/>
    <w:rsid w:val="00D33895"/>
    <w:rsid w:val="00D42F0A"/>
    <w:rsid w:val="00D43C76"/>
    <w:rsid w:val="00D44F4E"/>
    <w:rsid w:val="00D4693A"/>
    <w:rsid w:val="00D51CE4"/>
    <w:rsid w:val="00D5322A"/>
    <w:rsid w:val="00D568F3"/>
    <w:rsid w:val="00D6001F"/>
    <w:rsid w:val="00D6013D"/>
    <w:rsid w:val="00D60BD2"/>
    <w:rsid w:val="00D63BCF"/>
    <w:rsid w:val="00D67931"/>
    <w:rsid w:val="00D700DB"/>
    <w:rsid w:val="00D77106"/>
    <w:rsid w:val="00D86E22"/>
    <w:rsid w:val="00D91C83"/>
    <w:rsid w:val="00D9221C"/>
    <w:rsid w:val="00D95684"/>
    <w:rsid w:val="00D977CE"/>
    <w:rsid w:val="00DA09C9"/>
    <w:rsid w:val="00DA1049"/>
    <w:rsid w:val="00DA1EF2"/>
    <w:rsid w:val="00DA7010"/>
    <w:rsid w:val="00DB2C8E"/>
    <w:rsid w:val="00DB4F22"/>
    <w:rsid w:val="00DB7914"/>
    <w:rsid w:val="00DC0578"/>
    <w:rsid w:val="00DC0B1A"/>
    <w:rsid w:val="00DC7F69"/>
    <w:rsid w:val="00DD1B53"/>
    <w:rsid w:val="00DD2DFB"/>
    <w:rsid w:val="00DE3050"/>
    <w:rsid w:val="00DE4A08"/>
    <w:rsid w:val="00DF0223"/>
    <w:rsid w:val="00DF5F11"/>
    <w:rsid w:val="00DF7B3A"/>
    <w:rsid w:val="00E11864"/>
    <w:rsid w:val="00E11D67"/>
    <w:rsid w:val="00E135A4"/>
    <w:rsid w:val="00E153F8"/>
    <w:rsid w:val="00E159F8"/>
    <w:rsid w:val="00E23BD4"/>
    <w:rsid w:val="00E27EB7"/>
    <w:rsid w:val="00E40500"/>
    <w:rsid w:val="00E4097B"/>
    <w:rsid w:val="00E46034"/>
    <w:rsid w:val="00E46E30"/>
    <w:rsid w:val="00E54961"/>
    <w:rsid w:val="00E56C0E"/>
    <w:rsid w:val="00E60824"/>
    <w:rsid w:val="00E704BF"/>
    <w:rsid w:val="00E71390"/>
    <w:rsid w:val="00E74675"/>
    <w:rsid w:val="00E75F5C"/>
    <w:rsid w:val="00E7777F"/>
    <w:rsid w:val="00E90074"/>
    <w:rsid w:val="00E935A1"/>
    <w:rsid w:val="00E94166"/>
    <w:rsid w:val="00EA1E4C"/>
    <w:rsid w:val="00EA2A3D"/>
    <w:rsid w:val="00EA2A6A"/>
    <w:rsid w:val="00EA2EFB"/>
    <w:rsid w:val="00EA3D35"/>
    <w:rsid w:val="00EA4617"/>
    <w:rsid w:val="00EA6DAA"/>
    <w:rsid w:val="00EA7B9C"/>
    <w:rsid w:val="00EB004C"/>
    <w:rsid w:val="00EB63A9"/>
    <w:rsid w:val="00EC1C57"/>
    <w:rsid w:val="00EC726B"/>
    <w:rsid w:val="00ED3904"/>
    <w:rsid w:val="00EE2CE5"/>
    <w:rsid w:val="00EF718C"/>
    <w:rsid w:val="00F00457"/>
    <w:rsid w:val="00F01377"/>
    <w:rsid w:val="00F2210F"/>
    <w:rsid w:val="00F25647"/>
    <w:rsid w:val="00F2600A"/>
    <w:rsid w:val="00F26239"/>
    <w:rsid w:val="00F316DB"/>
    <w:rsid w:val="00F371F8"/>
    <w:rsid w:val="00F37A3A"/>
    <w:rsid w:val="00F430EE"/>
    <w:rsid w:val="00F432DF"/>
    <w:rsid w:val="00F5047F"/>
    <w:rsid w:val="00F62A59"/>
    <w:rsid w:val="00F820D9"/>
    <w:rsid w:val="00F93815"/>
    <w:rsid w:val="00F94D35"/>
    <w:rsid w:val="00F950FC"/>
    <w:rsid w:val="00FA1709"/>
    <w:rsid w:val="00FA3A6E"/>
    <w:rsid w:val="00FB0489"/>
    <w:rsid w:val="00FB6665"/>
    <w:rsid w:val="00FC426C"/>
    <w:rsid w:val="00FC4271"/>
    <w:rsid w:val="00FC6FA1"/>
    <w:rsid w:val="00FC7702"/>
    <w:rsid w:val="00FD1A27"/>
    <w:rsid w:val="00FD64BF"/>
    <w:rsid w:val="00FD7F3F"/>
    <w:rsid w:val="00FE09A7"/>
    <w:rsid w:val="00FE170F"/>
    <w:rsid w:val="00FE175B"/>
    <w:rsid w:val="00FF04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14:docId w14:val="7948C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spacing w:line="240" w:lineRule="exact"/>
    </w:pPr>
    <w:rPr>
      <w:sz w:val="26"/>
    </w:rPr>
  </w:style>
  <w:style w:type="paragraph" w:styleId="Heading1">
    <w:name w:val="heading 1"/>
    <w:basedOn w:val="Normal"/>
    <w:next w:val="DBody"/>
    <w:qFormat/>
    <w:pPr>
      <w:numPr>
        <w:numId w:val="11"/>
      </w:numPr>
      <w:jc w:val="both"/>
      <w:outlineLvl w:val="0"/>
    </w:pPr>
    <w:rPr>
      <w:sz w:val="24"/>
    </w:rPr>
  </w:style>
  <w:style w:type="paragraph" w:styleId="Heading2">
    <w:name w:val="heading 2"/>
    <w:basedOn w:val="Normal"/>
    <w:next w:val="DBody"/>
    <w:qFormat/>
    <w:pPr>
      <w:widowControl/>
      <w:numPr>
        <w:ilvl w:val="1"/>
        <w:numId w:val="11"/>
      </w:numPr>
      <w:spacing w:line="480" w:lineRule="exact"/>
      <w:jc w:val="both"/>
      <w:outlineLvl w:val="1"/>
    </w:pPr>
  </w:style>
  <w:style w:type="paragraph" w:styleId="Heading3">
    <w:name w:val="heading 3"/>
    <w:basedOn w:val="Normal"/>
    <w:next w:val="DBody"/>
    <w:qFormat/>
    <w:pPr>
      <w:numPr>
        <w:ilvl w:val="2"/>
        <w:numId w:val="11"/>
      </w:numPr>
      <w:jc w:val="both"/>
      <w:outlineLvl w:val="2"/>
    </w:pPr>
    <w:rPr>
      <w:sz w:val="24"/>
    </w:rPr>
  </w:style>
  <w:style w:type="paragraph" w:styleId="Heading4">
    <w:name w:val="heading 4"/>
    <w:basedOn w:val="Normal"/>
    <w:next w:val="DBody"/>
    <w:qFormat/>
    <w:pPr>
      <w:numPr>
        <w:ilvl w:val="3"/>
        <w:numId w:val="11"/>
      </w:numPr>
      <w:tabs>
        <w:tab w:val="left" w:pos="2160"/>
      </w:tabs>
      <w:spacing w:line="480" w:lineRule="exact"/>
      <w:jc w:val="both"/>
      <w:outlineLvl w:val="3"/>
    </w:pPr>
  </w:style>
  <w:style w:type="paragraph" w:styleId="Heading5">
    <w:name w:val="heading 5"/>
    <w:basedOn w:val="Normal"/>
    <w:next w:val="DBody"/>
    <w:qFormat/>
    <w:pPr>
      <w:numPr>
        <w:ilvl w:val="4"/>
        <w:numId w:val="11"/>
      </w:numPr>
      <w:jc w:val="both"/>
      <w:outlineLvl w:val="4"/>
    </w:pPr>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LineNumbers">
    <w:name w:val="LineNumbers"/>
    <w:basedOn w:val="Normal"/>
    <w:pPr>
      <w:jc w:val="right"/>
    </w:pPr>
  </w:style>
  <w:style w:type="paragraph" w:customStyle="1" w:styleId="SingleSpacing">
    <w:name w:val="Single Spacing"/>
    <w:basedOn w:val="Normal"/>
  </w:style>
  <w:style w:type="paragraph" w:styleId="FootnoteText">
    <w:name w:val="footnote text"/>
    <w:basedOn w:val="Normal"/>
    <w:pPr>
      <w:jc w:val="both"/>
    </w:pPr>
  </w:style>
  <w:style w:type="paragraph" w:customStyle="1" w:styleId="DoubleSpacing">
    <w:name w:val="Double Spacing"/>
    <w:basedOn w:val="Normal"/>
    <w:pPr>
      <w:spacing w:line="480" w:lineRule="exact"/>
      <w:jc w:val="both"/>
    </w:pPr>
  </w:style>
  <w:style w:type="character" w:styleId="PageNumber">
    <w:name w:val="page number"/>
    <w:rPr>
      <w:rFonts w:ascii="Times New Roman" w:hAnsi="Times New Roman"/>
      <w:spacing w:val="0"/>
      <w:position w:val="0"/>
      <w:sz w:val="24"/>
    </w:rPr>
  </w:style>
  <w:style w:type="paragraph" w:customStyle="1" w:styleId="Address">
    <w:name w:val="Address"/>
    <w:basedOn w:val="SingleSpacing"/>
  </w:style>
  <w:style w:type="paragraph" w:customStyle="1" w:styleId="CourtName">
    <w:name w:val="CourtName"/>
    <w:basedOn w:val="Normal"/>
    <w:pPr>
      <w:jc w:val="center"/>
    </w:pPr>
  </w:style>
  <w:style w:type="paragraph" w:styleId="EnvelopeAddress">
    <w:name w:val="envelope address"/>
    <w:basedOn w:val="Normal"/>
    <w:pPr>
      <w:framePr w:w="7920" w:h="1980" w:hRule="exact" w:hSpace="180" w:wrap="auto" w:hAnchor="page" w:xAlign="center" w:yAlign="bottom"/>
      <w:ind w:left="2880"/>
    </w:pPr>
  </w:style>
  <w:style w:type="paragraph" w:customStyle="1" w:styleId="Pleading">
    <w:name w:val="Pleading"/>
    <w:basedOn w:val="Normal"/>
  </w:style>
  <w:style w:type="paragraph" w:customStyle="1" w:styleId="Pleadingdouble">
    <w:name w:val="Pleading_double"/>
    <w:basedOn w:val="Pleading"/>
    <w:pPr>
      <w:spacing w:line="480" w:lineRule="exact"/>
      <w:ind w:firstLine="720"/>
      <w:jc w:val="both"/>
    </w:pPr>
  </w:style>
  <w:style w:type="paragraph" w:customStyle="1" w:styleId="DBody">
    <w:name w:val="~DBody"/>
    <w:basedOn w:val="Normal"/>
    <w:pPr>
      <w:spacing w:line="480" w:lineRule="exact"/>
      <w:jc w:val="both"/>
    </w:pPr>
  </w:style>
  <w:style w:type="paragraph" w:styleId="Title">
    <w:name w:val="Title"/>
    <w:basedOn w:val="Normal"/>
    <w:qFormat/>
    <w:pPr>
      <w:spacing w:before="240" w:after="60"/>
      <w:jc w:val="center"/>
    </w:pPr>
    <w:rPr>
      <w:rFonts w:ascii="Arial" w:hAnsi="Arial"/>
      <w:b/>
      <w:kern w:val="28"/>
      <w:sz w:val="32"/>
    </w:rPr>
  </w:style>
  <w:style w:type="character" w:styleId="FootnoteReference">
    <w:name w:val="footnote reference"/>
    <w:rPr>
      <w:vertAlign w:val="superscript"/>
    </w:rPr>
  </w:style>
  <w:style w:type="paragraph" w:styleId="DocumentMap">
    <w:name w:val="Document Map"/>
    <w:basedOn w:val="Normal"/>
    <w:semiHidden/>
    <w:pPr>
      <w:shd w:val="clear" w:color="auto" w:fill="000080"/>
    </w:pPr>
    <w:rPr>
      <w:rFonts w:ascii="Tahoma" w:hAnsi="Tahoma"/>
    </w:rPr>
  </w:style>
  <w:style w:type="paragraph" w:customStyle="1" w:styleId="Litigation1">
    <w:name w:val="Litigation 1"/>
    <w:pPr>
      <w:numPr>
        <w:numId w:val="5"/>
      </w:numPr>
      <w:tabs>
        <w:tab w:val="clear" w:pos="1080"/>
        <w:tab w:val="left" w:pos="720"/>
      </w:tabs>
      <w:spacing w:line="480" w:lineRule="exact"/>
      <w:jc w:val="both"/>
    </w:pPr>
    <w:rPr>
      <w:sz w:val="26"/>
    </w:rPr>
  </w:style>
  <w:style w:type="paragraph" w:customStyle="1" w:styleId="Litigation2">
    <w:name w:val="Litigation 2"/>
    <w:pPr>
      <w:numPr>
        <w:numId w:val="6"/>
      </w:numPr>
      <w:spacing w:line="480" w:lineRule="exact"/>
      <w:jc w:val="both"/>
    </w:pPr>
    <w:rPr>
      <w:sz w:val="26"/>
    </w:rPr>
  </w:style>
  <w:style w:type="paragraph" w:customStyle="1" w:styleId="Litigation3">
    <w:name w:val="Litigation 3"/>
    <w:pPr>
      <w:numPr>
        <w:numId w:val="7"/>
      </w:numPr>
      <w:spacing w:before="240" w:line="240" w:lineRule="exact"/>
      <w:jc w:val="both"/>
    </w:pPr>
    <w:rPr>
      <w:sz w:val="26"/>
    </w:rPr>
  </w:style>
  <w:style w:type="paragraph" w:customStyle="1" w:styleId="Litigation4">
    <w:name w:val="Litigation 4"/>
    <w:pPr>
      <w:numPr>
        <w:numId w:val="8"/>
      </w:numPr>
      <w:spacing w:before="240" w:line="240" w:lineRule="exact"/>
      <w:jc w:val="both"/>
    </w:pPr>
    <w:rPr>
      <w:sz w:val="26"/>
    </w:rPr>
  </w:style>
  <w:style w:type="paragraph" w:customStyle="1" w:styleId="PleadingQuote">
    <w:name w:val="Pleading Quote"/>
    <w:basedOn w:val="Normal"/>
    <w:pPr>
      <w:widowControl/>
      <w:ind w:left="1440" w:right="1440"/>
      <w:jc w:val="both"/>
    </w:pPr>
  </w:style>
  <w:style w:type="paragraph" w:customStyle="1" w:styleId="PleadingBlockText">
    <w:name w:val="Pleading Block Text"/>
    <w:basedOn w:val="Normal"/>
    <w:pPr>
      <w:autoSpaceDE w:val="0"/>
      <w:autoSpaceDN w:val="0"/>
      <w:adjustRightInd w:val="0"/>
      <w:ind w:left="1440" w:right="1440"/>
      <w:jc w:val="both"/>
    </w:pPr>
    <w:rPr>
      <w:szCs w:val="24"/>
    </w:rPr>
  </w:style>
  <w:style w:type="paragraph" w:customStyle="1" w:styleId="PleadingParagraphs">
    <w:name w:val="Pleading Paragraphs"/>
    <w:basedOn w:val="Normal"/>
    <w:pPr>
      <w:autoSpaceDE w:val="0"/>
      <w:autoSpaceDN w:val="0"/>
      <w:adjustRightInd w:val="0"/>
      <w:spacing w:line="480" w:lineRule="exact"/>
      <w:ind w:firstLine="720"/>
      <w:jc w:val="both"/>
    </w:pPr>
    <w:rPr>
      <w:szCs w:val="24"/>
    </w:rPr>
  </w:style>
  <w:style w:type="paragraph" w:styleId="BalloonText">
    <w:name w:val="Balloon Text"/>
    <w:basedOn w:val="Normal"/>
    <w:semiHidden/>
    <w:rPr>
      <w:rFonts w:ascii="Tahoma" w:hAnsi="Tahoma" w:cs="Tahoma"/>
      <w:sz w:val="16"/>
      <w:szCs w:val="16"/>
    </w:rPr>
  </w:style>
  <w:style w:type="paragraph" w:customStyle="1" w:styleId="CourtTitle">
    <w:name w:val="~CourtTitle"/>
    <w:basedOn w:val="Normal"/>
    <w:pPr>
      <w:widowControl/>
      <w:spacing w:line="476" w:lineRule="exact"/>
      <w:jc w:val="center"/>
    </w:pPr>
    <w:rPr>
      <w:b/>
      <w:szCs w:val="24"/>
    </w:rPr>
  </w:style>
  <w:style w:type="paragraph" w:customStyle="1" w:styleId="PldSHName">
    <w:name w:val="°PldSHName"/>
    <w:pPr>
      <w:spacing w:after="40"/>
      <w:ind w:right="4176"/>
      <w:jc w:val="center"/>
    </w:pPr>
    <w:rPr>
      <w:rFonts w:ascii="Arial" w:hAnsi="Arial"/>
      <w:b/>
      <w:smallCaps/>
      <w:spacing w:val="20"/>
      <w:position w:val="-6"/>
      <w:sz w:val="14"/>
    </w:rPr>
  </w:style>
  <w:style w:type="paragraph" w:customStyle="1" w:styleId="PldSHLawOffice">
    <w:name w:val="PldSHLawOffice"/>
    <w:pPr>
      <w:ind w:right="4176"/>
      <w:jc w:val="center"/>
    </w:pPr>
    <w:rPr>
      <w:rFonts w:ascii="Arial" w:hAnsi="Arial"/>
      <w:b/>
      <w:smallCaps/>
      <w:spacing w:val="20"/>
      <w:position w:val="-6"/>
      <w:sz w:val="14"/>
    </w:rPr>
  </w:style>
  <w:style w:type="paragraph" w:customStyle="1" w:styleId="PldSHAddress">
    <w:name w:val="°PldSHAddress"/>
    <w:pPr>
      <w:spacing w:after="40"/>
      <w:ind w:right="4176"/>
      <w:contextualSpacing/>
      <w:jc w:val="center"/>
    </w:pPr>
    <w:rPr>
      <w:rFonts w:ascii="Arial" w:hAnsi="Arial"/>
      <w:caps/>
      <w:spacing w:val="20"/>
      <w:position w:val="-6"/>
      <w:sz w:val="10"/>
    </w:rPr>
  </w:style>
  <w:style w:type="paragraph" w:customStyle="1" w:styleId="PldSHPhone">
    <w:name w:val="PldSHPhone"/>
    <w:pPr>
      <w:spacing w:after="40"/>
      <w:ind w:right="4176"/>
      <w:contextualSpacing/>
      <w:jc w:val="center"/>
      <w:outlineLvl w:val="0"/>
    </w:pPr>
    <w:rPr>
      <w:rFonts w:ascii="Arial" w:hAnsi="Arial"/>
      <w:caps/>
      <w:spacing w:val="20"/>
      <w:position w:val="-6"/>
      <w:sz w:val="10"/>
    </w:rPr>
  </w:style>
  <w:style w:type="paragraph" w:customStyle="1" w:styleId="PldSHFirmBarNo">
    <w:name w:val="PldSHFirmBarNo"/>
    <w:pPr>
      <w:ind w:right="4320"/>
      <w:jc w:val="center"/>
      <w:outlineLvl w:val="0"/>
    </w:pPr>
    <w:rPr>
      <w:rFonts w:ascii="Arial" w:hAnsi="Arial"/>
      <w:caps/>
      <w:spacing w:val="20"/>
      <w:position w:val="-6"/>
      <w:sz w:val="10"/>
    </w:rPr>
  </w:style>
  <w:style w:type="paragraph" w:customStyle="1" w:styleId="PldSHAtty1">
    <w:name w:val="°PldSHAtty1"/>
    <w:pPr>
      <w:spacing w:line="240" w:lineRule="exact"/>
      <w:ind w:right="4320"/>
      <w:jc w:val="center"/>
    </w:pPr>
  </w:style>
  <w:style w:type="paragraph" w:customStyle="1" w:styleId="PldSHParties">
    <w:name w:val="°PldSHParties"/>
    <w:basedOn w:val="Normal"/>
    <w:pPr>
      <w:ind w:right="4320"/>
      <w:jc w:val="center"/>
      <w:outlineLvl w:val="0"/>
    </w:pPr>
    <w:rPr>
      <w:sz w:val="20"/>
    </w:rPr>
  </w:style>
  <w:style w:type="paragraph" w:customStyle="1" w:styleId="SigBlock">
    <w:name w:val="°SigBlock"/>
    <w:basedOn w:val="Normal"/>
    <w:pPr>
      <w:keepNext/>
      <w:ind w:left="3960"/>
    </w:pPr>
  </w:style>
  <w:style w:type="paragraph" w:customStyle="1" w:styleId="SigBlock2">
    <w:name w:val="°SigBlock2"/>
    <w:basedOn w:val="SigBlock"/>
    <w:pPr>
      <w:ind w:left="4248"/>
    </w:pPr>
  </w:style>
  <w:style w:type="paragraph" w:customStyle="1" w:styleId="SBody">
    <w:name w:val="~SBody"/>
    <w:basedOn w:val="Normal"/>
    <w:pPr>
      <w:jc w:val="both"/>
    </w:pPr>
  </w:style>
  <w:style w:type="paragraph" w:customStyle="1" w:styleId="DBodyFLIndent">
    <w:name w:val="~DBody FLIndent"/>
    <w:basedOn w:val="DBody"/>
    <w:pPr>
      <w:ind w:firstLine="720"/>
    </w:pPr>
  </w:style>
  <w:style w:type="paragraph" w:customStyle="1" w:styleId="Quote1">
    <w:name w:val="~Quote1"/>
    <w:basedOn w:val="SBody"/>
    <w:pPr>
      <w:spacing w:before="240"/>
      <w:ind w:left="720" w:right="720"/>
    </w:pPr>
  </w:style>
  <w:style w:type="paragraph" w:customStyle="1" w:styleId="Quote2">
    <w:name w:val="~Quote2"/>
    <w:basedOn w:val="Quote1"/>
    <w:pPr>
      <w:ind w:left="1440" w:right="1440"/>
    </w:pPr>
  </w:style>
  <w:style w:type="paragraph" w:customStyle="1" w:styleId="Title1B">
    <w:name w:val="~Title1 B"/>
    <w:basedOn w:val="SBody"/>
    <w:pPr>
      <w:jc w:val="center"/>
    </w:pPr>
    <w:rPr>
      <w:b/>
      <w:bCs/>
    </w:rPr>
  </w:style>
  <w:style w:type="paragraph" w:customStyle="1" w:styleId="Title2BU">
    <w:name w:val="~Title2 BU"/>
    <w:basedOn w:val="Title1B"/>
    <w:rPr>
      <w:u w:val="single"/>
    </w:rPr>
  </w:style>
  <w:style w:type="paragraph" w:customStyle="1" w:styleId="SHDateOpt">
    <w:name w:val="SHDateOpt"/>
    <w:basedOn w:val="DBodyFLIndent"/>
    <w:pPr>
      <w:keepNext/>
    </w:pPr>
  </w:style>
  <w:style w:type="paragraph" w:customStyle="1" w:styleId="pldCapt">
    <w:name w:val="pldCapt"/>
    <w:basedOn w:val="Normal"/>
    <w:pPr>
      <w:ind w:left="1440"/>
    </w:pPr>
  </w:style>
  <w:style w:type="paragraph" w:customStyle="1" w:styleId="pldTitle">
    <w:name w:val="pldTitle"/>
    <w:basedOn w:val="Normal"/>
    <w:pPr>
      <w:ind w:left="155"/>
    </w:pPr>
    <w:rPr>
      <w:b/>
      <w:caps/>
    </w:rPr>
  </w:style>
  <w:style w:type="paragraph" w:customStyle="1" w:styleId="StyleDBodyFLIndentLeft-013Firstline0">
    <w:name w:val="Style ~DBody FLIndent + Left:  -0.13&quot; First line:  0&quot;"/>
    <w:basedOn w:val="Normal"/>
    <w:pPr>
      <w:spacing w:line="480" w:lineRule="exact"/>
      <w:ind w:left="-187" w:firstLine="288"/>
      <w:jc w:val="both"/>
    </w:pPr>
  </w:style>
  <w:style w:type="paragraph" w:customStyle="1" w:styleId="DocID">
    <w:name w:val="DocID"/>
    <w:basedOn w:val="Normal"/>
    <w:next w:val="Footer"/>
    <w:rsid w:val="0012150A"/>
    <w:pPr>
      <w:spacing w:line="240" w:lineRule="auto"/>
    </w:pPr>
    <w:rPr>
      <w:color w:val="000000"/>
      <w:sz w:val="16"/>
    </w:rPr>
  </w:style>
  <w:style w:type="paragraph" w:styleId="BodyText">
    <w:name w:val="Body Text"/>
    <w:basedOn w:val="Normal"/>
    <w:link w:val="BodyTextChar"/>
    <w:rsid w:val="00743FAB"/>
    <w:pPr>
      <w:spacing w:after="120"/>
    </w:pPr>
  </w:style>
  <w:style w:type="character" w:customStyle="1" w:styleId="BodyTextChar">
    <w:name w:val="Body Text Char"/>
    <w:link w:val="BodyText"/>
    <w:rsid w:val="00743FAB"/>
    <w:rPr>
      <w:sz w:val="26"/>
    </w:rPr>
  </w:style>
  <w:style w:type="character" w:styleId="Hyperlink">
    <w:name w:val="Hyperlink"/>
    <w:basedOn w:val="DefaultParagraphFont"/>
    <w:uiPriority w:val="99"/>
    <w:rsid w:val="00AD735C"/>
    <w:rPr>
      <w:color w:val="0000FF" w:themeColor="hyperlink"/>
      <w:u w:val="single"/>
    </w:rPr>
  </w:style>
  <w:style w:type="paragraph" w:styleId="ListParagraph">
    <w:name w:val="List Paragraph"/>
    <w:basedOn w:val="Normal"/>
    <w:uiPriority w:val="34"/>
    <w:qFormat/>
    <w:rsid w:val="00CD7591"/>
    <w:pPr>
      <w:ind w:left="720"/>
      <w:contextualSpacing/>
    </w:pPr>
  </w:style>
  <w:style w:type="character" w:styleId="FollowedHyperlink">
    <w:name w:val="FollowedHyperlink"/>
    <w:basedOn w:val="DefaultParagraphFont"/>
    <w:rsid w:val="004B498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spacing w:line="240" w:lineRule="exact"/>
    </w:pPr>
    <w:rPr>
      <w:sz w:val="26"/>
    </w:rPr>
  </w:style>
  <w:style w:type="paragraph" w:styleId="Heading1">
    <w:name w:val="heading 1"/>
    <w:basedOn w:val="Normal"/>
    <w:next w:val="DBody"/>
    <w:qFormat/>
    <w:pPr>
      <w:numPr>
        <w:numId w:val="11"/>
      </w:numPr>
      <w:jc w:val="both"/>
      <w:outlineLvl w:val="0"/>
    </w:pPr>
    <w:rPr>
      <w:sz w:val="24"/>
    </w:rPr>
  </w:style>
  <w:style w:type="paragraph" w:styleId="Heading2">
    <w:name w:val="heading 2"/>
    <w:basedOn w:val="Normal"/>
    <w:next w:val="DBody"/>
    <w:qFormat/>
    <w:pPr>
      <w:widowControl/>
      <w:numPr>
        <w:ilvl w:val="1"/>
        <w:numId w:val="11"/>
      </w:numPr>
      <w:spacing w:line="480" w:lineRule="exact"/>
      <w:jc w:val="both"/>
      <w:outlineLvl w:val="1"/>
    </w:pPr>
  </w:style>
  <w:style w:type="paragraph" w:styleId="Heading3">
    <w:name w:val="heading 3"/>
    <w:basedOn w:val="Normal"/>
    <w:next w:val="DBody"/>
    <w:qFormat/>
    <w:pPr>
      <w:numPr>
        <w:ilvl w:val="2"/>
        <w:numId w:val="11"/>
      </w:numPr>
      <w:jc w:val="both"/>
      <w:outlineLvl w:val="2"/>
    </w:pPr>
    <w:rPr>
      <w:sz w:val="24"/>
    </w:rPr>
  </w:style>
  <w:style w:type="paragraph" w:styleId="Heading4">
    <w:name w:val="heading 4"/>
    <w:basedOn w:val="Normal"/>
    <w:next w:val="DBody"/>
    <w:qFormat/>
    <w:pPr>
      <w:numPr>
        <w:ilvl w:val="3"/>
        <w:numId w:val="11"/>
      </w:numPr>
      <w:tabs>
        <w:tab w:val="left" w:pos="2160"/>
      </w:tabs>
      <w:spacing w:line="480" w:lineRule="exact"/>
      <w:jc w:val="both"/>
      <w:outlineLvl w:val="3"/>
    </w:pPr>
  </w:style>
  <w:style w:type="paragraph" w:styleId="Heading5">
    <w:name w:val="heading 5"/>
    <w:basedOn w:val="Normal"/>
    <w:next w:val="DBody"/>
    <w:qFormat/>
    <w:pPr>
      <w:numPr>
        <w:ilvl w:val="4"/>
        <w:numId w:val="11"/>
      </w:numPr>
      <w:jc w:val="both"/>
      <w:outlineLvl w:val="4"/>
    </w:pPr>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LineNumbers">
    <w:name w:val="LineNumbers"/>
    <w:basedOn w:val="Normal"/>
    <w:pPr>
      <w:jc w:val="right"/>
    </w:pPr>
  </w:style>
  <w:style w:type="paragraph" w:customStyle="1" w:styleId="SingleSpacing">
    <w:name w:val="Single Spacing"/>
    <w:basedOn w:val="Normal"/>
  </w:style>
  <w:style w:type="paragraph" w:styleId="FootnoteText">
    <w:name w:val="footnote text"/>
    <w:basedOn w:val="Normal"/>
    <w:pPr>
      <w:jc w:val="both"/>
    </w:pPr>
  </w:style>
  <w:style w:type="paragraph" w:customStyle="1" w:styleId="DoubleSpacing">
    <w:name w:val="Double Spacing"/>
    <w:basedOn w:val="Normal"/>
    <w:pPr>
      <w:spacing w:line="480" w:lineRule="exact"/>
      <w:jc w:val="both"/>
    </w:pPr>
  </w:style>
  <w:style w:type="character" w:styleId="PageNumber">
    <w:name w:val="page number"/>
    <w:rPr>
      <w:rFonts w:ascii="Times New Roman" w:hAnsi="Times New Roman"/>
      <w:spacing w:val="0"/>
      <w:position w:val="0"/>
      <w:sz w:val="24"/>
    </w:rPr>
  </w:style>
  <w:style w:type="paragraph" w:customStyle="1" w:styleId="Address">
    <w:name w:val="Address"/>
    <w:basedOn w:val="SingleSpacing"/>
  </w:style>
  <w:style w:type="paragraph" w:customStyle="1" w:styleId="CourtName">
    <w:name w:val="CourtName"/>
    <w:basedOn w:val="Normal"/>
    <w:pPr>
      <w:jc w:val="center"/>
    </w:pPr>
  </w:style>
  <w:style w:type="paragraph" w:styleId="EnvelopeAddress">
    <w:name w:val="envelope address"/>
    <w:basedOn w:val="Normal"/>
    <w:pPr>
      <w:framePr w:w="7920" w:h="1980" w:hRule="exact" w:hSpace="180" w:wrap="auto" w:hAnchor="page" w:xAlign="center" w:yAlign="bottom"/>
      <w:ind w:left="2880"/>
    </w:pPr>
  </w:style>
  <w:style w:type="paragraph" w:customStyle="1" w:styleId="Pleading">
    <w:name w:val="Pleading"/>
    <w:basedOn w:val="Normal"/>
  </w:style>
  <w:style w:type="paragraph" w:customStyle="1" w:styleId="Pleadingdouble">
    <w:name w:val="Pleading_double"/>
    <w:basedOn w:val="Pleading"/>
    <w:pPr>
      <w:spacing w:line="480" w:lineRule="exact"/>
      <w:ind w:firstLine="720"/>
      <w:jc w:val="both"/>
    </w:pPr>
  </w:style>
  <w:style w:type="paragraph" w:customStyle="1" w:styleId="DBody">
    <w:name w:val="~DBody"/>
    <w:basedOn w:val="Normal"/>
    <w:pPr>
      <w:spacing w:line="480" w:lineRule="exact"/>
      <w:jc w:val="both"/>
    </w:pPr>
  </w:style>
  <w:style w:type="paragraph" w:styleId="Title">
    <w:name w:val="Title"/>
    <w:basedOn w:val="Normal"/>
    <w:qFormat/>
    <w:pPr>
      <w:spacing w:before="240" w:after="60"/>
      <w:jc w:val="center"/>
    </w:pPr>
    <w:rPr>
      <w:rFonts w:ascii="Arial" w:hAnsi="Arial"/>
      <w:b/>
      <w:kern w:val="28"/>
      <w:sz w:val="32"/>
    </w:rPr>
  </w:style>
  <w:style w:type="character" w:styleId="FootnoteReference">
    <w:name w:val="footnote reference"/>
    <w:rPr>
      <w:vertAlign w:val="superscript"/>
    </w:rPr>
  </w:style>
  <w:style w:type="paragraph" w:styleId="DocumentMap">
    <w:name w:val="Document Map"/>
    <w:basedOn w:val="Normal"/>
    <w:semiHidden/>
    <w:pPr>
      <w:shd w:val="clear" w:color="auto" w:fill="000080"/>
    </w:pPr>
    <w:rPr>
      <w:rFonts w:ascii="Tahoma" w:hAnsi="Tahoma"/>
    </w:rPr>
  </w:style>
  <w:style w:type="paragraph" w:customStyle="1" w:styleId="Litigation1">
    <w:name w:val="Litigation 1"/>
    <w:pPr>
      <w:numPr>
        <w:numId w:val="5"/>
      </w:numPr>
      <w:tabs>
        <w:tab w:val="clear" w:pos="1080"/>
        <w:tab w:val="left" w:pos="720"/>
      </w:tabs>
      <w:spacing w:line="480" w:lineRule="exact"/>
      <w:jc w:val="both"/>
    </w:pPr>
    <w:rPr>
      <w:sz w:val="26"/>
    </w:rPr>
  </w:style>
  <w:style w:type="paragraph" w:customStyle="1" w:styleId="Litigation2">
    <w:name w:val="Litigation 2"/>
    <w:pPr>
      <w:numPr>
        <w:numId w:val="6"/>
      </w:numPr>
      <w:spacing w:line="480" w:lineRule="exact"/>
      <w:jc w:val="both"/>
    </w:pPr>
    <w:rPr>
      <w:sz w:val="26"/>
    </w:rPr>
  </w:style>
  <w:style w:type="paragraph" w:customStyle="1" w:styleId="Litigation3">
    <w:name w:val="Litigation 3"/>
    <w:pPr>
      <w:numPr>
        <w:numId w:val="7"/>
      </w:numPr>
      <w:spacing w:before="240" w:line="240" w:lineRule="exact"/>
      <w:jc w:val="both"/>
    </w:pPr>
    <w:rPr>
      <w:sz w:val="26"/>
    </w:rPr>
  </w:style>
  <w:style w:type="paragraph" w:customStyle="1" w:styleId="Litigation4">
    <w:name w:val="Litigation 4"/>
    <w:pPr>
      <w:numPr>
        <w:numId w:val="8"/>
      </w:numPr>
      <w:spacing w:before="240" w:line="240" w:lineRule="exact"/>
      <w:jc w:val="both"/>
    </w:pPr>
    <w:rPr>
      <w:sz w:val="26"/>
    </w:rPr>
  </w:style>
  <w:style w:type="paragraph" w:customStyle="1" w:styleId="PleadingQuote">
    <w:name w:val="Pleading Quote"/>
    <w:basedOn w:val="Normal"/>
    <w:pPr>
      <w:widowControl/>
      <w:ind w:left="1440" w:right="1440"/>
      <w:jc w:val="both"/>
    </w:pPr>
  </w:style>
  <w:style w:type="paragraph" w:customStyle="1" w:styleId="PleadingBlockText">
    <w:name w:val="Pleading Block Text"/>
    <w:basedOn w:val="Normal"/>
    <w:pPr>
      <w:autoSpaceDE w:val="0"/>
      <w:autoSpaceDN w:val="0"/>
      <w:adjustRightInd w:val="0"/>
      <w:ind w:left="1440" w:right="1440"/>
      <w:jc w:val="both"/>
    </w:pPr>
    <w:rPr>
      <w:szCs w:val="24"/>
    </w:rPr>
  </w:style>
  <w:style w:type="paragraph" w:customStyle="1" w:styleId="PleadingParagraphs">
    <w:name w:val="Pleading Paragraphs"/>
    <w:basedOn w:val="Normal"/>
    <w:pPr>
      <w:autoSpaceDE w:val="0"/>
      <w:autoSpaceDN w:val="0"/>
      <w:adjustRightInd w:val="0"/>
      <w:spacing w:line="480" w:lineRule="exact"/>
      <w:ind w:firstLine="720"/>
      <w:jc w:val="both"/>
    </w:pPr>
    <w:rPr>
      <w:szCs w:val="24"/>
    </w:rPr>
  </w:style>
  <w:style w:type="paragraph" w:styleId="BalloonText">
    <w:name w:val="Balloon Text"/>
    <w:basedOn w:val="Normal"/>
    <w:semiHidden/>
    <w:rPr>
      <w:rFonts w:ascii="Tahoma" w:hAnsi="Tahoma" w:cs="Tahoma"/>
      <w:sz w:val="16"/>
      <w:szCs w:val="16"/>
    </w:rPr>
  </w:style>
  <w:style w:type="paragraph" w:customStyle="1" w:styleId="CourtTitle">
    <w:name w:val="~CourtTitle"/>
    <w:basedOn w:val="Normal"/>
    <w:pPr>
      <w:widowControl/>
      <w:spacing w:line="476" w:lineRule="exact"/>
      <w:jc w:val="center"/>
    </w:pPr>
    <w:rPr>
      <w:b/>
      <w:szCs w:val="24"/>
    </w:rPr>
  </w:style>
  <w:style w:type="paragraph" w:customStyle="1" w:styleId="PldSHName">
    <w:name w:val="°PldSHName"/>
    <w:pPr>
      <w:spacing w:after="40"/>
      <w:ind w:right="4176"/>
      <w:jc w:val="center"/>
    </w:pPr>
    <w:rPr>
      <w:rFonts w:ascii="Arial" w:hAnsi="Arial"/>
      <w:b/>
      <w:smallCaps/>
      <w:spacing w:val="20"/>
      <w:position w:val="-6"/>
      <w:sz w:val="14"/>
    </w:rPr>
  </w:style>
  <w:style w:type="paragraph" w:customStyle="1" w:styleId="PldSHLawOffice">
    <w:name w:val="PldSHLawOffice"/>
    <w:pPr>
      <w:ind w:right="4176"/>
      <w:jc w:val="center"/>
    </w:pPr>
    <w:rPr>
      <w:rFonts w:ascii="Arial" w:hAnsi="Arial"/>
      <w:b/>
      <w:smallCaps/>
      <w:spacing w:val="20"/>
      <w:position w:val="-6"/>
      <w:sz w:val="14"/>
    </w:rPr>
  </w:style>
  <w:style w:type="paragraph" w:customStyle="1" w:styleId="PldSHAddress">
    <w:name w:val="°PldSHAddress"/>
    <w:pPr>
      <w:spacing w:after="40"/>
      <w:ind w:right="4176"/>
      <w:contextualSpacing/>
      <w:jc w:val="center"/>
    </w:pPr>
    <w:rPr>
      <w:rFonts w:ascii="Arial" w:hAnsi="Arial"/>
      <w:caps/>
      <w:spacing w:val="20"/>
      <w:position w:val="-6"/>
      <w:sz w:val="10"/>
    </w:rPr>
  </w:style>
  <w:style w:type="paragraph" w:customStyle="1" w:styleId="PldSHPhone">
    <w:name w:val="PldSHPhone"/>
    <w:pPr>
      <w:spacing w:after="40"/>
      <w:ind w:right="4176"/>
      <w:contextualSpacing/>
      <w:jc w:val="center"/>
      <w:outlineLvl w:val="0"/>
    </w:pPr>
    <w:rPr>
      <w:rFonts w:ascii="Arial" w:hAnsi="Arial"/>
      <w:caps/>
      <w:spacing w:val="20"/>
      <w:position w:val="-6"/>
      <w:sz w:val="10"/>
    </w:rPr>
  </w:style>
  <w:style w:type="paragraph" w:customStyle="1" w:styleId="PldSHFirmBarNo">
    <w:name w:val="PldSHFirmBarNo"/>
    <w:pPr>
      <w:ind w:right="4320"/>
      <w:jc w:val="center"/>
      <w:outlineLvl w:val="0"/>
    </w:pPr>
    <w:rPr>
      <w:rFonts w:ascii="Arial" w:hAnsi="Arial"/>
      <w:caps/>
      <w:spacing w:val="20"/>
      <w:position w:val="-6"/>
      <w:sz w:val="10"/>
    </w:rPr>
  </w:style>
  <w:style w:type="paragraph" w:customStyle="1" w:styleId="PldSHAtty1">
    <w:name w:val="°PldSHAtty1"/>
    <w:pPr>
      <w:spacing w:line="240" w:lineRule="exact"/>
      <w:ind w:right="4320"/>
      <w:jc w:val="center"/>
    </w:pPr>
  </w:style>
  <w:style w:type="paragraph" w:customStyle="1" w:styleId="PldSHParties">
    <w:name w:val="°PldSHParties"/>
    <w:basedOn w:val="Normal"/>
    <w:pPr>
      <w:ind w:right="4320"/>
      <w:jc w:val="center"/>
      <w:outlineLvl w:val="0"/>
    </w:pPr>
    <w:rPr>
      <w:sz w:val="20"/>
    </w:rPr>
  </w:style>
  <w:style w:type="paragraph" w:customStyle="1" w:styleId="SigBlock">
    <w:name w:val="°SigBlock"/>
    <w:basedOn w:val="Normal"/>
    <w:pPr>
      <w:keepNext/>
      <w:ind w:left="3960"/>
    </w:pPr>
  </w:style>
  <w:style w:type="paragraph" w:customStyle="1" w:styleId="SigBlock2">
    <w:name w:val="°SigBlock2"/>
    <w:basedOn w:val="SigBlock"/>
    <w:pPr>
      <w:ind w:left="4248"/>
    </w:pPr>
  </w:style>
  <w:style w:type="paragraph" w:customStyle="1" w:styleId="SBody">
    <w:name w:val="~SBody"/>
    <w:basedOn w:val="Normal"/>
    <w:pPr>
      <w:jc w:val="both"/>
    </w:pPr>
  </w:style>
  <w:style w:type="paragraph" w:customStyle="1" w:styleId="DBodyFLIndent">
    <w:name w:val="~DBody FLIndent"/>
    <w:basedOn w:val="DBody"/>
    <w:pPr>
      <w:ind w:firstLine="720"/>
    </w:pPr>
  </w:style>
  <w:style w:type="paragraph" w:customStyle="1" w:styleId="Quote1">
    <w:name w:val="~Quote1"/>
    <w:basedOn w:val="SBody"/>
    <w:pPr>
      <w:spacing w:before="240"/>
      <w:ind w:left="720" w:right="720"/>
    </w:pPr>
  </w:style>
  <w:style w:type="paragraph" w:customStyle="1" w:styleId="Quote2">
    <w:name w:val="~Quote2"/>
    <w:basedOn w:val="Quote1"/>
    <w:pPr>
      <w:ind w:left="1440" w:right="1440"/>
    </w:pPr>
  </w:style>
  <w:style w:type="paragraph" w:customStyle="1" w:styleId="Title1B">
    <w:name w:val="~Title1 B"/>
    <w:basedOn w:val="SBody"/>
    <w:pPr>
      <w:jc w:val="center"/>
    </w:pPr>
    <w:rPr>
      <w:b/>
      <w:bCs/>
    </w:rPr>
  </w:style>
  <w:style w:type="paragraph" w:customStyle="1" w:styleId="Title2BU">
    <w:name w:val="~Title2 BU"/>
    <w:basedOn w:val="Title1B"/>
    <w:rPr>
      <w:u w:val="single"/>
    </w:rPr>
  </w:style>
  <w:style w:type="paragraph" w:customStyle="1" w:styleId="SHDateOpt">
    <w:name w:val="SHDateOpt"/>
    <w:basedOn w:val="DBodyFLIndent"/>
    <w:pPr>
      <w:keepNext/>
    </w:pPr>
  </w:style>
  <w:style w:type="paragraph" w:customStyle="1" w:styleId="pldCapt">
    <w:name w:val="pldCapt"/>
    <w:basedOn w:val="Normal"/>
    <w:pPr>
      <w:ind w:left="1440"/>
    </w:pPr>
  </w:style>
  <w:style w:type="paragraph" w:customStyle="1" w:styleId="pldTitle">
    <w:name w:val="pldTitle"/>
    <w:basedOn w:val="Normal"/>
    <w:pPr>
      <w:ind w:left="155"/>
    </w:pPr>
    <w:rPr>
      <w:b/>
      <w:caps/>
    </w:rPr>
  </w:style>
  <w:style w:type="paragraph" w:customStyle="1" w:styleId="StyleDBodyFLIndentLeft-013Firstline0">
    <w:name w:val="Style ~DBody FLIndent + Left:  -0.13&quot; First line:  0&quot;"/>
    <w:basedOn w:val="Normal"/>
    <w:pPr>
      <w:spacing w:line="480" w:lineRule="exact"/>
      <w:ind w:left="-187" w:firstLine="288"/>
      <w:jc w:val="both"/>
    </w:pPr>
  </w:style>
  <w:style w:type="paragraph" w:customStyle="1" w:styleId="DocID">
    <w:name w:val="DocID"/>
    <w:basedOn w:val="Normal"/>
    <w:next w:val="Footer"/>
    <w:rsid w:val="0012150A"/>
    <w:pPr>
      <w:spacing w:line="240" w:lineRule="auto"/>
    </w:pPr>
    <w:rPr>
      <w:color w:val="000000"/>
      <w:sz w:val="16"/>
    </w:rPr>
  </w:style>
  <w:style w:type="paragraph" w:styleId="BodyText">
    <w:name w:val="Body Text"/>
    <w:basedOn w:val="Normal"/>
    <w:link w:val="BodyTextChar"/>
    <w:rsid w:val="00743FAB"/>
    <w:pPr>
      <w:spacing w:after="120"/>
    </w:pPr>
  </w:style>
  <w:style w:type="character" w:customStyle="1" w:styleId="BodyTextChar">
    <w:name w:val="Body Text Char"/>
    <w:link w:val="BodyText"/>
    <w:rsid w:val="00743FAB"/>
    <w:rPr>
      <w:sz w:val="26"/>
    </w:rPr>
  </w:style>
  <w:style w:type="character" w:styleId="Hyperlink">
    <w:name w:val="Hyperlink"/>
    <w:basedOn w:val="DefaultParagraphFont"/>
    <w:uiPriority w:val="99"/>
    <w:rsid w:val="00AD735C"/>
    <w:rPr>
      <w:color w:val="0000FF" w:themeColor="hyperlink"/>
      <w:u w:val="single"/>
    </w:rPr>
  </w:style>
  <w:style w:type="paragraph" w:styleId="ListParagraph">
    <w:name w:val="List Paragraph"/>
    <w:basedOn w:val="Normal"/>
    <w:uiPriority w:val="34"/>
    <w:qFormat/>
    <w:rsid w:val="00CD7591"/>
    <w:pPr>
      <w:ind w:left="720"/>
      <w:contextualSpacing/>
    </w:pPr>
  </w:style>
  <w:style w:type="character" w:styleId="FollowedHyperlink">
    <w:name w:val="FollowedHyperlink"/>
    <w:basedOn w:val="DefaultParagraphFont"/>
    <w:rsid w:val="004B49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179493">
      <w:bodyDiv w:val="1"/>
      <w:marLeft w:val="0"/>
      <w:marRight w:val="0"/>
      <w:marTop w:val="0"/>
      <w:marBottom w:val="0"/>
      <w:divBdr>
        <w:top w:val="none" w:sz="0" w:space="0" w:color="auto"/>
        <w:left w:val="none" w:sz="0" w:space="0" w:color="auto"/>
        <w:bottom w:val="none" w:sz="0" w:space="0" w:color="auto"/>
        <w:right w:val="none" w:sz="0" w:space="0" w:color="auto"/>
      </w:divBdr>
    </w:div>
    <w:div w:id="271788082">
      <w:bodyDiv w:val="1"/>
      <w:marLeft w:val="0"/>
      <w:marRight w:val="0"/>
      <w:marTop w:val="0"/>
      <w:marBottom w:val="0"/>
      <w:divBdr>
        <w:top w:val="none" w:sz="0" w:space="0" w:color="auto"/>
        <w:left w:val="none" w:sz="0" w:space="0" w:color="auto"/>
        <w:bottom w:val="none" w:sz="0" w:space="0" w:color="auto"/>
        <w:right w:val="none" w:sz="0" w:space="0" w:color="auto"/>
      </w:divBdr>
      <w:divsChild>
        <w:div w:id="1997880418">
          <w:marLeft w:val="0"/>
          <w:marRight w:val="0"/>
          <w:marTop w:val="0"/>
          <w:marBottom w:val="0"/>
          <w:divBdr>
            <w:top w:val="none" w:sz="0" w:space="0" w:color="auto"/>
            <w:left w:val="single" w:sz="6" w:space="0" w:color="BBBBBB"/>
            <w:bottom w:val="single" w:sz="6" w:space="0" w:color="BBBBBB"/>
            <w:right w:val="single" w:sz="6" w:space="0" w:color="BBBBBB"/>
          </w:divBdr>
          <w:divsChild>
            <w:div w:id="1861697727">
              <w:marLeft w:val="0"/>
              <w:marRight w:val="0"/>
              <w:marTop w:val="0"/>
              <w:marBottom w:val="0"/>
              <w:divBdr>
                <w:top w:val="none" w:sz="0" w:space="0" w:color="auto"/>
                <w:left w:val="none" w:sz="0" w:space="0" w:color="auto"/>
                <w:bottom w:val="none" w:sz="0" w:space="0" w:color="auto"/>
                <w:right w:val="none" w:sz="0" w:space="0" w:color="auto"/>
              </w:divBdr>
              <w:divsChild>
                <w:div w:id="717822650">
                  <w:marLeft w:val="0"/>
                  <w:marRight w:val="0"/>
                  <w:marTop w:val="0"/>
                  <w:marBottom w:val="0"/>
                  <w:divBdr>
                    <w:top w:val="none" w:sz="0" w:space="0" w:color="auto"/>
                    <w:left w:val="none" w:sz="0" w:space="0" w:color="auto"/>
                    <w:bottom w:val="none" w:sz="0" w:space="0" w:color="auto"/>
                    <w:right w:val="none" w:sz="0" w:space="0" w:color="auto"/>
                  </w:divBdr>
                  <w:divsChild>
                    <w:div w:id="264387526">
                      <w:marLeft w:val="0"/>
                      <w:marRight w:val="0"/>
                      <w:marTop w:val="0"/>
                      <w:marBottom w:val="0"/>
                      <w:divBdr>
                        <w:top w:val="none" w:sz="0" w:space="0" w:color="auto"/>
                        <w:left w:val="none" w:sz="0" w:space="0" w:color="auto"/>
                        <w:bottom w:val="none" w:sz="0" w:space="0" w:color="auto"/>
                        <w:right w:val="none" w:sz="0" w:space="0" w:color="auto"/>
                      </w:divBdr>
                      <w:divsChild>
                        <w:div w:id="860514635">
                          <w:marLeft w:val="0"/>
                          <w:marRight w:val="0"/>
                          <w:marTop w:val="0"/>
                          <w:marBottom w:val="0"/>
                          <w:divBdr>
                            <w:top w:val="none" w:sz="0" w:space="0" w:color="auto"/>
                            <w:left w:val="none" w:sz="0" w:space="0" w:color="auto"/>
                            <w:bottom w:val="none" w:sz="0" w:space="0" w:color="auto"/>
                            <w:right w:val="none" w:sz="0" w:space="0" w:color="auto"/>
                          </w:divBdr>
                          <w:divsChild>
                            <w:div w:id="1535267013">
                              <w:marLeft w:val="0"/>
                              <w:marRight w:val="0"/>
                              <w:marTop w:val="0"/>
                              <w:marBottom w:val="0"/>
                              <w:divBdr>
                                <w:top w:val="none" w:sz="0" w:space="0" w:color="auto"/>
                                <w:left w:val="none" w:sz="0" w:space="0" w:color="auto"/>
                                <w:bottom w:val="none" w:sz="0" w:space="0" w:color="auto"/>
                                <w:right w:val="none" w:sz="0" w:space="0" w:color="auto"/>
                              </w:divBdr>
                              <w:divsChild>
                                <w:div w:id="804350172">
                                  <w:marLeft w:val="0"/>
                                  <w:marRight w:val="0"/>
                                  <w:marTop w:val="0"/>
                                  <w:marBottom w:val="0"/>
                                  <w:divBdr>
                                    <w:top w:val="none" w:sz="0" w:space="0" w:color="auto"/>
                                    <w:left w:val="none" w:sz="0" w:space="0" w:color="auto"/>
                                    <w:bottom w:val="none" w:sz="0" w:space="0" w:color="auto"/>
                                    <w:right w:val="none" w:sz="0" w:space="0" w:color="auto"/>
                                  </w:divBdr>
                                  <w:divsChild>
                                    <w:div w:id="1552300537">
                                      <w:marLeft w:val="0"/>
                                      <w:marRight w:val="0"/>
                                      <w:marTop w:val="0"/>
                                      <w:marBottom w:val="0"/>
                                      <w:divBdr>
                                        <w:top w:val="none" w:sz="0" w:space="0" w:color="auto"/>
                                        <w:left w:val="none" w:sz="0" w:space="0" w:color="auto"/>
                                        <w:bottom w:val="none" w:sz="0" w:space="0" w:color="auto"/>
                                        <w:right w:val="none" w:sz="0" w:space="0" w:color="auto"/>
                                      </w:divBdr>
                                      <w:divsChild>
                                        <w:div w:id="1069109776">
                                          <w:marLeft w:val="1200"/>
                                          <w:marRight w:val="1200"/>
                                          <w:marTop w:val="0"/>
                                          <w:marBottom w:val="0"/>
                                          <w:divBdr>
                                            <w:top w:val="none" w:sz="0" w:space="0" w:color="auto"/>
                                            <w:left w:val="none" w:sz="0" w:space="0" w:color="auto"/>
                                            <w:bottom w:val="none" w:sz="0" w:space="0" w:color="auto"/>
                                            <w:right w:val="none" w:sz="0" w:space="0" w:color="auto"/>
                                          </w:divBdr>
                                          <w:divsChild>
                                            <w:div w:id="1380132581">
                                              <w:marLeft w:val="0"/>
                                              <w:marRight w:val="0"/>
                                              <w:marTop w:val="0"/>
                                              <w:marBottom w:val="0"/>
                                              <w:divBdr>
                                                <w:top w:val="none" w:sz="0" w:space="0" w:color="auto"/>
                                                <w:left w:val="none" w:sz="0" w:space="0" w:color="auto"/>
                                                <w:bottom w:val="none" w:sz="0" w:space="0" w:color="auto"/>
                                                <w:right w:val="none" w:sz="0" w:space="0" w:color="auto"/>
                                              </w:divBdr>
                                              <w:divsChild>
                                                <w:div w:id="420220517">
                                                  <w:marLeft w:val="0"/>
                                                  <w:marRight w:val="0"/>
                                                  <w:marTop w:val="0"/>
                                                  <w:marBottom w:val="0"/>
                                                  <w:divBdr>
                                                    <w:top w:val="none" w:sz="0" w:space="0" w:color="auto"/>
                                                    <w:left w:val="none" w:sz="0" w:space="0" w:color="auto"/>
                                                    <w:bottom w:val="none" w:sz="0" w:space="0" w:color="auto"/>
                                                    <w:right w:val="none" w:sz="0" w:space="0" w:color="auto"/>
                                                  </w:divBdr>
                                                  <w:divsChild>
                                                    <w:div w:id="376904293">
                                                      <w:marLeft w:val="0"/>
                                                      <w:marRight w:val="0"/>
                                                      <w:marTop w:val="0"/>
                                                      <w:marBottom w:val="0"/>
                                                      <w:divBdr>
                                                        <w:top w:val="none" w:sz="0" w:space="0" w:color="auto"/>
                                                        <w:left w:val="none" w:sz="0" w:space="0" w:color="auto"/>
                                                        <w:bottom w:val="none" w:sz="0" w:space="0" w:color="auto"/>
                                                        <w:right w:val="none" w:sz="0" w:space="0" w:color="auto"/>
                                                      </w:divBdr>
                                                      <w:divsChild>
                                                        <w:div w:id="278145151">
                                                          <w:marLeft w:val="0"/>
                                                          <w:marRight w:val="0"/>
                                                          <w:marTop w:val="0"/>
                                                          <w:marBottom w:val="0"/>
                                                          <w:divBdr>
                                                            <w:top w:val="none" w:sz="0" w:space="0" w:color="auto"/>
                                                            <w:left w:val="none" w:sz="0" w:space="0" w:color="auto"/>
                                                            <w:bottom w:val="none" w:sz="0" w:space="0" w:color="auto"/>
                                                            <w:right w:val="none" w:sz="0" w:space="0" w:color="auto"/>
                                                          </w:divBdr>
                                                          <w:divsChild>
                                                            <w:div w:id="1940749769">
                                                              <w:marLeft w:val="0"/>
                                                              <w:marRight w:val="0"/>
                                                              <w:marTop w:val="0"/>
                                                              <w:marBottom w:val="0"/>
                                                              <w:divBdr>
                                                                <w:top w:val="none" w:sz="0" w:space="0" w:color="auto"/>
                                                                <w:left w:val="none" w:sz="0" w:space="0" w:color="auto"/>
                                                                <w:bottom w:val="none" w:sz="0" w:space="0" w:color="auto"/>
                                                                <w:right w:val="none" w:sz="0" w:space="0" w:color="auto"/>
                                                              </w:divBdr>
                                                              <w:divsChild>
                                                                <w:div w:id="573323648">
                                                                  <w:marLeft w:val="0"/>
                                                                  <w:marRight w:val="0"/>
                                                                  <w:marTop w:val="0"/>
                                                                  <w:marBottom w:val="0"/>
                                                                  <w:divBdr>
                                                                    <w:top w:val="none" w:sz="0" w:space="0" w:color="auto"/>
                                                                    <w:left w:val="none" w:sz="0" w:space="0" w:color="auto"/>
                                                                    <w:bottom w:val="none" w:sz="0" w:space="0" w:color="auto"/>
                                                                    <w:right w:val="none" w:sz="0" w:space="0" w:color="auto"/>
                                                                  </w:divBdr>
                                                                </w:div>
                                                              </w:divsChild>
                                                            </w:div>
                                                            <w:div w:id="1656034806">
                                                              <w:marLeft w:val="0"/>
                                                              <w:marRight w:val="0"/>
                                                              <w:marTop w:val="0"/>
                                                              <w:marBottom w:val="0"/>
                                                              <w:divBdr>
                                                                <w:top w:val="none" w:sz="0" w:space="0" w:color="auto"/>
                                                                <w:left w:val="none" w:sz="0" w:space="0" w:color="auto"/>
                                                                <w:bottom w:val="none" w:sz="0" w:space="0" w:color="auto"/>
                                                                <w:right w:val="none" w:sz="0" w:space="0" w:color="auto"/>
                                                              </w:divBdr>
                                                              <w:divsChild>
                                                                <w:div w:id="1075475480">
                                                                  <w:marLeft w:val="0"/>
                                                                  <w:marRight w:val="0"/>
                                                                  <w:marTop w:val="0"/>
                                                                  <w:marBottom w:val="0"/>
                                                                  <w:divBdr>
                                                                    <w:top w:val="none" w:sz="0" w:space="0" w:color="auto"/>
                                                                    <w:left w:val="none" w:sz="0" w:space="0" w:color="auto"/>
                                                                    <w:bottom w:val="none" w:sz="0" w:space="0" w:color="auto"/>
                                                                    <w:right w:val="none" w:sz="0" w:space="0" w:color="auto"/>
                                                                  </w:divBdr>
                                                                  <w:divsChild>
                                                                    <w:div w:id="118320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55715833">
      <w:bodyDiv w:val="1"/>
      <w:marLeft w:val="0"/>
      <w:marRight w:val="0"/>
      <w:marTop w:val="0"/>
      <w:marBottom w:val="0"/>
      <w:divBdr>
        <w:top w:val="none" w:sz="0" w:space="0" w:color="auto"/>
        <w:left w:val="none" w:sz="0" w:space="0" w:color="auto"/>
        <w:bottom w:val="none" w:sz="0" w:space="0" w:color="auto"/>
        <w:right w:val="none" w:sz="0" w:space="0" w:color="auto"/>
      </w:divBdr>
      <w:divsChild>
        <w:div w:id="608312958">
          <w:marLeft w:val="0"/>
          <w:marRight w:val="0"/>
          <w:marTop w:val="0"/>
          <w:marBottom w:val="0"/>
          <w:divBdr>
            <w:top w:val="none" w:sz="0" w:space="0" w:color="auto"/>
            <w:left w:val="none" w:sz="0" w:space="0" w:color="auto"/>
            <w:bottom w:val="none" w:sz="0" w:space="0" w:color="auto"/>
            <w:right w:val="none" w:sz="0" w:space="0" w:color="auto"/>
          </w:divBdr>
          <w:divsChild>
            <w:div w:id="18444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634101">
      <w:bodyDiv w:val="1"/>
      <w:marLeft w:val="60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www.in2013dollars.com/1902-dollars-in-2016?amount=5" TargetMode="External"/><Relationship Id="rId2" Type="http://schemas.openxmlformats.org/officeDocument/2006/relationships/hyperlink" Target="http://www.azbar.org/aboutus/history" TargetMode="External"/><Relationship Id="rId1" Type="http://schemas.openxmlformats.org/officeDocument/2006/relationships/hyperlink" Target="http://www.economist.com/node/14116121" TargetMode="External"/><Relationship Id="rId4" Type="http://schemas.openxmlformats.org/officeDocument/2006/relationships/hyperlink" Target="http://www.azbar.org/media/922524/bylaws_sba__final_approved_oct2013_-_keller_sec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4018D-4954-4D6B-B5AF-400CE5EE7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2684</Words>
  <Characters>13860</Characters>
  <Application>Microsoft Office Word</Application>
  <DocSecurity>0</DocSecurity>
  <Lines>115</Lines>
  <Paragraphs>33</Paragraphs>
  <ScaleCrop>false</ScaleCrop>
  <HeadingPairs>
    <vt:vector size="2" baseType="variant">
      <vt:variant>
        <vt:lpstr>Title</vt:lpstr>
      </vt:variant>
      <vt:variant>
        <vt:i4>1</vt:i4>
      </vt:variant>
    </vt:vector>
  </HeadingPairs>
  <TitlesOfParts>
    <vt:vector size="1" baseType="lpstr">
      <vt:lpstr/>
    </vt:vector>
  </TitlesOfParts>
  <Company>Sherman &amp; Howard L.L.C.</Company>
  <LinksUpToDate>false</LinksUpToDate>
  <CharactersWithSpaces>16511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Hanson, Diana</dc:creator>
  <cp:lastModifiedBy>.</cp:lastModifiedBy>
  <cp:revision>2</cp:revision>
  <cp:lastPrinted>2017-06-20T21:33:00Z</cp:lastPrinted>
  <dcterms:created xsi:type="dcterms:W3CDTF">2017-06-21T17:51:00Z</dcterms:created>
  <dcterms:modified xsi:type="dcterms:W3CDTF">2017-06-21T17:51:00Z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Active/45670308.1</vt:lpwstr>
  </property>
  <property fmtid="{D5CDD505-2E9C-101B-9397-08002B2CF9AE}" pid="3" name="DocIDContent">
    <vt:lpwstr>0|/|1|.|2|</vt:lpwstr>
  </property>
  <property fmtid="{D5CDD505-2E9C-101B-9397-08002B2CF9AE}" pid="4" name="WS_TRACKING_ID">
    <vt:lpwstr>e950d524-01f9-4222-b846-2f2c7809db8f</vt:lpwstr>
  </property>
</Properties>
</file>