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D92F7A" w14:paraId="4799EC79" w14:textId="77777777" w:rsidTr="006F63FD">
        <w:trPr>
          <w:cantSplit/>
          <w:trHeight w:val="1987"/>
        </w:trPr>
        <w:tc>
          <w:tcPr>
            <w:tcW w:w="4836" w:type="dxa"/>
          </w:tcPr>
          <w:p w14:paraId="5D7F3D4E" w14:textId="77777777" w:rsidR="00000C35" w:rsidRPr="00D92F7A" w:rsidRDefault="00F850BE" w:rsidP="00000C35">
            <w:pPr>
              <w:pStyle w:val="FirmInformation"/>
              <w:spacing w:line="240" w:lineRule="auto"/>
              <w:rPr>
                <w:sz w:val="28"/>
                <w:szCs w:val="28"/>
              </w:rPr>
            </w:pPr>
            <w:bookmarkStart w:id="0" w:name="_zzmpFIXED_CounselTable"/>
            <w:r w:rsidRPr="00D92F7A">
              <w:rPr>
                <w:sz w:val="28"/>
                <w:szCs w:val="28"/>
              </w:rPr>
              <w:t>Lisa M. Panahi</w:t>
            </w:r>
            <w:r w:rsidR="00732169" w:rsidRPr="00D92F7A">
              <w:rPr>
                <w:sz w:val="28"/>
                <w:szCs w:val="28"/>
              </w:rPr>
              <w:t xml:space="preserve">, </w:t>
            </w:r>
            <w:r w:rsidRPr="00D92F7A">
              <w:rPr>
                <w:sz w:val="28"/>
                <w:szCs w:val="28"/>
              </w:rPr>
              <w:t>Bar No. 023421</w:t>
            </w:r>
            <w:r w:rsidR="00732169" w:rsidRPr="00D92F7A">
              <w:rPr>
                <w:sz w:val="28"/>
                <w:szCs w:val="28"/>
              </w:rPr>
              <w:br/>
            </w:r>
            <w:r w:rsidR="006F63FD" w:rsidRPr="00D92F7A">
              <w:rPr>
                <w:sz w:val="28"/>
                <w:szCs w:val="28"/>
              </w:rPr>
              <w:t>General Counsel</w:t>
            </w:r>
          </w:p>
          <w:p w14:paraId="755FD497" w14:textId="77777777" w:rsidR="00494BDF" w:rsidRPr="00D92F7A" w:rsidRDefault="00494BDF" w:rsidP="00000C35">
            <w:pPr>
              <w:pStyle w:val="FirmInformation"/>
              <w:spacing w:line="240" w:lineRule="auto"/>
              <w:rPr>
                <w:sz w:val="28"/>
                <w:szCs w:val="28"/>
              </w:rPr>
            </w:pPr>
            <w:r w:rsidRPr="00D92F7A">
              <w:rPr>
                <w:sz w:val="28"/>
                <w:szCs w:val="28"/>
              </w:rPr>
              <w:t>State Bar of Arizona</w:t>
            </w:r>
          </w:p>
          <w:p w14:paraId="786B9D56" w14:textId="77777777" w:rsidR="00357F4D" w:rsidRPr="00D92F7A" w:rsidRDefault="00357F4D" w:rsidP="00000C35">
            <w:pPr>
              <w:pStyle w:val="FirmInformation"/>
              <w:spacing w:line="240" w:lineRule="auto"/>
              <w:rPr>
                <w:sz w:val="28"/>
                <w:szCs w:val="28"/>
              </w:rPr>
            </w:pPr>
            <w:r w:rsidRPr="00D92F7A">
              <w:rPr>
                <w:sz w:val="28"/>
                <w:szCs w:val="28"/>
              </w:rPr>
              <w:t>4201 N. 24th Street, Suite 100</w:t>
            </w:r>
          </w:p>
          <w:p w14:paraId="537FEF71" w14:textId="77777777" w:rsidR="00357F4D" w:rsidRPr="00D92F7A" w:rsidRDefault="00357F4D" w:rsidP="00000C35">
            <w:pPr>
              <w:pStyle w:val="FirmInformation"/>
              <w:spacing w:line="240" w:lineRule="auto"/>
              <w:rPr>
                <w:sz w:val="28"/>
                <w:szCs w:val="28"/>
              </w:rPr>
            </w:pPr>
            <w:r w:rsidRPr="00D92F7A">
              <w:rPr>
                <w:sz w:val="28"/>
                <w:szCs w:val="28"/>
              </w:rPr>
              <w:t>Phoenix, AZ  85016-6288</w:t>
            </w:r>
          </w:p>
          <w:p w14:paraId="6E119DFC" w14:textId="77777777" w:rsidR="006F63FD" w:rsidRDefault="00352347" w:rsidP="00735659">
            <w:pPr>
              <w:pStyle w:val="FirmInformation"/>
              <w:spacing w:line="240" w:lineRule="auto"/>
              <w:rPr>
                <w:sz w:val="28"/>
                <w:szCs w:val="28"/>
              </w:rPr>
            </w:pPr>
            <w:r w:rsidRPr="00D92F7A">
              <w:rPr>
                <w:sz w:val="28"/>
                <w:szCs w:val="28"/>
              </w:rPr>
              <w:t>(602) 340-7236</w:t>
            </w:r>
          </w:p>
          <w:p w14:paraId="34E6C7E1" w14:textId="77777777" w:rsidR="00587AF1" w:rsidRPr="00D92F7A" w:rsidRDefault="00587AF1" w:rsidP="00735659">
            <w:pPr>
              <w:pStyle w:val="FirmInformation"/>
              <w:spacing w:line="240" w:lineRule="auto"/>
              <w:rPr>
                <w:sz w:val="28"/>
                <w:szCs w:val="28"/>
              </w:rPr>
            </w:pPr>
          </w:p>
        </w:tc>
        <w:tc>
          <w:tcPr>
            <w:tcW w:w="4200" w:type="dxa"/>
          </w:tcPr>
          <w:p w14:paraId="148EDBFB" w14:textId="77777777" w:rsidR="00357F4D" w:rsidRPr="00D92F7A" w:rsidRDefault="00357F4D" w:rsidP="00000C35">
            <w:pPr>
              <w:ind w:left="113" w:right="113"/>
              <w:rPr>
                <w:sz w:val="28"/>
                <w:szCs w:val="28"/>
              </w:rPr>
            </w:pPr>
          </w:p>
        </w:tc>
      </w:tr>
    </w:tbl>
    <w:bookmarkEnd w:id="0"/>
    <w:p w14:paraId="7711B1F3" w14:textId="77777777" w:rsidR="00395092" w:rsidRPr="00D92F7A" w:rsidRDefault="000F7A7F" w:rsidP="00000C35">
      <w:pPr>
        <w:pStyle w:val="Court"/>
        <w:spacing w:line="240" w:lineRule="auto"/>
        <w:rPr>
          <w:b/>
          <w:sz w:val="28"/>
          <w:szCs w:val="28"/>
        </w:rPr>
      </w:pPr>
      <w:r w:rsidRPr="00D92F7A">
        <w:rPr>
          <w:b/>
          <w:sz w:val="28"/>
          <w:szCs w:val="28"/>
        </w:rPr>
        <w:t>IN THE SUPREME COURT</w:t>
      </w:r>
      <w:r w:rsidRPr="00D92F7A">
        <w:rPr>
          <w:b/>
          <w:sz w:val="28"/>
          <w:szCs w:val="28"/>
        </w:rPr>
        <w:br/>
        <w:t>STATE OF ARIZONA</w:t>
      </w:r>
      <w:r w:rsidR="00395092">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92F7A" w14:paraId="1C75658D" w14:textId="77777777" w:rsidTr="004331B2">
        <w:tc>
          <w:tcPr>
            <w:tcW w:w="4680" w:type="dxa"/>
            <w:tcBorders>
              <w:top w:val="nil"/>
              <w:bottom w:val="single" w:sz="4" w:space="0" w:color="auto"/>
              <w:right w:val="single" w:sz="4" w:space="0" w:color="auto"/>
            </w:tcBorders>
            <w:shd w:val="clear" w:color="auto" w:fill="auto"/>
          </w:tcPr>
          <w:p w14:paraId="7CE4A8DE" w14:textId="77777777" w:rsidR="00357F4D" w:rsidRPr="00D92F7A" w:rsidRDefault="00357F4D" w:rsidP="00E321C5">
            <w:pPr>
              <w:pStyle w:val="Caption"/>
              <w:spacing w:before="240" w:line="260" w:lineRule="exact"/>
              <w:rPr>
                <w:sz w:val="28"/>
                <w:szCs w:val="28"/>
              </w:rPr>
            </w:pPr>
            <w:bookmarkStart w:id="1" w:name="_zzmpFIXED_CaptionTable"/>
            <w:r w:rsidRPr="00D92F7A">
              <w:rPr>
                <w:sz w:val="28"/>
                <w:szCs w:val="28"/>
              </w:rPr>
              <w:t>In the Matter of:</w:t>
            </w:r>
          </w:p>
          <w:p w14:paraId="6B2F3492" w14:textId="77777777" w:rsidR="00357F4D" w:rsidRPr="00D92F7A" w:rsidRDefault="00E67511" w:rsidP="00D92F7A">
            <w:pPr>
              <w:pStyle w:val="Caption"/>
              <w:spacing w:before="240" w:line="260" w:lineRule="exact"/>
              <w:rPr>
                <w:b/>
                <w:sz w:val="28"/>
                <w:szCs w:val="28"/>
              </w:rPr>
            </w:pPr>
            <w:r w:rsidRPr="00D92F7A">
              <w:rPr>
                <w:b/>
                <w:sz w:val="28"/>
                <w:szCs w:val="28"/>
              </w:rPr>
              <w:t xml:space="preserve">PETITION </w:t>
            </w:r>
            <w:r w:rsidR="009830BC">
              <w:rPr>
                <w:b/>
                <w:sz w:val="28"/>
                <w:szCs w:val="28"/>
              </w:rPr>
              <w:t>T</w:t>
            </w:r>
            <w:r w:rsidR="00587AF1">
              <w:rPr>
                <w:b/>
                <w:sz w:val="28"/>
                <w:szCs w:val="28"/>
              </w:rPr>
              <w:t xml:space="preserve">O </w:t>
            </w:r>
            <w:r w:rsidR="00515AEA">
              <w:rPr>
                <w:b/>
                <w:sz w:val="28"/>
                <w:szCs w:val="28"/>
              </w:rPr>
              <w:t xml:space="preserve">DELETE RULE 20, TO ADD RULE 24.1, AND TO RENUMBER RULES 24.4, 24.2, 24.3, AND 24.4 </w:t>
            </w:r>
            <w:r w:rsidR="00587AF1">
              <w:rPr>
                <w:b/>
                <w:sz w:val="28"/>
                <w:szCs w:val="28"/>
              </w:rPr>
              <w:t>OF THE ARIZONA RULES OF CRIMINAL PROCEDURE</w:t>
            </w:r>
          </w:p>
          <w:p w14:paraId="0D00C2D9" w14:textId="77777777" w:rsidR="001601CC" w:rsidRPr="00D92F7A" w:rsidRDefault="001601CC" w:rsidP="00D92F7A">
            <w:pPr>
              <w:rPr>
                <w:sz w:val="28"/>
                <w:szCs w:val="28"/>
              </w:rPr>
            </w:pPr>
          </w:p>
        </w:tc>
        <w:tc>
          <w:tcPr>
            <w:tcW w:w="4524" w:type="dxa"/>
            <w:tcBorders>
              <w:top w:val="nil"/>
              <w:left w:val="single" w:sz="4" w:space="0" w:color="auto"/>
            </w:tcBorders>
            <w:shd w:val="clear" w:color="auto" w:fill="auto"/>
          </w:tcPr>
          <w:p w14:paraId="713FB168" w14:textId="77777777" w:rsidR="00357F4D" w:rsidRPr="00D92F7A" w:rsidRDefault="00357F4D" w:rsidP="00E321C5">
            <w:pPr>
              <w:pStyle w:val="Caption"/>
              <w:tabs>
                <w:tab w:val="left" w:pos="1238"/>
              </w:tabs>
              <w:spacing w:before="240" w:after="240"/>
              <w:ind w:left="259" w:right="115"/>
              <w:rPr>
                <w:sz w:val="28"/>
                <w:szCs w:val="28"/>
              </w:rPr>
            </w:pPr>
            <w:r w:rsidRPr="00D92F7A">
              <w:rPr>
                <w:sz w:val="28"/>
                <w:szCs w:val="28"/>
              </w:rPr>
              <w:t>Supreme Court No. R-</w:t>
            </w:r>
            <w:r w:rsidR="00515AEA">
              <w:rPr>
                <w:sz w:val="28"/>
                <w:szCs w:val="28"/>
              </w:rPr>
              <w:t>17-0028</w:t>
            </w:r>
          </w:p>
          <w:p w14:paraId="3385D3ED" w14:textId="77777777" w:rsidR="00357F4D" w:rsidRPr="00D92F7A" w:rsidRDefault="00D92F7A" w:rsidP="000F7A7F">
            <w:pPr>
              <w:pStyle w:val="Caption"/>
              <w:tabs>
                <w:tab w:val="left" w:pos="1238"/>
              </w:tabs>
              <w:spacing w:line="260" w:lineRule="exact"/>
              <w:ind w:right="115"/>
              <w:jc w:val="center"/>
              <w:rPr>
                <w:b/>
                <w:sz w:val="28"/>
                <w:szCs w:val="28"/>
              </w:rPr>
            </w:pPr>
            <w:r w:rsidRPr="00D92F7A">
              <w:rPr>
                <w:b/>
                <w:sz w:val="28"/>
                <w:szCs w:val="28"/>
              </w:rPr>
              <w:t>COMMENT OF</w:t>
            </w:r>
            <w:r w:rsidRPr="00D92F7A">
              <w:rPr>
                <w:b/>
                <w:sz w:val="28"/>
                <w:szCs w:val="28"/>
              </w:rPr>
              <w:br/>
              <w:t>THE STATE BAR OF ARIZONA</w:t>
            </w:r>
          </w:p>
          <w:p w14:paraId="301FE95D" w14:textId="77777777" w:rsidR="00357F4D" w:rsidRPr="00D92F7A" w:rsidRDefault="00357F4D" w:rsidP="00E321C5">
            <w:pPr>
              <w:pStyle w:val="DocumentTitle"/>
              <w:rPr>
                <w:sz w:val="28"/>
                <w:szCs w:val="28"/>
              </w:rPr>
            </w:pPr>
          </w:p>
          <w:p w14:paraId="53486C73" w14:textId="77777777" w:rsidR="00357F4D" w:rsidRPr="00D92F7A" w:rsidRDefault="00357F4D" w:rsidP="00E321C5">
            <w:pPr>
              <w:pStyle w:val="Caption"/>
              <w:ind w:left="1512" w:right="115" w:hanging="1253"/>
              <w:rPr>
                <w:sz w:val="28"/>
                <w:szCs w:val="28"/>
              </w:rPr>
            </w:pPr>
          </w:p>
        </w:tc>
      </w:tr>
      <w:bookmarkEnd w:id="1"/>
    </w:tbl>
    <w:p w14:paraId="5EC589AB" w14:textId="77777777" w:rsidR="00587AF1" w:rsidRDefault="00587AF1" w:rsidP="00122201">
      <w:pPr>
        <w:ind w:right="90" w:firstLine="720"/>
        <w:jc w:val="both"/>
        <w:outlineLvl w:val="0"/>
        <w:rPr>
          <w:rFonts w:cstheme="minorHAnsi"/>
          <w:sz w:val="28"/>
          <w:szCs w:val="28"/>
        </w:rPr>
      </w:pPr>
    </w:p>
    <w:p w14:paraId="5B3F4ED8" w14:textId="77777777" w:rsidR="00587AF1" w:rsidRPr="00515AEA" w:rsidRDefault="00122201" w:rsidP="00515AEA">
      <w:pPr>
        <w:spacing w:line="480" w:lineRule="auto"/>
        <w:ind w:firstLine="720"/>
        <w:jc w:val="both"/>
        <w:outlineLvl w:val="0"/>
        <w:rPr>
          <w:sz w:val="28"/>
          <w:szCs w:val="28"/>
        </w:rPr>
      </w:pPr>
      <w:r w:rsidRPr="00515AEA">
        <w:rPr>
          <w:sz w:val="28"/>
          <w:szCs w:val="28"/>
        </w:rPr>
        <w:t>The State Bar of Arizona</w:t>
      </w:r>
      <w:r w:rsidR="00587AF1" w:rsidRPr="00515AEA">
        <w:rPr>
          <w:sz w:val="28"/>
          <w:szCs w:val="28"/>
        </w:rPr>
        <w:t xml:space="preserve"> (“State Bar”)</w:t>
      </w:r>
      <w:r w:rsidRPr="00515AEA">
        <w:rPr>
          <w:sz w:val="28"/>
          <w:szCs w:val="28"/>
        </w:rPr>
        <w:t xml:space="preserve"> opposes the Maricopa County Attorney’s p</w:t>
      </w:r>
      <w:r w:rsidR="00515AEA">
        <w:rPr>
          <w:sz w:val="28"/>
          <w:szCs w:val="28"/>
        </w:rPr>
        <w:t>roposed changes to</w:t>
      </w:r>
      <w:r w:rsidRPr="00515AEA">
        <w:rPr>
          <w:sz w:val="28"/>
          <w:szCs w:val="28"/>
        </w:rPr>
        <w:t xml:space="preserve"> the Arizona Rules of Criminal Procedure</w:t>
      </w:r>
      <w:r w:rsidR="00515AEA">
        <w:rPr>
          <w:sz w:val="28"/>
          <w:szCs w:val="28"/>
        </w:rPr>
        <w:t>.</w:t>
      </w:r>
    </w:p>
    <w:p w14:paraId="26C099A0" w14:textId="77777777" w:rsidR="00515AEA" w:rsidRPr="00515AEA" w:rsidRDefault="00515AEA" w:rsidP="00515AEA">
      <w:pPr>
        <w:pStyle w:val="Body"/>
        <w:widowControl w:val="0"/>
        <w:spacing w:line="240" w:lineRule="auto"/>
        <w:ind w:firstLine="720"/>
        <w:rPr>
          <w:b/>
          <w:sz w:val="28"/>
          <w:szCs w:val="28"/>
        </w:rPr>
      </w:pPr>
      <w:r w:rsidRPr="00515AEA">
        <w:rPr>
          <w:b/>
          <w:sz w:val="28"/>
          <w:szCs w:val="28"/>
        </w:rPr>
        <w:t>I.</w:t>
      </w:r>
      <w:r w:rsidRPr="00515AEA">
        <w:rPr>
          <w:b/>
          <w:sz w:val="28"/>
          <w:szCs w:val="28"/>
        </w:rPr>
        <w:tab/>
        <w:t>BACKGROUND OF PETITION</w:t>
      </w:r>
    </w:p>
    <w:p w14:paraId="45D24AD8" w14:textId="77777777" w:rsidR="00515AEA" w:rsidRPr="00515AEA" w:rsidRDefault="00515AEA" w:rsidP="00515AEA">
      <w:pPr>
        <w:pStyle w:val="Body"/>
        <w:widowControl w:val="0"/>
        <w:spacing w:line="240" w:lineRule="auto"/>
        <w:ind w:firstLine="720"/>
        <w:rPr>
          <w:b/>
          <w:sz w:val="28"/>
          <w:szCs w:val="28"/>
        </w:rPr>
      </w:pPr>
    </w:p>
    <w:p w14:paraId="2F8E1165" w14:textId="721578E9" w:rsidR="00515AEA" w:rsidRPr="00515AEA" w:rsidRDefault="00515AEA" w:rsidP="00515AEA">
      <w:pPr>
        <w:pStyle w:val="Body"/>
        <w:widowControl w:val="0"/>
        <w:spacing w:line="480" w:lineRule="auto"/>
        <w:ind w:firstLine="720"/>
        <w:jc w:val="both"/>
        <w:rPr>
          <w:sz w:val="28"/>
          <w:szCs w:val="28"/>
        </w:rPr>
      </w:pPr>
      <w:r w:rsidRPr="00515AEA">
        <w:rPr>
          <w:sz w:val="28"/>
          <w:szCs w:val="28"/>
        </w:rPr>
        <w:t xml:space="preserve">The Maricopa County Attorney’s Office has proposed an amendment to the Rules of Criminal Procedure.  It must be noted that this is the second </w:t>
      </w:r>
      <w:r w:rsidR="00AA4F17">
        <w:rPr>
          <w:sz w:val="28"/>
          <w:szCs w:val="28"/>
        </w:rPr>
        <w:t xml:space="preserve">consecutive </w:t>
      </w:r>
      <w:proofErr w:type="gramStart"/>
      <w:r w:rsidR="00AA4F17">
        <w:rPr>
          <w:sz w:val="28"/>
          <w:szCs w:val="28"/>
        </w:rPr>
        <w:t>year</w:t>
      </w:r>
      <w:proofErr w:type="gramEnd"/>
      <w:r w:rsidRPr="00515AEA">
        <w:rPr>
          <w:sz w:val="28"/>
          <w:szCs w:val="28"/>
        </w:rPr>
        <w:t xml:space="preserve"> that Petitioner has sought this exact modification to the criminal rules</w:t>
      </w:r>
      <w:r w:rsidR="00AA4F17">
        <w:rPr>
          <w:sz w:val="28"/>
          <w:szCs w:val="28"/>
        </w:rPr>
        <w:t>. The Court denied last year’</w:t>
      </w:r>
      <w:r w:rsidR="008B247F">
        <w:rPr>
          <w:sz w:val="28"/>
          <w:szCs w:val="28"/>
        </w:rPr>
        <w:t>s petition</w:t>
      </w:r>
      <w:r w:rsidRPr="00515AEA">
        <w:rPr>
          <w:sz w:val="28"/>
          <w:szCs w:val="28"/>
        </w:rPr>
        <w:t>.</w:t>
      </w:r>
    </w:p>
    <w:p w14:paraId="783E09C2" w14:textId="45510246" w:rsidR="00515AEA" w:rsidRPr="00515AEA" w:rsidRDefault="00515AEA" w:rsidP="00515AEA">
      <w:pPr>
        <w:pStyle w:val="Body"/>
        <w:widowControl w:val="0"/>
        <w:spacing w:line="480" w:lineRule="auto"/>
        <w:ind w:firstLine="720"/>
        <w:jc w:val="both"/>
        <w:rPr>
          <w:sz w:val="28"/>
          <w:szCs w:val="28"/>
        </w:rPr>
      </w:pPr>
      <w:r w:rsidRPr="00515AEA">
        <w:rPr>
          <w:sz w:val="28"/>
          <w:szCs w:val="28"/>
        </w:rPr>
        <w:t xml:space="preserve">Petitioner seeks to delete Rule 20, </w:t>
      </w:r>
      <w:r w:rsidR="002900C7">
        <w:rPr>
          <w:sz w:val="28"/>
          <w:szCs w:val="28"/>
        </w:rPr>
        <w:t>Arizona Rules of Criminal Procedure</w:t>
      </w:r>
      <w:r w:rsidRPr="00515AEA">
        <w:rPr>
          <w:sz w:val="28"/>
          <w:szCs w:val="28"/>
        </w:rPr>
        <w:t xml:space="preserve">.  This </w:t>
      </w:r>
      <w:r w:rsidRPr="00515AEA">
        <w:rPr>
          <w:sz w:val="28"/>
          <w:szCs w:val="28"/>
        </w:rPr>
        <w:lastRenderedPageBreak/>
        <w:t xml:space="preserve">rule requires a trial court to direct a judgment of acquittal on one or more offenses charged “if there is no substantial evidence to warrant </w:t>
      </w:r>
      <w:r w:rsidR="002900C7">
        <w:rPr>
          <w:sz w:val="28"/>
          <w:szCs w:val="28"/>
        </w:rPr>
        <w:t xml:space="preserve">a </w:t>
      </w:r>
      <w:r w:rsidRPr="00515AEA">
        <w:rPr>
          <w:sz w:val="28"/>
          <w:szCs w:val="28"/>
        </w:rPr>
        <w:t>conviction.”</w:t>
      </w:r>
      <w:r w:rsidR="002900C7">
        <w:rPr>
          <w:sz w:val="28"/>
          <w:szCs w:val="28"/>
        </w:rPr>
        <w:t xml:space="preserve"> </w:t>
      </w:r>
      <w:r w:rsidR="002900C7" w:rsidRPr="001F6CC9">
        <w:rPr>
          <w:smallCaps/>
          <w:sz w:val="28"/>
          <w:szCs w:val="28"/>
        </w:rPr>
        <w:t>Ariz. R. Crim. P</w:t>
      </w:r>
      <w:r w:rsidR="002900C7">
        <w:rPr>
          <w:sz w:val="28"/>
          <w:szCs w:val="28"/>
        </w:rPr>
        <w:t>. 20(a).</w:t>
      </w:r>
      <w:r w:rsidRPr="00515AEA">
        <w:rPr>
          <w:sz w:val="28"/>
          <w:szCs w:val="28"/>
        </w:rPr>
        <w:t xml:space="preserve">  A Rule 20(a) motion may be brought at the close of the prosecution’s case-in-chief and renewed at the close of the trial before submission to the jury. </w:t>
      </w:r>
      <w:r w:rsidR="002900C7" w:rsidRPr="001F6CC9">
        <w:rPr>
          <w:i/>
          <w:sz w:val="28"/>
          <w:szCs w:val="28"/>
        </w:rPr>
        <w:t>Id.</w:t>
      </w:r>
    </w:p>
    <w:p w14:paraId="23252F2A" w14:textId="0B93DE4A" w:rsidR="00515AEA" w:rsidRPr="00515AEA" w:rsidRDefault="00515AEA" w:rsidP="00903283">
      <w:pPr>
        <w:pStyle w:val="Body"/>
        <w:widowControl w:val="0"/>
        <w:spacing w:line="480" w:lineRule="auto"/>
        <w:ind w:firstLine="720"/>
        <w:jc w:val="both"/>
        <w:rPr>
          <w:sz w:val="28"/>
          <w:szCs w:val="28"/>
        </w:rPr>
      </w:pPr>
      <w:r w:rsidRPr="00515AEA">
        <w:rPr>
          <w:sz w:val="28"/>
          <w:szCs w:val="28"/>
        </w:rPr>
        <w:t xml:space="preserve">The remainder of the rule mandates a trial court enter a judgment of acquittal as to any aggravating factor alleged for which there “is no substantial evidence to warrant the allegation.” </w:t>
      </w:r>
      <w:r w:rsidR="002900C7" w:rsidRPr="001F6CC9">
        <w:rPr>
          <w:i/>
          <w:sz w:val="28"/>
          <w:szCs w:val="28"/>
        </w:rPr>
        <w:t>Id.</w:t>
      </w:r>
      <w:r w:rsidR="002900C7">
        <w:rPr>
          <w:sz w:val="28"/>
          <w:szCs w:val="28"/>
        </w:rPr>
        <w:t xml:space="preserve"> </w:t>
      </w:r>
      <w:r w:rsidRPr="00515AEA">
        <w:rPr>
          <w:sz w:val="28"/>
          <w:szCs w:val="28"/>
        </w:rPr>
        <w:t xml:space="preserve"> This ruling takes place before the issue is submitted for jury finding.</w:t>
      </w:r>
      <w:r w:rsidR="002900C7">
        <w:rPr>
          <w:sz w:val="28"/>
          <w:szCs w:val="28"/>
        </w:rPr>
        <w:t xml:space="preserve"> </w:t>
      </w:r>
      <w:r w:rsidR="002900C7" w:rsidRPr="001F6CC9">
        <w:rPr>
          <w:i/>
          <w:sz w:val="28"/>
          <w:szCs w:val="28"/>
        </w:rPr>
        <w:t>Id.</w:t>
      </w:r>
      <w:r w:rsidR="002900C7">
        <w:rPr>
          <w:sz w:val="28"/>
          <w:szCs w:val="28"/>
        </w:rPr>
        <w:t xml:space="preserve"> </w:t>
      </w:r>
      <w:r w:rsidRPr="00515AEA">
        <w:rPr>
          <w:sz w:val="28"/>
          <w:szCs w:val="28"/>
        </w:rPr>
        <w:t xml:space="preserve">Rule 20(a) </w:t>
      </w:r>
      <w:r w:rsidR="002900C7">
        <w:rPr>
          <w:sz w:val="28"/>
          <w:szCs w:val="28"/>
        </w:rPr>
        <w:t xml:space="preserve">further </w:t>
      </w:r>
      <w:r w:rsidR="008B247F">
        <w:rPr>
          <w:sz w:val="28"/>
          <w:szCs w:val="28"/>
        </w:rPr>
        <w:t xml:space="preserve">commands: </w:t>
      </w:r>
      <w:r w:rsidRPr="00515AEA">
        <w:rPr>
          <w:sz w:val="28"/>
          <w:szCs w:val="28"/>
        </w:rPr>
        <w:t>“The court’s decision on a defendant’s motion shall not be reserved, but shall be made with all possible speed.”</w:t>
      </w:r>
      <w:r w:rsidR="002900C7">
        <w:rPr>
          <w:sz w:val="28"/>
          <w:szCs w:val="28"/>
        </w:rPr>
        <w:t xml:space="preserve"> </w:t>
      </w:r>
      <w:r w:rsidR="002900C7" w:rsidRPr="001F6CC9">
        <w:rPr>
          <w:i/>
          <w:sz w:val="28"/>
          <w:szCs w:val="28"/>
        </w:rPr>
        <w:t>Id.</w:t>
      </w:r>
    </w:p>
    <w:p w14:paraId="648F3519" w14:textId="42C385B7" w:rsidR="00515AEA" w:rsidRPr="00515AEA" w:rsidRDefault="00515AEA" w:rsidP="00515AEA">
      <w:pPr>
        <w:pStyle w:val="Body"/>
        <w:widowControl w:val="0"/>
        <w:spacing w:line="480" w:lineRule="auto"/>
        <w:ind w:firstLine="720"/>
        <w:jc w:val="both"/>
        <w:rPr>
          <w:sz w:val="28"/>
          <w:szCs w:val="28"/>
        </w:rPr>
      </w:pPr>
      <w:r w:rsidRPr="00515AEA">
        <w:rPr>
          <w:sz w:val="28"/>
          <w:szCs w:val="28"/>
        </w:rPr>
        <w:t>Rule 20(b) permits a defendant to renew his</w:t>
      </w:r>
      <w:r w:rsidR="008B247F">
        <w:rPr>
          <w:sz w:val="28"/>
          <w:szCs w:val="28"/>
        </w:rPr>
        <w:t>/her</w:t>
      </w:r>
      <w:r w:rsidRPr="00515AEA">
        <w:rPr>
          <w:sz w:val="28"/>
          <w:szCs w:val="28"/>
        </w:rPr>
        <w:t xml:space="preserve"> request for acquittal on one or more of the offenses charged within 10 days after a verdict is rendered by a jury.</w:t>
      </w:r>
      <w:r w:rsidR="002900C7">
        <w:rPr>
          <w:sz w:val="28"/>
          <w:szCs w:val="28"/>
        </w:rPr>
        <w:t xml:space="preserve"> </w:t>
      </w:r>
      <w:r w:rsidR="002900C7" w:rsidRPr="001F6CC9">
        <w:rPr>
          <w:i/>
          <w:sz w:val="28"/>
          <w:szCs w:val="28"/>
        </w:rPr>
        <w:t>Id.</w:t>
      </w:r>
      <w:r w:rsidR="002900C7">
        <w:rPr>
          <w:sz w:val="28"/>
          <w:szCs w:val="28"/>
        </w:rPr>
        <w:t xml:space="preserve"> R. 20(b).</w:t>
      </w:r>
      <w:r w:rsidRPr="00515AEA">
        <w:rPr>
          <w:sz w:val="28"/>
          <w:szCs w:val="28"/>
        </w:rPr>
        <w:t xml:space="preserve">  This provision does not speak to a post-verdict renewed request for acquittal of an alleged aggravating factor—and </w:t>
      </w:r>
      <w:r w:rsidR="002900C7">
        <w:rPr>
          <w:sz w:val="28"/>
          <w:szCs w:val="28"/>
        </w:rPr>
        <w:t>for</w:t>
      </w:r>
      <w:r w:rsidR="002900C7" w:rsidRPr="00515AEA">
        <w:rPr>
          <w:sz w:val="28"/>
          <w:szCs w:val="28"/>
        </w:rPr>
        <w:t xml:space="preserve"> </w:t>
      </w:r>
      <w:r w:rsidRPr="00515AEA">
        <w:rPr>
          <w:sz w:val="28"/>
          <w:szCs w:val="28"/>
        </w:rPr>
        <w:t xml:space="preserve">good reason, discussed </w:t>
      </w:r>
      <w:r w:rsidRPr="001F6CC9">
        <w:rPr>
          <w:i/>
          <w:sz w:val="28"/>
          <w:szCs w:val="28"/>
        </w:rPr>
        <w:t>infra</w:t>
      </w:r>
      <w:r w:rsidRPr="00515AEA">
        <w:rPr>
          <w:sz w:val="28"/>
          <w:szCs w:val="28"/>
        </w:rPr>
        <w:t xml:space="preserve">. </w:t>
      </w:r>
    </w:p>
    <w:p w14:paraId="64F4EDED" w14:textId="4097E9B9" w:rsidR="00515AEA" w:rsidRDefault="00515AEA" w:rsidP="00515AEA">
      <w:pPr>
        <w:pStyle w:val="Body"/>
        <w:widowControl w:val="0"/>
        <w:spacing w:line="480" w:lineRule="auto"/>
        <w:ind w:firstLine="720"/>
        <w:jc w:val="both"/>
        <w:rPr>
          <w:sz w:val="28"/>
          <w:szCs w:val="28"/>
        </w:rPr>
      </w:pPr>
      <w:r w:rsidRPr="00515AEA">
        <w:rPr>
          <w:sz w:val="28"/>
          <w:szCs w:val="28"/>
        </w:rPr>
        <w:t>The Petition seeks to delete Rule 20</w:t>
      </w:r>
      <w:r w:rsidR="008760BB">
        <w:rPr>
          <w:sz w:val="28"/>
          <w:szCs w:val="28"/>
        </w:rPr>
        <w:t>(a)</w:t>
      </w:r>
      <w:r w:rsidRPr="00515AEA">
        <w:rPr>
          <w:sz w:val="28"/>
          <w:szCs w:val="28"/>
        </w:rPr>
        <w:t xml:space="preserve"> in its entirety and create a rule permitting directed verdict motions only after </w:t>
      </w:r>
      <w:r w:rsidR="002900C7">
        <w:rPr>
          <w:sz w:val="28"/>
          <w:szCs w:val="28"/>
        </w:rPr>
        <w:t xml:space="preserve">a </w:t>
      </w:r>
      <w:r w:rsidRPr="00515AEA">
        <w:rPr>
          <w:sz w:val="28"/>
          <w:szCs w:val="28"/>
        </w:rPr>
        <w:t xml:space="preserve">jury verdict, including for the first time motions pertaining to the finding of aggravating factors.  </w:t>
      </w:r>
    </w:p>
    <w:p w14:paraId="235881E1" w14:textId="77777777" w:rsidR="00515AEA" w:rsidRPr="00515AEA" w:rsidRDefault="00515AEA" w:rsidP="00515AEA">
      <w:pPr>
        <w:pStyle w:val="Body"/>
        <w:widowControl w:val="0"/>
        <w:spacing w:line="480" w:lineRule="auto"/>
        <w:ind w:firstLine="720"/>
        <w:jc w:val="both"/>
        <w:rPr>
          <w:sz w:val="28"/>
          <w:szCs w:val="28"/>
        </w:rPr>
      </w:pPr>
    </w:p>
    <w:p w14:paraId="157B53FB" w14:textId="77777777" w:rsidR="00515AEA" w:rsidRPr="00515AEA" w:rsidRDefault="00515AEA" w:rsidP="00515AEA">
      <w:pPr>
        <w:pStyle w:val="Body"/>
        <w:widowControl w:val="0"/>
        <w:spacing w:line="240" w:lineRule="auto"/>
        <w:ind w:firstLine="0"/>
        <w:rPr>
          <w:b/>
          <w:sz w:val="28"/>
          <w:szCs w:val="28"/>
        </w:rPr>
      </w:pPr>
      <w:r w:rsidRPr="00515AEA">
        <w:rPr>
          <w:b/>
          <w:sz w:val="28"/>
          <w:szCs w:val="28"/>
        </w:rPr>
        <w:lastRenderedPageBreak/>
        <w:t>II.</w:t>
      </w:r>
      <w:r w:rsidRPr="00515AEA">
        <w:rPr>
          <w:b/>
          <w:sz w:val="28"/>
          <w:szCs w:val="28"/>
        </w:rPr>
        <w:tab/>
        <w:t>DISCUSSION/ANALYSIS</w:t>
      </w:r>
    </w:p>
    <w:p w14:paraId="37518359" w14:textId="77777777" w:rsidR="00515AEA" w:rsidRPr="00515AEA" w:rsidRDefault="00515AEA" w:rsidP="00515AEA">
      <w:pPr>
        <w:pStyle w:val="Body"/>
        <w:widowControl w:val="0"/>
        <w:spacing w:line="240" w:lineRule="auto"/>
        <w:ind w:firstLine="0"/>
        <w:rPr>
          <w:b/>
          <w:sz w:val="28"/>
          <w:szCs w:val="28"/>
        </w:rPr>
      </w:pPr>
    </w:p>
    <w:p w14:paraId="4D28CBE4" w14:textId="1EEE46CF" w:rsidR="00515AEA" w:rsidRPr="00515AEA" w:rsidRDefault="00515AEA" w:rsidP="00515AEA">
      <w:pPr>
        <w:pStyle w:val="Body"/>
        <w:widowControl w:val="0"/>
        <w:numPr>
          <w:ilvl w:val="0"/>
          <w:numId w:val="18"/>
        </w:numPr>
        <w:spacing w:line="240" w:lineRule="auto"/>
        <w:rPr>
          <w:b/>
          <w:sz w:val="28"/>
          <w:szCs w:val="28"/>
        </w:rPr>
      </w:pPr>
      <w:r w:rsidRPr="00515AEA">
        <w:rPr>
          <w:b/>
          <w:sz w:val="28"/>
          <w:szCs w:val="28"/>
        </w:rPr>
        <w:t xml:space="preserve"> MOTIONS FOR ACQUITTAL MADE BEFORE VERDICT</w:t>
      </w:r>
    </w:p>
    <w:p w14:paraId="3122CC83" w14:textId="77777777" w:rsidR="00515AEA" w:rsidRPr="00515AEA" w:rsidRDefault="00515AEA" w:rsidP="00515AEA">
      <w:pPr>
        <w:pStyle w:val="Body"/>
        <w:widowControl w:val="0"/>
        <w:spacing w:line="240" w:lineRule="auto"/>
        <w:ind w:firstLine="720"/>
        <w:rPr>
          <w:b/>
          <w:sz w:val="28"/>
          <w:szCs w:val="28"/>
        </w:rPr>
      </w:pPr>
    </w:p>
    <w:p w14:paraId="1F0C7989" w14:textId="361F3C8E" w:rsidR="00515AEA" w:rsidRPr="00515AEA" w:rsidRDefault="00515AEA" w:rsidP="00515AEA">
      <w:pPr>
        <w:pStyle w:val="Body"/>
        <w:widowControl w:val="0"/>
        <w:spacing w:line="480" w:lineRule="auto"/>
        <w:ind w:firstLine="0"/>
        <w:jc w:val="both"/>
        <w:rPr>
          <w:sz w:val="28"/>
          <w:szCs w:val="28"/>
        </w:rPr>
      </w:pPr>
      <w:r w:rsidRPr="00515AEA">
        <w:rPr>
          <w:sz w:val="28"/>
          <w:szCs w:val="28"/>
        </w:rPr>
        <w:tab/>
        <w:t xml:space="preserve">The majority of Petitioner’s </w:t>
      </w:r>
      <w:r w:rsidR="002900C7">
        <w:rPr>
          <w:sz w:val="28"/>
          <w:szCs w:val="28"/>
        </w:rPr>
        <w:t>arguments</w:t>
      </w:r>
      <w:r w:rsidR="002900C7" w:rsidRPr="00515AEA">
        <w:rPr>
          <w:sz w:val="28"/>
          <w:szCs w:val="28"/>
        </w:rPr>
        <w:t xml:space="preserve"> </w:t>
      </w:r>
      <w:r w:rsidRPr="00515AEA">
        <w:rPr>
          <w:sz w:val="28"/>
          <w:szCs w:val="28"/>
        </w:rPr>
        <w:t xml:space="preserve">underlying its requested rule change are easily defeated by the state and federal constitutions and </w:t>
      </w:r>
      <w:r w:rsidR="002900C7">
        <w:rPr>
          <w:sz w:val="28"/>
          <w:szCs w:val="28"/>
        </w:rPr>
        <w:t xml:space="preserve">other </w:t>
      </w:r>
      <w:r w:rsidRPr="00515AEA">
        <w:rPr>
          <w:sz w:val="28"/>
          <w:szCs w:val="28"/>
        </w:rPr>
        <w:t xml:space="preserve">governing law.  </w:t>
      </w:r>
    </w:p>
    <w:p w14:paraId="3C9F3C3C" w14:textId="583B6BC7" w:rsidR="00515AEA" w:rsidRPr="00CB49E6" w:rsidRDefault="00515AEA" w:rsidP="00515AEA">
      <w:pPr>
        <w:pStyle w:val="Body"/>
        <w:widowControl w:val="0"/>
        <w:numPr>
          <w:ilvl w:val="3"/>
          <w:numId w:val="18"/>
        </w:numPr>
        <w:spacing w:line="240" w:lineRule="auto"/>
        <w:ind w:left="1080"/>
        <w:jc w:val="both"/>
        <w:rPr>
          <w:b/>
          <w:sz w:val="28"/>
          <w:szCs w:val="28"/>
        </w:rPr>
      </w:pPr>
      <w:r w:rsidRPr="00CB49E6">
        <w:rPr>
          <w:b/>
          <w:sz w:val="28"/>
          <w:szCs w:val="28"/>
        </w:rPr>
        <w:t>Rule 20(a) Does Not Remove the State’s Right to Have a Jury Decide a Criminal Case</w:t>
      </w:r>
      <w:r w:rsidR="002900C7" w:rsidRPr="00CB49E6">
        <w:rPr>
          <w:b/>
          <w:sz w:val="28"/>
          <w:szCs w:val="28"/>
        </w:rPr>
        <w:t>.</w:t>
      </w:r>
    </w:p>
    <w:p w14:paraId="43D69DDE" w14:textId="77777777" w:rsidR="00515AEA" w:rsidRPr="00515AEA" w:rsidRDefault="00515AEA" w:rsidP="00515AEA">
      <w:pPr>
        <w:pStyle w:val="Body"/>
        <w:widowControl w:val="0"/>
        <w:spacing w:line="240" w:lineRule="auto"/>
        <w:ind w:left="1080" w:firstLine="0"/>
        <w:jc w:val="both"/>
        <w:rPr>
          <w:sz w:val="28"/>
          <w:szCs w:val="28"/>
        </w:rPr>
      </w:pPr>
      <w:r w:rsidRPr="00515AEA">
        <w:rPr>
          <w:sz w:val="28"/>
          <w:szCs w:val="28"/>
        </w:rPr>
        <w:t xml:space="preserve">  </w:t>
      </w:r>
    </w:p>
    <w:p w14:paraId="1B731FD9" w14:textId="5BD45B89" w:rsidR="00515AEA" w:rsidRDefault="00515AEA" w:rsidP="00515AEA">
      <w:pPr>
        <w:pStyle w:val="Body"/>
        <w:widowControl w:val="0"/>
        <w:spacing w:line="480" w:lineRule="auto"/>
        <w:ind w:firstLine="720"/>
        <w:jc w:val="both"/>
        <w:rPr>
          <w:sz w:val="28"/>
          <w:szCs w:val="28"/>
        </w:rPr>
      </w:pPr>
      <w:r w:rsidRPr="00515AEA">
        <w:rPr>
          <w:sz w:val="28"/>
          <w:szCs w:val="28"/>
        </w:rPr>
        <w:t xml:space="preserve">Both the federal and state </w:t>
      </w:r>
      <w:proofErr w:type="spellStart"/>
      <w:r w:rsidRPr="00515AEA">
        <w:rPr>
          <w:sz w:val="28"/>
          <w:szCs w:val="28"/>
        </w:rPr>
        <w:t>constitution</w:t>
      </w:r>
      <w:r w:rsidR="00A72696">
        <w:rPr>
          <w:sz w:val="28"/>
          <w:szCs w:val="28"/>
        </w:rPr>
        <w:t>s</w:t>
      </w:r>
      <w:proofErr w:type="spellEnd"/>
      <w:r w:rsidRPr="00515AEA">
        <w:rPr>
          <w:sz w:val="28"/>
          <w:szCs w:val="28"/>
        </w:rPr>
        <w:t xml:space="preserve"> guarantee criminal defendants</w:t>
      </w:r>
      <w:r w:rsidR="00A72696">
        <w:rPr>
          <w:sz w:val="28"/>
          <w:szCs w:val="28"/>
        </w:rPr>
        <w:t xml:space="preserve"> </w:t>
      </w:r>
      <w:r w:rsidRPr="00515AEA">
        <w:rPr>
          <w:sz w:val="28"/>
          <w:szCs w:val="28"/>
        </w:rPr>
        <w:t xml:space="preserve">a right to trial by jury, although a defendant has no constitutional right to </w:t>
      </w:r>
      <w:r w:rsidR="00CB49E6">
        <w:rPr>
          <w:sz w:val="28"/>
          <w:szCs w:val="28"/>
        </w:rPr>
        <w:t>waive a jury trial without the s</w:t>
      </w:r>
      <w:r w:rsidRPr="00515AEA">
        <w:rPr>
          <w:sz w:val="28"/>
          <w:szCs w:val="28"/>
        </w:rPr>
        <w:t xml:space="preserve">tate’s consent.  </w:t>
      </w:r>
      <w:r w:rsidRPr="00515AEA">
        <w:rPr>
          <w:i/>
          <w:sz w:val="28"/>
          <w:szCs w:val="28"/>
        </w:rPr>
        <w:t>Singer v. United States</w:t>
      </w:r>
      <w:r w:rsidRPr="001F6CC9">
        <w:rPr>
          <w:sz w:val="28"/>
          <w:szCs w:val="28"/>
        </w:rPr>
        <w:t>, 380 U.S. 24</w:t>
      </w:r>
      <w:r w:rsidR="002900C7">
        <w:rPr>
          <w:sz w:val="28"/>
          <w:szCs w:val="28"/>
        </w:rPr>
        <w:t>, 36</w:t>
      </w:r>
      <w:r w:rsidRPr="001F6CC9">
        <w:rPr>
          <w:sz w:val="28"/>
          <w:szCs w:val="28"/>
        </w:rPr>
        <w:t xml:space="preserve"> (1965)</w:t>
      </w:r>
      <w:r w:rsidR="002900C7">
        <w:rPr>
          <w:sz w:val="28"/>
          <w:szCs w:val="28"/>
        </w:rPr>
        <w:t xml:space="preserve"> (holding that defendant’s waiver of jury trial may be conditioned on consent by the prosecuting attorney and trial judge).</w:t>
      </w:r>
      <w:r w:rsidRPr="00515AEA">
        <w:rPr>
          <w:sz w:val="28"/>
          <w:szCs w:val="28"/>
        </w:rPr>
        <w:t xml:space="preserve">  </w:t>
      </w:r>
      <w:r w:rsidR="00924E9E">
        <w:rPr>
          <w:sz w:val="28"/>
          <w:szCs w:val="28"/>
        </w:rPr>
        <w:t>The</w:t>
      </w:r>
      <w:r w:rsidRPr="00515AEA">
        <w:rPr>
          <w:sz w:val="28"/>
          <w:szCs w:val="28"/>
        </w:rPr>
        <w:t xml:space="preserve"> Due Process Clause prohibits convictions based on legally insufficient evidence</w:t>
      </w:r>
      <w:r w:rsidR="00924E9E">
        <w:rPr>
          <w:sz w:val="28"/>
          <w:szCs w:val="28"/>
        </w:rPr>
        <w:t>.</w:t>
      </w:r>
      <w:r w:rsidRPr="00515AEA">
        <w:rPr>
          <w:sz w:val="28"/>
          <w:szCs w:val="28"/>
        </w:rPr>
        <w:t xml:space="preserve"> </w:t>
      </w:r>
      <w:r w:rsidR="00A72696" w:rsidRPr="001F6CC9">
        <w:rPr>
          <w:smallCaps/>
          <w:sz w:val="28"/>
          <w:szCs w:val="28"/>
        </w:rPr>
        <w:t>U.S. Const</w:t>
      </w:r>
      <w:r w:rsidR="00A72696">
        <w:rPr>
          <w:sz w:val="28"/>
          <w:szCs w:val="28"/>
        </w:rPr>
        <w:t xml:space="preserve">. amend. XIV, § 1; </w:t>
      </w:r>
      <w:r w:rsidR="00A72696">
        <w:rPr>
          <w:i/>
          <w:sz w:val="28"/>
          <w:szCs w:val="28"/>
        </w:rPr>
        <w:t xml:space="preserve">See, </w:t>
      </w:r>
      <w:r w:rsidR="00A72696" w:rsidRPr="001F6CC9">
        <w:rPr>
          <w:i/>
          <w:sz w:val="28"/>
          <w:szCs w:val="28"/>
        </w:rPr>
        <w:t>e.g.</w:t>
      </w:r>
      <w:r w:rsidR="00A72696">
        <w:rPr>
          <w:sz w:val="28"/>
          <w:szCs w:val="28"/>
        </w:rPr>
        <w:t xml:space="preserve">, </w:t>
      </w:r>
      <w:r w:rsidRPr="00515AEA">
        <w:rPr>
          <w:i/>
          <w:sz w:val="28"/>
          <w:szCs w:val="28"/>
        </w:rPr>
        <w:t>Tibbs v. Florida</w:t>
      </w:r>
      <w:r w:rsidRPr="001F6CC9">
        <w:rPr>
          <w:sz w:val="28"/>
          <w:szCs w:val="28"/>
        </w:rPr>
        <w:t>,</w:t>
      </w:r>
      <w:r w:rsidRPr="00515AEA">
        <w:rPr>
          <w:i/>
          <w:sz w:val="28"/>
          <w:szCs w:val="28"/>
        </w:rPr>
        <w:t xml:space="preserve"> </w:t>
      </w:r>
      <w:r w:rsidRPr="001F6CC9">
        <w:rPr>
          <w:sz w:val="28"/>
          <w:szCs w:val="28"/>
        </w:rPr>
        <w:t>457 U.S. 31, 45 (1982);</w:t>
      </w:r>
      <w:r w:rsidRPr="00515AEA">
        <w:rPr>
          <w:i/>
          <w:sz w:val="28"/>
          <w:szCs w:val="28"/>
        </w:rPr>
        <w:t xml:space="preserve"> State v. Mathers</w:t>
      </w:r>
      <w:r w:rsidRPr="001F6CC9">
        <w:rPr>
          <w:sz w:val="28"/>
          <w:szCs w:val="28"/>
        </w:rPr>
        <w:t>, 165 Ariz. 64, 71</w:t>
      </w:r>
      <w:r w:rsidR="00A72696">
        <w:rPr>
          <w:sz w:val="28"/>
          <w:szCs w:val="28"/>
        </w:rPr>
        <w:t>, 796 P.2d 866, 873</w:t>
      </w:r>
      <w:r w:rsidRPr="001F6CC9">
        <w:rPr>
          <w:sz w:val="28"/>
          <w:szCs w:val="28"/>
        </w:rPr>
        <w:t xml:space="preserve"> (1990)</w:t>
      </w:r>
      <w:r w:rsidR="00924E9E" w:rsidRPr="00903283">
        <w:rPr>
          <w:sz w:val="28"/>
          <w:szCs w:val="28"/>
        </w:rPr>
        <w:t>.</w:t>
      </w:r>
      <w:r w:rsidR="00924E9E">
        <w:rPr>
          <w:sz w:val="28"/>
          <w:szCs w:val="28"/>
        </w:rPr>
        <w:t xml:space="preserve"> Thus, </w:t>
      </w:r>
      <w:r w:rsidRPr="00515AEA">
        <w:rPr>
          <w:sz w:val="28"/>
          <w:szCs w:val="28"/>
        </w:rPr>
        <w:t xml:space="preserve">no jury trial right is impaired by directing a verdict </w:t>
      </w:r>
      <w:r w:rsidR="00924E9E">
        <w:rPr>
          <w:sz w:val="28"/>
          <w:szCs w:val="28"/>
        </w:rPr>
        <w:t>because</w:t>
      </w:r>
      <w:r w:rsidR="00924E9E" w:rsidRPr="00515AEA">
        <w:rPr>
          <w:sz w:val="28"/>
          <w:szCs w:val="28"/>
        </w:rPr>
        <w:t xml:space="preserve"> </w:t>
      </w:r>
      <w:r w:rsidRPr="00515AEA">
        <w:rPr>
          <w:sz w:val="28"/>
          <w:szCs w:val="28"/>
        </w:rPr>
        <w:t xml:space="preserve">no verdict may be sought, much less obtained, unless “the evidence, viewed in the light most favorable to the prosecution, [permits] any rational trier of fact [to find] the essential elements of the crime beyond a reasonable doubt.”  </w:t>
      </w:r>
      <w:r w:rsidRPr="00515AEA">
        <w:rPr>
          <w:i/>
          <w:sz w:val="28"/>
          <w:szCs w:val="28"/>
        </w:rPr>
        <w:t xml:space="preserve">State v. West, </w:t>
      </w:r>
      <w:r w:rsidRPr="001F6CC9">
        <w:rPr>
          <w:sz w:val="28"/>
          <w:szCs w:val="28"/>
        </w:rPr>
        <w:t>226 Ariz. 559, 562, 250 P.3d 1188</w:t>
      </w:r>
      <w:r w:rsidR="00A72696">
        <w:rPr>
          <w:sz w:val="28"/>
          <w:szCs w:val="28"/>
        </w:rPr>
        <w:t xml:space="preserve">, 1191 </w:t>
      </w:r>
      <w:r w:rsidRPr="001F6CC9">
        <w:rPr>
          <w:sz w:val="28"/>
          <w:szCs w:val="28"/>
        </w:rPr>
        <w:t>(2011).</w:t>
      </w:r>
    </w:p>
    <w:p w14:paraId="460FD862" w14:textId="77777777" w:rsidR="0060325B" w:rsidRPr="00903283" w:rsidRDefault="0060325B" w:rsidP="00515AEA">
      <w:pPr>
        <w:pStyle w:val="Body"/>
        <w:widowControl w:val="0"/>
        <w:spacing w:line="480" w:lineRule="auto"/>
        <w:ind w:firstLine="720"/>
        <w:jc w:val="both"/>
        <w:rPr>
          <w:sz w:val="28"/>
          <w:szCs w:val="28"/>
        </w:rPr>
      </w:pPr>
    </w:p>
    <w:p w14:paraId="2A998546" w14:textId="77777777" w:rsidR="00515AEA" w:rsidRPr="00CB49E6" w:rsidRDefault="00515AEA" w:rsidP="00515AEA">
      <w:pPr>
        <w:pStyle w:val="Body"/>
        <w:widowControl w:val="0"/>
        <w:numPr>
          <w:ilvl w:val="3"/>
          <w:numId w:val="18"/>
        </w:numPr>
        <w:spacing w:line="480" w:lineRule="auto"/>
        <w:ind w:left="720"/>
        <w:jc w:val="both"/>
        <w:rPr>
          <w:b/>
          <w:sz w:val="28"/>
          <w:szCs w:val="28"/>
        </w:rPr>
      </w:pPr>
      <w:r w:rsidRPr="00CB49E6">
        <w:rPr>
          <w:b/>
          <w:sz w:val="28"/>
          <w:szCs w:val="28"/>
        </w:rPr>
        <w:lastRenderedPageBreak/>
        <w:t xml:space="preserve">Erroneous Rule 20(a) Rulings Do Not Require Abrogation of the Rule.  </w:t>
      </w:r>
    </w:p>
    <w:p w14:paraId="29389C0E" w14:textId="0E4EF5BA" w:rsidR="008B247F" w:rsidRDefault="008B247F" w:rsidP="00515AEA">
      <w:pPr>
        <w:pStyle w:val="Body"/>
        <w:widowControl w:val="0"/>
        <w:spacing w:line="480" w:lineRule="auto"/>
        <w:ind w:firstLine="720"/>
        <w:jc w:val="both"/>
        <w:rPr>
          <w:sz w:val="28"/>
          <w:szCs w:val="28"/>
        </w:rPr>
      </w:pPr>
      <w:r>
        <w:rPr>
          <w:sz w:val="28"/>
          <w:szCs w:val="28"/>
        </w:rPr>
        <w:t>Petitioner’s focuses on the</w:t>
      </w:r>
      <w:r w:rsidR="00515AEA" w:rsidRPr="00515AEA">
        <w:rPr>
          <w:sz w:val="28"/>
          <w:szCs w:val="28"/>
        </w:rPr>
        <w:t xml:space="preserve"> extraordinarily rare occasion when Rule 20(a) directed verdicts of acquittal are entered, </w:t>
      </w:r>
      <w:r>
        <w:rPr>
          <w:sz w:val="28"/>
          <w:szCs w:val="28"/>
        </w:rPr>
        <w:t>and such</w:t>
      </w:r>
      <w:r w:rsidR="00515AEA" w:rsidRPr="00515AEA">
        <w:rPr>
          <w:sz w:val="28"/>
          <w:szCs w:val="28"/>
        </w:rPr>
        <w:t xml:space="preserve"> judgment is non-reviewable by a higher court because the Double Jeopardy Clause prohibits further fact-finding proceedings following an acquittal by any tribunal.  “[W]here the Double Jeopardy Clause is applicable, its sweep is absolute.  There are no ‘equities’ to be balanced, for the Clause has declared a constitutional policy, based on grounds which are not open to judicial examination.”  </w:t>
      </w:r>
      <w:r w:rsidR="00515AEA" w:rsidRPr="00515AEA">
        <w:rPr>
          <w:i/>
          <w:sz w:val="28"/>
          <w:szCs w:val="28"/>
        </w:rPr>
        <w:t>Burks v. United States</w:t>
      </w:r>
      <w:r w:rsidR="00515AEA" w:rsidRPr="001F6CC9">
        <w:rPr>
          <w:sz w:val="28"/>
          <w:szCs w:val="28"/>
        </w:rPr>
        <w:t>,</w:t>
      </w:r>
      <w:r w:rsidR="00515AEA" w:rsidRPr="00515AEA">
        <w:rPr>
          <w:i/>
          <w:sz w:val="28"/>
          <w:szCs w:val="28"/>
        </w:rPr>
        <w:t xml:space="preserve"> </w:t>
      </w:r>
      <w:r w:rsidR="00515AEA" w:rsidRPr="001F6CC9">
        <w:rPr>
          <w:sz w:val="28"/>
          <w:szCs w:val="28"/>
        </w:rPr>
        <w:t>437 U.S. 1, 11</w:t>
      </w:r>
      <w:r w:rsidR="00A72696">
        <w:rPr>
          <w:sz w:val="28"/>
          <w:szCs w:val="28"/>
        </w:rPr>
        <w:t xml:space="preserve"> </w:t>
      </w:r>
      <w:r w:rsidR="00515AEA" w:rsidRPr="001F6CC9">
        <w:rPr>
          <w:sz w:val="28"/>
          <w:szCs w:val="28"/>
        </w:rPr>
        <w:t>n.6 (1978).</w:t>
      </w:r>
      <w:r w:rsidR="00515AEA" w:rsidRPr="00515AEA">
        <w:rPr>
          <w:i/>
          <w:sz w:val="28"/>
          <w:szCs w:val="28"/>
        </w:rPr>
        <w:t xml:space="preserve"> </w:t>
      </w:r>
      <w:r w:rsidR="00515AEA" w:rsidRPr="00515AEA">
        <w:rPr>
          <w:sz w:val="28"/>
          <w:szCs w:val="28"/>
        </w:rPr>
        <w:t xml:space="preserve">Petitioner’s aim of securing appellate review and correction of an erroneously entered directed verdict is understandable, but </w:t>
      </w:r>
      <w:r w:rsidR="00BF635E">
        <w:rPr>
          <w:sz w:val="28"/>
          <w:szCs w:val="28"/>
        </w:rPr>
        <w:t xml:space="preserve">does not </w:t>
      </w:r>
      <w:r>
        <w:rPr>
          <w:sz w:val="28"/>
          <w:szCs w:val="28"/>
        </w:rPr>
        <w:t>warrant deletion of Rule 20.</w:t>
      </w:r>
    </w:p>
    <w:p w14:paraId="6DE5B45B" w14:textId="7BC78EBD" w:rsidR="00515AEA" w:rsidRPr="00515AEA" w:rsidRDefault="006642A4" w:rsidP="00515AEA">
      <w:pPr>
        <w:pStyle w:val="Body"/>
        <w:widowControl w:val="0"/>
        <w:spacing w:line="480" w:lineRule="auto"/>
        <w:ind w:firstLine="720"/>
        <w:jc w:val="both"/>
        <w:rPr>
          <w:sz w:val="28"/>
          <w:szCs w:val="28"/>
        </w:rPr>
      </w:pPr>
      <w:r>
        <w:rPr>
          <w:sz w:val="28"/>
          <w:szCs w:val="28"/>
        </w:rPr>
        <w:t xml:space="preserve">In the criminal justice system, there exist </w:t>
      </w:r>
      <w:r w:rsidR="00515AEA" w:rsidRPr="00515AEA">
        <w:rPr>
          <w:sz w:val="28"/>
          <w:szCs w:val="28"/>
        </w:rPr>
        <w:t>numerous circumstances in which claims of legal error occurring within the trial are procedurally barred,</w:t>
      </w:r>
      <w:r>
        <w:rPr>
          <w:sz w:val="28"/>
          <w:szCs w:val="28"/>
        </w:rPr>
        <w:t xml:space="preserve"> thus</w:t>
      </w:r>
      <w:r w:rsidR="00515AEA" w:rsidRPr="00515AEA">
        <w:rPr>
          <w:sz w:val="28"/>
          <w:szCs w:val="28"/>
        </w:rPr>
        <w:t xml:space="preserve"> ins</w:t>
      </w:r>
      <w:r w:rsidR="00A72696">
        <w:rPr>
          <w:sz w:val="28"/>
          <w:szCs w:val="28"/>
        </w:rPr>
        <w:t>u</w:t>
      </w:r>
      <w:r w:rsidR="00515AEA" w:rsidRPr="00515AEA">
        <w:rPr>
          <w:sz w:val="28"/>
          <w:szCs w:val="28"/>
        </w:rPr>
        <w:t xml:space="preserve">lating the error from appellate review.  </w:t>
      </w:r>
      <w:r>
        <w:rPr>
          <w:sz w:val="28"/>
          <w:szCs w:val="28"/>
        </w:rPr>
        <w:t>For instance, a</w:t>
      </w:r>
      <w:r w:rsidRPr="00515AEA">
        <w:rPr>
          <w:sz w:val="28"/>
          <w:szCs w:val="28"/>
        </w:rPr>
        <w:t xml:space="preserve"> </w:t>
      </w:r>
      <w:r w:rsidR="00515AEA" w:rsidRPr="00515AEA">
        <w:rPr>
          <w:sz w:val="28"/>
          <w:szCs w:val="28"/>
        </w:rPr>
        <w:t>trial court’s erroneous denial of a motion to remand for a re-determination of probable cause is ins</w:t>
      </w:r>
      <w:r w:rsidR="00A72696">
        <w:rPr>
          <w:sz w:val="28"/>
          <w:szCs w:val="28"/>
        </w:rPr>
        <w:t>u</w:t>
      </w:r>
      <w:r w:rsidR="00515AEA" w:rsidRPr="00515AEA">
        <w:rPr>
          <w:sz w:val="28"/>
          <w:szCs w:val="28"/>
        </w:rPr>
        <w:t>lated from any appellate review in the event of a subsequent conviction by a jury.  The failure to file a timely appeal or petition for post-conviction relief are additional examples.</w:t>
      </w:r>
    </w:p>
    <w:p w14:paraId="132EA759" w14:textId="1452AAC5" w:rsidR="00515AEA" w:rsidRPr="00515AEA" w:rsidRDefault="00515AEA" w:rsidP="00515AEA">
      <w:pPr>
        <w:pStyle w:val="Body"/>
        <w:widowControl w:val="0"/>
        <w:spacing w:line="480" w:lineRule="auto"/>
        <w:ind w:firstLine="720"/>
        <w:jc w:val="both"/>
        <w:rPr>
          <w:sz w:val="28"/>
          <w:szCs w:val="28"/>
        </w:rPr>
      </w:pPr>
      <w:r w:rsidRPr="00515AEA">
        <w:rPr>
          <w:sz w:val="28"/>
          <w:szCs w:val="28"/>
        </w:rPr>
        <w:t xml:space="preserve">Petitioner cites </w:t>
      </w:r>
      <w:r w:rsidRPr="00515AEA">
        <w:rPr>
          <w:i/>
          <w:sz w:val="28"/>
          <w:szCs w:val="28"/>
        </w:rPr>
        <w:t xml:space="preserve">State v. Ruiz, </w:t>
      </w:r>
      <w:r w:rsidRPr="00515AEA">
        <w:rPr>
          <w:sz w:val="28"/>
          <w:szCs w:val="28"/>
        </w:rPr>
        <w:t xml:space="preserve">239 Ariz. 379, 372 P.3d 323 (App. 2016), where </w:t>
      </w:r>
      <w:r w:rsidRPr="00515AEA">
        <w:rPr>
          <w:sz w:val="28"/>
          <w:szCs w:val="28"/>
        </w:rPr>
        <w:lastRenderedPageBreak/>
        <w:t>the judge stated on the record that he was dismissing two of the counts under Rule 20(a), then</w:t>
      </w:r>
      <w:r w:rsidR="008B247F">
        <w:rPr>
          <w:sz w:val="28"/>
          <w:szCs w:val="28"/>
        </w:rPr>
        <w:t xml:space="preserve"> later</w:t>
      </w:r>
      <w:r w:rsidRPr="00515AEA">
        <w:rPr>
          <w:sz w:val="28"/>
          <w:szCs w:val="28"/>
        </w:rPr>
        <w:t xml:space="preserve"> stated he was reversing his dismissal. </w:t>
      </w:r>
      <w:r w:rsidRPr="00515AEA">
        <w:rPr>
          <w:i/>
          <w:sz w:val="28"/>
          <w:szCs w:val="28"/>
        </w:rPr>
        <w:t xml:space="preserve">Id. </w:t>
      </w:r>
      <w:r w:rsidRPr="00515AEA">
        <w:rPr>
          <w:sz w:val="28"/>
          <w:szCs w:val="28"/>
        </w:rPr>
        <w:t>at 382-84, 372 P</w:t>
      </w:r>
      <w:r w:rsidR="002C3D5E">
        <w:rPr>
          <w:sz w:val="28"/>
          <w:szCs w:val="28"/>
        </w:rPr>
        <w:t>.</w:t>
      </w:r>
      <w:r w:rsidRPr="00515AEA">
        <w:rPr>
          <w:sz w:val="28"/>
          <w:szCs w:val="28"/>
        </w:rPr>
        <w:t xml:space="preserve">3d at 326-27.  On appeal, the appellate court correctly reversed the subsequent convictions due to double jeopardy.  </w:t>
      </w:r>
      <w:r w:rsidR="002C3D5E">
        <w:rPr>
          <w:sz w:val="28"/>
          <w:szCs w:val="28"/>
        </w:rPr>
        <w:t>Now, c</w:t>
      </w:r>
      <w:r w:rsidRPr="00515AEA">
        <w:rPr>
          <w:sz w:val="28"/>
          <w:szCs w:val="28"/>
        </w:rPr>
        <w:t xml:space="preserve">ompare </w:t>
      </w:r>
      <w:r w:rsidRPr="00515AEA">
        <w:rPr>
          <w:i/>
          <w:sz w:val="28"/>
          <w:szCs w:val="28"/>
        </w:rPr>
        <w:t xml:space="preserve">Ruiz </w:t>
      </w:r>
      <w:r w:rsidRPr="00515AEA">
        <w:rPr>
          <w:sz w:val="28"/>
          <w:szCs w:val="28"/>
        </w:rPr>
        <w:t xml:space="preserve">to </w:t>
      </w:r>
      <w:r w:rsidRPr="00515AEA">
        <w:rPr>
          <w:i/>
          <w:sz w:val="28"/>
          <w:szCs w:val="28"/>
        </w:rPr>
        <w:t xml:space="preserve">State v. Newfield, </w:t>
      </w:r>
      <w:r w:rsidRPr="00515AEA">
        <w:rPr>
          <w:sz w:val="28"/>
          <w:szCs w:val="28"/>
        </w:rPr>
        <w:t xml:space="preserve">161 Ariz. 470, 778 P.2d 1366 (App. 1989).  In </w:t>
      </w:r>
      <w:r w:rsidRPr="00515AEA">
        <w:rPr>
          <w:i/>
          <w:sz w:val="28"/>
          <w:szCs w:val="28"/>
        </w:rPr>
        <w:t>Newfield</w:t>
      </w:r>
      <w:r w:rsidRPr="001F6CC9">
        <w:rPr>
          <w:sz w:val="28"/>
          <w:szCs w:val="28"/>
        </w:rPr>
        <w:t>,</w:t>
      </w:r>
      <w:r w:rsidRPr="00515AEA">
        <w:rPr>
          <w:i/>
          <w:sz w:val="28"/>
          <w:szCs w:val="28"/>
        </w:rPr>
        <w:t xml:space="preserve"> </w:t>
      </w:r>
      <w:r w:rsidRPr="00515AEA">
        <w:rPr>
          <w:sz w:val="28"/>
          <w:szCs w:val="28"/>
        </w:rPr>
        <w:t xml:space="preserve">the court initially indicated it was granting </w:t>
      </w:r>
      <w:r w:rsidR="002C3D5E">
        <w:rPr>
          <w:sz w:val="28"/>
          <w:szCs w:val="28"/>
        </w:rPr>
        <w:t>the defendant’s</w:t>
      </w:r>
      <w:r w:rsidR="002C3D5E" w:rsidRPr="00515AEA">
        <w:rPr>
          <w:sz w:val="28"/>
          <w:szCs w:val="28"/>
        </w:rPr>
        <w:t xml:space="preserve"> Rule 20(a) motion</w:t>
      </w:r>
      <w:r w:rsidRPr="00515AEA">
        <w:rPr>
          <w:sz w:val="28"/>
          <w:szCs w:val="28"/>
        </w:rPr>
        <w:t xml:space="preserve">. </w:t>
      </w:r>
      <w:r w:rsidRPr="00515AEA">
        <w:rPr>
          <w:i/>
          <w:sz w:val="28"/>
          <w:szCs w:val="28"/>
        </w:rPr>
        <w:t xml:space="preserve">Id. </w:t>
      </w:r>
      <w:r w:rsidRPr="00515AEA">
        <w:rPr>
          <w:sz w:val="28"/>
          <w:szCs w:val="28"/>
        </w:rPr>
        <w:t>at 471, 778 P.2d at 1367.  Further discussion ensued between the court and the parties</w:t>
      </w:r>
      <w:r w:rsidR="002C3D5E">
        <w:rPr>
          <w:sz w:val="28"/>
          <w:szCs w:val="28"/>
        </w:rPr>
        <w:t>,</w:t>
      </w:r>
      <w:r w:rsidRPr="00515AEA">
        <w:rPr>
          <w:sz w:val="28"/>
          <w:szCs w:val="28"/>
        </w:rPr>
        <w:t xml:space="preserve"> </w:t>
      </w:r>
      <w:r w:rsidR="002C3D5E">
        <w:rPr>
          <w:sz w:val="28"/>
          <w:szCs w:val="28"/>
        </w:rPr>
        <w:t>and</w:t>
      </w:r>
      <w:r w:rsidR="002C3D5E" w:rsidRPr="00515AEA">
        <w:rPr>
          <w:sz w:val="28"/>
          <w:szCs w:val="28"/>
        </w:rPr>
        <w:t xml:space="preserve"> </w:t>
      </w:r>
      <w:r w:rsidRPr="00515AEA">
        <w:rPr>
          <w:sz w:val="28"/>
          <w:szCs w:val="28"/>
        </w:rPr>
        <w:t xml:space="preserve">the court then stated that the statute had been misread and the motion was denied. </w:t>
      </w:r>
      <w:r w:rsidRPr="00515AEA">
        <w:rPr>
          <w:i/>
          <w:sz w:val="28"/>
          <w:szCs w:val="28"/>
        </w:rPr>
        <w:t>Id.</w:t>
      </w:r>
    </w:p>
    <w:p w14:paraId="6D198164" w14:textId="2564E174" w:rsidR="002C3D5E" w:rsidRDefault="00515AEA" w:rsidP="00903283">
      <w:pPr>
        <w:pStyle w:val="Body"/>
        <w:widowControl w:val="0"/>
        <w:spacing w:line="480" w:lineRule="auto"/>
        <w:ind w:firstLine="720"/>
        <w:jc w:val="both"/>
        <w:rPr>
          <w:sz w:val="28"/>
          <w:szCs w:val="28"/>
        </w:rPr>
      </w:pPr>
      <w:r w:rsidRPr="00515AEA">
        <w:rPr>
          <w:sz w:val="28"/>
          <w:szCs w:val="28"/>
        </w:rPr>
        <w:t xml:space="preserve">On appeal, Newfield argued that double jeopardy must bar his conviction because the </w:t>
      </w:r>
      <w:r w:rsidR="002C3D5E">
        <w:rPr>
          <w:sz w:val="28"/>
          <w:szCs w:val="28"/>
        </w:rPr>
        <w:t>c</w:t>
      </w:r>
      <w:r w:rsidRPr="00515AEA">
        <w:rPr>
          <w:sz w:val="28"/>
          <w:szCs w:val="28"/>
        </w:rPr>
        <w:t>ourt had granted his Rule 20(a) motion.  The appellate court disagreed</w:t>
      </w:r>
      <w:r w:rsidR="0084033C">
        <w:rPr>
          <w:sz w:val="28"/>
          <w:szCs w:val="28"/>
        </w:rPr>
        <w:t>, noting</w:t>
      </w:r>
      <w:r w:rsidRPr="00515AEA">
        <w:rPr>
          <w:sz w:val="28"/>
          <w:szCs w:val="28"/>
        </w:rPr>
        <w:t xml:space="preserve"> that the record reflected a continuing discussion and that, unlike the judge in </w:t>
      </w:r>
      <w:r w:rsidRPr="00515AEA">
        <w:rPr>
          <w:i/>
          <w:sz w:val="28"/>
          <w:szCs w:val="28"/>
        </w:rPr>
        <w:t>Ruiz</w:t>
      </w:r>
      <w:r w:rsidRPr="00515AEA">
        <w:rPr>
          <w:sz w:val="28"/>
          <w:szCs w:val="28"/>
        </w:rPr>
        <w:t xml:space="preserve"> who “reversed” his dismissal, the judge in </w:t>
      </w:r>
      <w:r w:rsidRPr="00515AEA">
        <w:rPr>
          <w:i/>
          <w:sz w:val="28"/>
          <w:szCs w:val="28"/>
        </w:rPr>
        <w:t xml:space="preserve">Newfield </w:t>
      </w:r>
      <w:r w:rsidRPr="00515AEA">
        <w:rPr>
          <w:sz w:val="28"/>
          <w:szCs w:val="28"/>
        </w:rPr>
        <w:t>ruled on the motion only once and denied it.</w:t>
      </w:r>
      <w:r w:rsidR="002C3D5E" w:rsidRPr="002C3D5E">
        <w:rPr>
          <w:i/>
          <w:sz w:val="28"/>
          <w:szCs w:val="28"/>
        </w:rPr>
        <w:t xml:space="preserve"> </w:t>
      </w:r>
      <w:r w:rsidR="002C3D5E" w:rsidRPr="00515AEA">
        <w:rPr>
          <w:i/>
          <w:sz w:val="28"/>
          <w:szCs w:val="28"/>
        </w:rPr>
        <w:t xml:space="preserve">Id. </w:t>
      </w:r>
      <w:r w:rsidR="002C3D5E" w:rsidRPr="00515AEA">
        <w:rPr>
          <w:sz w:val="28"/>
          <w:szCs w:val="28"/>
        </w:rPr>
        <w:t>at 472, 778 P.2d at 1368.</w:t>
      </w:r>
      <w:r w:rsidR="002C3D5E">
        <w:rPr>
          <w:sz w:val="28"/>
          <w:szCs w:val="28"/>
        </w:rPr>
        <w:t xml:space="preserve"> </w:t>
      </w:r>
      <w:r w:rsidRPr="00515AEA">
        <w:rPr>
          <w:sz w:val="28"/>
          <w:szCs w:val="28"/>
        </w:rPr>
        <w:t>Thus</w:t>
      </w:r>
      <w:r w:rsidR="002C3D5E">
        <w:rPr>
          <w:sz w:val="28"/>
          <w:szCs w:val="28"/>
        </w:rPr>
        <w:t>, the</w:t>
      </w:r>
      <w:r w:rsidRPr="00515AEA">
        <w:rPr>
          <w:sz w:val="28"/>
          <w:szCs w:val="28"/>
        </w:rPr>
        <w:t xml:space="preserve"> </w:t>
      </w:r>
      <w:r w:rsidR="002C3D5E">
        <w:rPr>
          <w:sz w:val="28"/>
          <w:szCs w:val="28"/>
        </w:rPr>
        <w:t>Double Jeopardy Clause</w:t>
      </w:r>
      <w:r w:rsidRPr="00515AEA">
        <w:rPr>
          <w:sz w:val="28"/>
          <w:szCs w:val="28"/>
        </w:rPr>
        <w:t xml:space="preserve"> was not violated. </w:t>
      </w:r>
      <w:r w:rsidR="002C3D5E" w:rsidRPr="001F6CC9">
        <w:rPr>
          <w:i/>
          <w:sz w:val="28"/>
          <w:szCs w:val="28"/>
        </w:rPr>
        <w:t>Id.</w:t>
      </w:r>
    </w:p>
    <w:p w14:paraId="56FA1388" w14:textId="56E937A0" w:rsidR="00515AEA" w:rsidRPr="00515AEA" w:rsidRDefault="00B80661" w:rsidP="00515AEA">
      <w:pPr>
        <w:pStyle w:val="Body"/>
        <w:widowControl w:val="0"/>
        <w:spacing w:line="480" w:lineRule="auto"/>
        <w:ind w:firstLine="720"/>
        <w:jc w:val="both"/>
        <w:rPr>
          <w:sz w:val="28"/>
          <w:szCs w:val="28"/>
        </w:rPr>
      </w:pPr>
      <w:r>
        <w:rPr>
          <w:sz w:val="28"/>
          <w:szCs w:val="28"/>
        </w:rPr>
        <w:t>T</w:t>
      </w:r>
      <w:r w:rsidR="00515AEA" w:rsidRPr="00515AEA">
        <w:rPr>
          <w:sz w:val="28"/>
          <w:szCs w:val="28"/>
        </w:rPr>
        <w:t xml:space="preserve">here is a better way to address </w:t>
      </w:r>
      <w:r>
        <w:rPr>
          <w:sz w:val="28"/>
          <w:szCs w:val="28"/>
        </w:rPr>
        <w:t>Petitioner’s</w:t>
      </w:r>
      <w:r w:rsidR="00515AEA" w:rsidRPr="00515AEA">
        <w:rPr>
          <w:sz w:val="28"/>
          <w:szCs w:val="28"/>
        </w:rPr>
        <w:t xml:space="preserve"> </w:t>
      </w:r>
      <w:r w:rsidR="0060325B" w:rsidRPr="00515AEA">
        <w:rPr>
          <w:sz w:val="28"/>
          <w:szCs w:val="28"/>
        </w:rPr>
        <w:t>concerns than</w:t>
      </w:r>
      <w:r w:rsidR="00515AEA" w:rsidRPr="00515AEA">
        <w:rPr>
          <w:sz w:val="28"/>
          <w:szCs w:val="28"/>
        </w:rPr>
        <w:t xml:space="preserve"> by abrogating Rule 20(a).  Simply, judges should </w:t>
      </w:r>
      <w:r>
        <w:rPr>
          <w:sz w:val="28"/>
          <w:szCs w:val="28"/>
        </w:rPr>
        <w:t>exercise caution in timing and manner of addressing</w:t>
      </w:r>
      <w:r w:rsidR="00515AEA" w:rsidRPr="00515AEA">
        <w:rPr>
          <w:sz w:val="28"/>
          <w:szCs w:val="28"/>
        </w:rPr>
        <w:t xml:space="preserve"> a Rule 20(a) motion</w:t>
      </w:r>
      <w:r w:rsidR="003F301C">
        <w:rPr>
          <w:sz w:val="28"/>
          <w:szCs w:val="28"/>
        </w:rPr>
        <w:t>. When the court</w:t>
      </w:r>
      <w:r w:rsidR="00515AEA" w:rsidRPr="00515AEA">
        <w:rPr>
          <w:sz w:val="28"/>
          <w:szCs w:val="28"/>
        </w:rPr>
        <w:t xml:space="preserve"> seek</w:t>
      </w:r>
      <w:r w:rsidR="003F301C">
        <w:rPr>
          <w:sz w:val="28"/>
          <w:szCs w:val="28"/>
        </w:rPr>
        <w:t>s</w:t>
      </w:r>
      <w:r w:rsidR="00515AEA" w:rsidRPr="00515AEA">
        <w:rPr>
          <w:sz w:val="28"/>
          <w:szCs w:val="28"/>
        </w:rPr>
        <w:t xml:space="preserve"> input from all sides and then discuss</w:t>
      </w:r>
      <w:r w:rsidR="00CB49E6">
        <w:rPr>
          <w:sz w:val="28"/>
          <w:szCs w:val="28"/>
        </w:rPr>
        <w:t>es</w:t>
      </w:r>
      <w:r w:rsidR="00515AEA" w:rsidRPr="00515AEA">
        <w:rPr>
          <w:sz w:val="28"/>
          <w:szCs w:val="28"/>
        </w:rPr>
        <w:t xml:space="preserve"> the issue with the parties before ruling,</w:t>
      </w:r>
      <w:r w:rsidR="000C51ED">
        <w:rPr>
          <w:sz w:val="28"/>
          <w:szCs w:val="28"/>
        </w:rPr>
        <w:t xml:space="preserve"> </w:t>
      </w:r>
      <w:r>
        <w:rPr>
          <w:sz w:val="28"/>
          <w:szCs w:val="28"/>
        </w:rPr>
        <w:t>errors may be avoided.</w:t>
      </w:r>
    </w:p>
    <w:p w14:paraId="52CC3A26" w14:textId="3540AC8C" w:rsidR="00515AEA" w:rsidRPr="00515AEA" w:rsidRDefault="00515AEA" w:rsidP="00515AEA">
      <w:pPr>
        <w:pStyle w:val="Body"/>
        <w:widowControl w:val="0"/>
        <w:spacing w:line="480" w:lineRule="auto"/>
        <w:ind w:firstLine="720"/>
        <w:jc w:val="both"/>
        <w:rPr>
          <w:sz w:val="28"/>
          <w:szCs w:val="28"/>
        </w:rPr>
      </w:pPr>
      <w:r w:rsidRPr="00515AEA">
        <w:rPr>
          <w:sz w:val="28"/>
          <w:szCs w:val="28"/>
        </w:rPr>
        <w:lastRenderedPageBreak/>
        <w:t xml:space="preserve">It must be noted that in </w:t>
      </w:r>
      <w:r w:rsidRPr="00515AEA">
        <w:rPr>
          <w:i/>
          <w:sz w:val="28"/>
          <w:szCs w:val="28"/>
        </w:rPr>
        <w:t xml:space="preserve">Ruiz, </w:t>
      </w:r>
      <w:r w:rsidRPr="00515AEA">
        <w:rPr>
          <w:sz w:val="28"/>
          <w:szCs w:val="28"/>
        </w:rPr>
        <w:t>the trial judge ruled</w:t>
      </w:r>
      <w:r w:rsidR="004E0248">
        <w:rPr>
          <w:sz w:val="28"/>
          <w:szCs w:val="28"/>
        </w:rPr>
        <w:t xml:space="preserve"> on the Rule 20(a) motion</w:t>
      </w:r>
      <w:r w:rsidRPr="00515AEA">
        <w:rPr>
          <w:sz w:val="28"/>
          <w:szCs w:val="28"/>
        </w:rPr>
        <w:t xml:space="preserve"> and then received input from the prosecutor, and reversed himself. </w:t>
      </w:r>
      <w:r w:rsidRPr="00515AEA">
        <w:rPr>
          <w:i/>
          <w:sz w:val="28"/>
          <w:szCs w:val="28"/>
        </w:rPr>
        <w:t xml:space="preserve">Ruiz, </w:t>
      </w:r>
      <w:r w:rsidRPr="00515AEA">
        <w:rPr>
          <w:sz w:val="28"/>
          <w:szCs w:val="28"/>
        </w:rPr>
        <w:t xml:space="preserve">239 Ariz. at 383, 372 P.3d at 327.  Review of all of the Arizona cases discussed in </w:t>
      </w:r>
      <w:r w:rsidRPr="00515AEA">
        <w:rPr>
          <w:i/>
          <w:sz w:val="28"/>
          <w:szCs w:val="28"/>
        </w:rPr>
        <w:t xml:space="preserve">Ruiz </w:t>
      </w:r>
      <w:r w:rsidR="003F301C">
        <w:rPr>
          <w:sz w:val="28"/>
          <w:szCs w:val="28"/>
        </w:rPr>
        <w:t>supports the position of this Comment</w:t>
      </w:r>
      <w:r>
        <w:rPr>
          <w:sz w:val="28"/>
          <w:szCs w:val="28"/>
        </w:rPr>
        <w:t>.</w:t>
      </w:r>
      <w:r w:rsidR="00B17899">
        <w:rPr>
          <w:sz w:val="28"/>
          <w:szCs w:val="28"/>
        </w:rPr>
        <w:t xml:space="preserve"> </w:t>
      </w:r>
      <w:r w:rsidR="00B17899" w:rsidRPr="00F7174B">
        <w:rPr>
          <w:i/>
          <w:sz w:val="28"/>
          <w:szCs w:val="28"/>
        </w:rPr>
        <w:t>State v. Musgrove</w:t>
      </w:r>
      <w:r w:rsidR="00B17899" w:rsidRPr="009E56CA">
        <w:rPr>
          <w:sz w:val="28"/>
          <w:szCs w:val="28"/>
        </w:rPr>
        <w:t xml:space="preserve">, </w:t>
      </w:r>
      <w:r w:rsidR="00B17899" w:rsidRPr="00F7174B">
        <w:rPr>
          <w:sz w:val="28"/>
          <w:szCs w:val="28"/>
        </w:rPr>
        <w:t>223 Ariz. 164, 221 P.3d 43 (App. 2009)</w:t>
      </w:r>
      <w:r w:rsidR="00B17899">
        <w:rPr>
          <w:sz w:val="28"/>
          <w:szCs w:val="28"/>
        </w:rPr>
        <w:t xml:space="preserve">; </w:t>
      </w:r>
      <w:r w:rsidR="00B17899" w:rsidRPr="00F7174B">
        <w:rPr>
          <w:i/>
          <w:sz w:val="28"/>
          <w:szCs w:val="28"/>
        </w:rPr>
        <w:t xml:space="preserve">State v. </w:t>
      </w:r>
      <w:proofErr w:type="spellStart"/>
      <w:r w:rsidR="00B17899" w:rsidRPr="00F7174B">
        <w:rPr>
          <w:i/>
          <w:sz w:val="28"/>
          <w:szCs w:val="28"/>
        </w:rPr>
        <w:t>Millanes</w:t>
      </w:r>
      <w:proofErr w:type="spellEnd"/>
      <w:r w:rsidR="00B17899" w:rsidRPr="009E56CA">
        <w:rPr>
          <w:sz w:val="28"/>
          <w:szCs w:val="28"/>
        </w:rPr>
        <w:t xml:space="preserve">, </w:t>
      </w:r>
      <w:r w:rsidR="00B17899" w:rsidRPr="00F7174B">
        <w:rPr>
          <w:sz w:val="28"/>
          <w:szCs w:val="28"/>
        </w:rPr>
        <w:t xml:space="preserve">180 Ariz. 418, 885 P.2d 106 (App. 1994); </w:t>
      </w:r>
      <w:r w:rsidR="00B17899" w:rsidRPr="00F7174B">
        <w:rPr>
          <w:i/>
          <w:sz w:val="28"/>
          <w:szCs w:val="28"/>
        </w:rPr>
        <w:t>Newfield</w:t>
      </w:r>
      <w:r w:rsidR="00B17899" w:rsidRPr="009E56CA">
        <w:rPr>
          <w:sz w:val="28"/>
          <w:szCs w:val="28"/>
        </w:rPr>
        <w:t>,</w:t>
      </w:r>
      <w:r w:rsidR="00B17899" w:rsidRPr="00B17899">
        <w:rPr>
          <w:sz w:val="28"/>
          <w:szCs w:val="28"/>
        </w:rPr>
        <w:t xml:space="preserve"> </w:t>
      </w:r>
      <w:r w:rsidR="00B17899">
        <w:rPr>
          <w:sz w:val="28"/>
          <w:szCs w:val="28"/>
        </w:rPr>
        <w:t xml:space="preserve">161 Ariz. </w:t>
      </w:r>
      <w:r w:rsidR="00B17899" w:rsidRPr="00515AEA">
        <w:rPr>
          <w:sz w:val="28"/>
          <w:szCs w:val="28"/>
        </w:rPr>
        <w:t>at 471, 778 P.2d at 1367</w:t>
      </w:r>
      <w:r w:rsidR="00B17899" w:rsidRPr="00F7174B">
        <w:rPr>
          <w:sz w:val="28"/>
          <w:szCs w:val="28"/>
        </w:rPr>
        <w:t>.</w:t>
      </w:r>
      <w:r w:rsidR="00B17899" w:rsidRPr="00515AEA">
        <w:rPr>
          <w:sz w:val="28"/>
          <w:szCs w:val="28"/>
        </w:rPr>
        <w:t xml:space="preserve"> </w:t>
      </w:r>
      <w:r w:rsidRPr="00515AEA">
        <w:rPr>
          <w:sz w:val="28"/>
          <w:szCs w:val="28"/>
        </w:rPr>
        <w:t xml:space="preserve">In the cases where a Rule 20(a) motion was erroneously granted, it happened in the absence of input </w:t>
      </w:r>
      <w:r w:rsidR="00D949F7">
        <w:rPr>
          <w:sz w:val="28"/>
          <w:szCs w:val="28"/>
        </w:rPr>
        <w:t>from</w:t>
      </w:r>
      <w:r w:rsidR="00CB49E6">
        <w:rPr>
          <w:sz w:val="28"/>
          <w:szCs w:val="28"/>
        </w:rPr>
        <w:t xml:space="preserve"> the s</w:t>
      </w:r>
      <w:r w:rsidRPr="00515AEA">
        <w:rPr>
          <w:sz w:val="28"/>
          <w:szCs w:val="28"/>
        </w:rPr>
        <w:t>tate.</w:t>
      </w:r>
      <w:r w:rsidR="00B17899">
        <w:rPr>
          <w:sz w:val="28"/>
          <w:szCs w:val="28"/>
        </w:rPr>
        <w:t xml:space="preserve"> </w:t>
      </w:r>
    </w:p>
    <w:p w14:paraId="3F22E676" w14:textId="5AAD62BD" w:rsidR="00515AEA" w:rsidRPr="00903283" w:rsidRDefault="00515AEA" w:rsidP="00515AEA">
      <w:pPr>
        <w:pStyle w:val="Body"/>
        <w:widowControl w:val="0"/>
        <w:spacing w:line="480" w:lineRule="auto"/>
        <w:ind w:firstLine="720"/>
        <w:jc w:val="both"/>
        <w:rPr>
          <w:sz w:val="28"/>
          <w:szCs w:val="28"/>
        </w:rPr>
      </w:pPr>
      <w:r w:rsidRPr="00515AEA">
        <w:rPr>
          <w:sz w:val="28"/>
          <w:szCs w:val="28"/>
        </w:rPr>
        <w:t xml:space="preserve">A criminal prosecution </w:t>
      </w:r>
      <w:r w:rsidR="00977E5F">
        <w:rPr>
          <w:sz w:val="28"/>
          <w:szCs w:val="28"/>
        </w:rPr>
        <w:t>is</w:t>
      </w:r>
      <w:r w:rsidRPr="00515AEA">
        <w:rPr>
          <w:sz w:val="28"/>
          <w:szCs w:val="28"/>
        </w:rPr>
        <w:t xml:space="preserve"> commenced</w:t>
      </w:r>
      <w:r w:rsidR="00977E5F">
        <w:rPr>
          <w:sz w:val="28"/>
          <w:szCs w:val="28"/>
        </w:rPr>
        <w:t xml:space="preserve"> when the</w:t>
      </w:r>
      <w:r w:rsidRPr="00515AEA">
        <w:rPr>
          <w:sz w:val="28"/>
          <w:szCs w:val="28"/>
        </w:rPr>
        <w:t xml:space="preserve"> </w:t>
      </w:r>
      <w:r w:rsidR="00CB49E6">
        <w:rPr>
          <w:sz w:val="28"/>
          <w:szCs w:val="28"/>
        </w:rPr>
        <w:t>s</w:t>
      </w:r>
      <w:r w:rsidR="00977E5F">
        <w:rPr>
          <w:sz w:val="28"/>
          <w:szCs w:val="28"/>
        </w:rPr>
        <w:t>tate</w:t>
      </w:r>
      <w:r w:rsidRPr="00515AEA">
        <w:rPr>
          <w:sz w:val="28"/>
          <w:szCs w:val="28"/>
        </w:rPr>
        <w:t xml:space="preserve"> fil</w:t>
      </w:r>
      <w:r w:rsidR="00977E5F">
        <w:rPr>
          <w:sz w:val="28"/>
          <w:szCs w:val="28"/>
        </w:rPr>
        <w:t>es</w:t>
      </w:r>
      <w:r w:rsidRPr="00515AEA">
        <w:rPr>
          <w:sz w:val="28"/>
          <w:szCs w:val="28"/>
        </w:rPr>
        <w:t xml:space="preserve"> a Complaint or obtain</w:t>
      </w:r>
      <w:r w:rsidR="00977E5F">
        <w:rPr>
          <w:sz w:val="28"/>
          <w:szCs w:val="28"/>
        </w:rPr>
        <w:t>s</w:t>
      </w:r>
      <w:r w:rsidRPr="00515AEA">
        <w:rPr>
          <w:sz w:val="28"/>
          <w:szCs w:val="28"/>
        </w:rPr>
        <w:t xml:space="preserve"> an indictment. Once charged, the criminally accused is cloaked with the presumption of innocence. </w:t>
      </w:r>
      <w:r w:rsidR="00B17899" w:rsidRPr="001F6CC9">
        <w:rPr>
          <w:i/>
          <w:sz w:val="28"/>
          <w:szCs w:val="28"/>
        </w:rPr>
        <w:t>See, e.g.</w:t>
      </w:r>
      <w:r w:rsidR="00B17899">
        <w:rPr>
          <w:sz w:val="28"/>
          <w:szCs w:val="28"/>
        </w:rPr>
        <w:t xml:space="preserve">, </w:t>
      </w:r>
      <w:r w:rsidRPr="00515AEA">
        <w:rPr>
          <w:i/>
          <w:sz w:val="28"/>
          <w:szCs w:val="28"/>
        </w:rPr>
        <w:t>Estelle v. United States</w:t>
      </w:r>
      <w:r w:rsidRPr="001F6CC9">
        <w:rPr>
          <w:sz w:val="28"/>
          <w:szCs w:val="28"/>
        </w:rPr>
        <w:t>,</w:t>
      </w:r>
      <w:r w:rsidRPr="00515AEA">
        <w:rPr>
          <w:i/>
          <w:sz w:val="28"/>
          <w:szCs w:val="28"/>
        </w:rPr>
        <w:t xml:space="preserve"> </w:t>
      </w:r>
      <w:r w:rsidRPr="001F6CC9">
        <w:rPr>
          <w:sz w:val="28"/>
          <w:szCs w:val="28"/>
        </w:rPr>
        <w:t>425 U.S. 501, 503 (1976)</w:t>
      </w:r>
      <w:r w:rsidRPr="00903283">
        <w:rPr>
          <w:sz w:val="28"/>
          <w:szCs w:val="28"/>
        </w:rPr>
        <w:t>.</w:t>
      </w:r>
      <w:r w:rsidRPr="00515AEA">
        <w:rPr>
          <w:sz w:val="28"/>
          <w:szCs w:val="28"/>
        </w:rPr>
        <w:t xml:space="preserve">  This notwithstanding, his</w:t>
      </w:r>
      <w:r w:rsidR="00977E5F">
        <w:rPr>
          <w:sz w:val="28"/>
          <w:szCs w:val="28"/>
        </w:rPr>
        <w:t>/her</w:t>
      </w:r>
      <w:r w:rsidRPr="00515AEA">
        <w:rPr>
          <w:sz w:val="28"/>
          <w:szCs w:val="28"/>
        </w:rPr>
        <w:t xml:space="preserve"> </w:t>
      </w:r>
      <w:r w:rsidRPr="001F6CC9">
        <w:rPr>
          <w:sz w:val="28"/>
          <w:szCs w:val="28"/>
        </w:rPr>
        <w:t>liberty interest</w:t>
      </w:r>
      <w:r w:rsidR="003F301C">
        <w:rPr>
          <w:sz w:val="28"/>
          <w:szCs w:val="28"/>
        </w:rPr>
        <w:t xml:space="preserve"> are</w:t>
      </w:r>
      <w:r w:rsidRPr="00515AEA">
        <w:rPr>
          <w:sz w:val="28"/>
          <w:szCs w:val="28"/>
        </w:rPr>
        <w:t xml:space="preserve"> immediately impacted.  One’s liberty interest is not only implicated in situations of incarceration prior to and during trial</w:t>
      </w:r>
      <w:r w:rsidR="00B17899">
        <w:rPr>
          <w:sz w:val="28"/>
          <w:szCs w:val="28"/>
        </w:rPr>
        <w:t>,</w:t>
      </w:r>
      <w:r w:rsidRPr="00515AEA">
        <w:rPr>
          <w:sz w:val="28"/>
          <w:szCs w:val="28"/>
        </w:rPr>
        <w:t xml:space="preserve"> </w:t>
      </w:r>
      <w:r w:rsidR="00CB49E6">
        <w:rPr>
          <w:sz w:val="28"/>
          <w:szCs w:val="28"/>
        </w:rPr>
        <w:t xml:space="preserve">and </w:t>
      </w:r>
      <w:r w:rsidRPr="00515AEA">
        <w:rPr>
          <w:sz w:val="28"/>
          <w:szCs w:val="28"/>
        </w:rPr>
        <w:t xml:space="preserve">when </w:t>
      </w:r>
      <w:r w:rsidR="00B17899">
        <w:rPr>
          <w:sz w:val="28"/>
          <w:szCs w:val="28"/>
        </w:rPr>
        <w:t>the accused</w:t>
      </w:r>
      <w:r w:rsidR="00B17899" w:rsidRPr="00515AEA">
        <w:rPr>
          <w:sz w:val="28"/>
          <w:szCs w:val="28"/>
        </w:rPr>
        <w:t xml:space="preserve"> </w:t>
      </w:r>
      <w:r w:rsidRPr="00515AEA">
        <w:rPr>
          <w:sz w:val="28"/>
          <w:szCs w:val="28"/>
        </w:rPr>
        <w:t>cannot afford to pay the set bond</w:t>
      </w:r>
      <w:r w:rsidR="00B17899">
        <w:rPr>
          <w:sz w:val="28"/>
          <w:szCs w:val="28"/>
        </w:rPr>
        <w:t>; i</w:t>
      </w:r>
      <w:r w:rsidRPr="00515AEA">
        <w:rPr>
          <w:sz w:val="28"/>
          <w:szCs w:val="28"/>
        </w:rPr>
        <w:t xml:space="preserve">t is similarly implicated by “the lesser, but nevertheless substantial, impairment of liberty on an accused while released on bail” including “the disruption of life caused by arrest and the presence of unresolved criminal charges.”  </w:t>
      </w:r>
      <w:r w:rsidRPr="00515AEA">
        <w:rPr>
          <w:i/>
          <w:sz w:val="28"/>
          <w:szCs w:val="28"/>
        </w:rPr>
        <w:t>United States v. McDonald</w:t>
      </w:r>
      <w:r w:rsidRPr="001F6CC9">
        <w:rPr>
          <w:sz w:val="28"/>
          <w:szCs w:val="28"/>
        </w:rPr>
        <w:t>, 456 U.S. 1, 8 (1982).</w:t>
      </w:r>
      <w:r w:rsidRPr="00903283">
        <w:rPr>
          <w:sz w:val="28"/>
          <w:szCs w:val="28"/>
        </w:rPr>
        <w:t xml:space="preserve"> </w:t>
      </w:r>
    </w:p>
    <w:p w14:paraId="38F00F84" w14:textId="22EFCD40" w:rsidR="00515AEA" w:rsidRPr="00515AEA" w:rsidRDefault="00515AEA" w:rsidP="00515AEA">
      <w:pPr>
        <w:pStyle w:val="Body"/>
        <w:widowControl w:val="0"/>
        <w:spacing w:line="480" w:lineRule="auto"/>
        <w:ind w:firstLine="720"/>
        <w:jc w:val="both"/>
        <w:rPr>
          <w:sz w:val="28"/>
          <w:szCs w:val="28"/>
        </w:rPr>
      </w:pPr>
      <w:r w:rsidRPr="00515AEA">
        <w:rPr>
          <w:sz w:val="28"/>
          <w:szCs w:val="28"/>
        </w:rPr>
        <w:t xml:space="preserve">Thus, although the justice system strives to accurately identify and sanction </w:t>
      </w:r>
      <w:r w:rsidRPr="00515AEA">
        <w:rPr>
          <w:sz w:val="28"/>
          <w:szCs w:val="28"/>
        </w:rPr>
        <w:lastRenderedPageBreak/>
        <w:t xml:space="preserve">criminal actors, the Constitution </w:t>
      </w:r>
      <w:r w:rsidR="00D56099">
        <w:rPr>
          <w:sz w:val="28"/>
          <w:szCs w:val="28"/>
        </w:rPr>
        <w:t>provides for a parallel, but sometimes</w:t>
      </w:r>
      <w:r w:rsidRPr="00515AEA">
        <w:rPr>
          <w:sz w:val="28"/>
          <w:szCs w:val="28"/>
        </w:rPr>
        <w:t xml:space="preserve"> competing goal—protecting </w:t>
      </w:r>
      <w:r w:rsidR="00B51D55">
        <w:rPr>
          <w:sz w:val="28"/>
          <w:szCs w:val="28"/>
        </w:rPr>
        <w:t>the accused</w:t>
      </w:r>
      <w:r w:rsidRPr="00515AEA">
        <w:rPr>
          <w:sz w:val="28"/>
          <w:szCs w:val="28"/>
        </w:rPr>
        <w:t xml:space="preserve"> from false accusations and unsubstantiated convictions.  The burden </w:t>
      </w:r>
      <w:r w:rsidR="0060325B" w:rsidRPr="00515AEA">
        <w:rPr>
          <w:sz w:val="28"/>
          <w:szCs w:val="28"/>
        </w:rPr>
        <w:t xml:space="preserve">of </w:t>
      </w:r>
      <w:r w:rsidR="0060325B">
        <w:rPr>
          <w:sz w:val="28"/>
          <w:szCs w:val="28"/>
        </w:rPr>
        <w:t>proving</w:t>
      </w:r>
      <w:r w:rsidR="00B51D55">
        <w:rPr>
          <w:sz w:val="28"/>
          <w:szCs w:val="28"/>
        </w:rPr>
        <w:t xml:space="preserve"> all elements of the crime</w:t>
      </w:r>
      <w:r w:rsidR="003F301C">
        <w:rPr>
          <w:sz w:val="28"/>
          <w:szCs w:val="28"/>
        </w:rPr>
        <w:t xml:space="preserve"> </w:t>
      </w:r>
      <w:r w:rsidRPr="00515AEA">
        <w:rPr>
          <w:sz w:val="28"/>
          <w:szCs w:val="28"/>
        </w:rPr>
        <w:t xml:space="preserve">is rightly borne by the </w:t>
      </w:r>
      <w:r w:rsidR="00CB49E6">
        <w:rPr>
          <w:sz w:val="28"/>
          <w:szCs w:val="28"/>
        </w:rPr>
        <w:t>s</w:t>
      </w:r>
      <w:r w:rsidRPr="00515AEA">
        <w:rPr>
          <w:sz w:val="28"/>
          <w:szCs w:val="28"/>
        </w:rPr>
        <w:t xml:space="preserve">tate. </w:t>
      </w:r>
    </w:p>
    <w:p w14:paraId="7B2C01BE" w14:textId="686C1EE9" w:rsidR="00515AEA" w:rsidRPr="00515AEA" w:rsidRDefault="00515AEA" w:rsidP="00903283">
      <w:pPr>
        <w:pStyle w:val="Body"/>
        <w:widowControl w:val="0"/>
        <w:spacing w:line="480" w:lineRule="auto"/>
        <w:ind w:firstLine="720"/>
        <w:jc w:val="both"/>
        <w:rPr>
          <w:sz w:val="28"/>
          <w:szCs w:val="28"/>
        </w:rPr>
      </w:pPr>
      <w:r w:rsidRPr="00515AEA">
        <w:rPr>
          <w:sz w:val="28"/>
          <w:szCs w:val="28"/>
        </w:rPr>
        <w:t xml:space="preserve">Although both the civil and criminal systems rely on an adversarial approach, unlike the rules governing civil cases there exists no avenue for pre-trial summary judgment in criminal cases. </w:t>
      </w:r>
      <w:r w:rsidR="00D56099" w:rsidRPr="00515AEA">
        <w:rPr>
          <w:i/>
          <w:sz w:val="28"/>
          <w:szCs w:val="28"/>
        </w:rPr>
        <w:t>C</w:t>
      </w:r>
      <w:r w:rsidR="00D56099">
        <w:rPr>
          <w:i/>
          <w:sz w:val="28"/>
          <w:szCs w:val="28"/>
        </w:rPr>
        <w:t>f</w:t>
      </w:r>
      <w:r w:rsidR="00D56099">
        <w:rPr>
          <w:sz w:val="28"/>
          <w:szCs w:val="28"/>
        </w:rPr>
        <w:t>.</w:t>
      </w:r>
      <w:r w:rsidRPr="00515AEA">
        <w:rPr>
          <w:sz w:val="28"/>
          <w:szCs w:val="28"/>
        </w:rPr>
        <w:t xml:space="preserve"> </w:t>
      </w:r>
      <w:r w:rsidR="00D56099">
        <w:rPr>
          <w:sz w:val="28"/>
          <w:szCs w:val="28"/>
        </w:rPr>
        <w:t>Ariz. R</w:t>
      </w:r>
      <w:r w:rsidRPr="00515AEA">
        <w:rPr>
          <w:sz w:val="28"/>
          <w:szCs w:val="28"/>
        </w:rPr>
        <w:t>.</w:t>
      </w:r>
      <w:r w:rsidR="00D56099">
        <w:rPr>
          <w:sz w:val="28"/>
          <w:szCs w:val="28"/>
        </w:rPr>
        <w:t xml:space="preserve"> </w:t>
      </w:r>
      <w:r w:rsidRPr="00515AEA">
        <w:rPr>
          <w:sz w:val="28"/>
          <w:szCs w:val="28"/>
        </w:rPr>
        <w:t>Civ.</w:t>
      </w:r>
      <w:r w:rsidR="00D56099">
        <w:rPr>
          <w:sz w:val="28"/>
          <w:szCs w:val="28"/>
        </w:rPr>
        <w:t xml:space="preserve"> </w:t>
      </w:r>
      <w:r w:rsidRPr="00515AEA">
        <w:rPr>
          <w:sz w:val="28"/>
          <w:szCs w:val="28"/>
        </w:rPr>
        <w:t>P.</w:t>
      </w:r>
      <w:r w:rsidR="00D56099">
        <w:rPr>
          <w:sz w:val="28"/>
          <w:szCs w:val="28"/>
        </w:rPr>
        <w:t xml:space="preserve"> 56</w:t>
      </w:r>
      <w:r w:rsidRPr="00515AEA">
        <w:rPr>
          <w:sz w:val="28"/>
          <w:szCs w:val="28"/>
        </w:rPr>
        <w:t xml:space="preserve"> (affording a party “at any time” to seek summary judgment “as a matter of law” where there exists “no genuine issue as to any material fact”)</w:t>
      </w:r>
      <w:r w:rsidR="00D56099">
        <w:rPr>
          <w:sz w:val="28"/>
          <w:szCs w:val="28"/>
        </w:rPr>
        <w:t>.</w:t>
      </w:r>
      <w:r w:rsidRPr="00515AEA">
        <w:rPr>
          <w:sz w:val="28"/>
          <w:szCs w:val="28"/>
        </w:rPr>
        <w:t xml:space="preserve">  The criminally accused, with his</w:t>
      </w:r>
      <w:r w:rsidR="00B51D55">
        <w:rPr>
          <w:sz w:val="28"/>
          <w:szCs w:val="28"/>
        </w:rPr>
        <w:t>/her</w:t>
      </w:r>
      <w:r w:rsidRPr="00515AEA">
        <w:rPr>
          <w:sz w:val="28"/>
          <w:szCs w:val="28"/>
        </w:rPr>
        <w:t xml:space="preserve"> liberty interests </w:t>
      </w:r>
      <w:r w:rsidR="00B51D55">
        <w:rPr>
          <w:sz w:val="28"/>
          <w:szCs w:val="28"/>
        </w:rPr>
        <w:t>at stake</w:t>
      </w:r>
      <w:r w:rsidRPr="00515AEA">
        <w:rPr>
          <w:sz w:val="28"/>
          <w:szCs w:val="28"/>
        </w:rPr>
        <w:t xml:space="preserve">, must await the presentation and conclusion of the prosecutor’s case-in-chief before seeking </w:t>
      </w:r>
      <w:r w:rsidR="00B51D55">
        <w:rPr>
          <w:sz w:val="28"/>
          <w:szCs w:val="28"/>
        </w:rPr>
        <w:t xml:space="preserve">a directed verdict based on insufficient </w:t>
      </w:r>
      <w:r w:rsidR="003B08FE">
        <w:rPr>
          <w:sz w:val="28"/>
          <w:szCs w:val="28"/>
        </w:rPr>
        <w:t xml:space="preserve">evidence </w:t>
      </w:r>
      <w:r w:rsidR="003F301C">
        <w:rPr>
          <w:sz w:val="28"/>
          <w:szCs w:val="28"/>
        </w:rPr>
        <w:t>or some other procedural error. T</w:t>
      </w:r>
      <w:r w:rsidR="00D56099">
        <w:rPr>
          <w:sz w:val="28"/>
          <w:szCs w:val="28"/>
        </w:rPr>
        <w:t xml:space="preserve">he accused must be afforded the opportunity to seek judgment of acquittal </w:t>
      </w:r>
      <w:r w:rsidRPr="00515AEA">
        <w:rPr>
          <w:sz w:val="28"/>
          <w:szCs w:val="28"/>
        </w:rPr>
        <w:t>at the close of the prosecution’s case-in-chief</w:t>
      </w:r>
      <w:r w:rsidR="00D56099">
        <w:rPr>
          <w:sz w:val="28"/>
          <w:szCs w:val="28"/>
        </w:rPr>
        <w:t xml:space="preserve">, </w:t>
      </w:r>
      <w:r w:rsidRPr="00515AEA">
        <w:rPr>
          <w:sz w:val="28"/>
          <w:szCs w:val="28"/>
        </w:rPr>
        <w:t xml:space="preserve">ruled on “with all possible speed.” </w:t>
      </w:r>
      <w:r w:rsidR="00D56099" w:rsidRPr="001F6CC9">
        <w:rPr>
          <w:smallCaps/>
          <w:sz w:val="28"/>
          <w:szCs w:val="28"/>
        </w:rPr>
        <w:t>Ariz. R. Crim. P.</w:t>
      </w:r>
      <w:r w:rsidR="00D56099">
        <w:rPr>
          <w:sz w:val="28"/>
          <w:szCs w:val="28"/>
        </w:rPr>
        <w:t xml:space="preserve"> 20(a). </w:t>
      </w:r>
      <w:r w:rsidRPr="00515AEA">
        <w:rPr>
          <w:sz w:val="28"/>
          <w:szCs w:val="28"/>
        </w:rPr>
        <w:t xml:space="preserve">A criminal defendant has a constitutional right to remain silent and </w:t>
      </w:r>
      <w:r w:rsidR="00CB49E6">
        <w:rPr>
          <w:sz w:val="28"/>
          <w:szCs w:val="28"/>
        </w:rPr>
        <w:t>require</w:t>
      </w:r>
      <w:r w:rsidRPr="00515AEA">
        <w:rPr>
          <w:sz w:val="28"/>
          <w:szCs w:val="28"/>
        </w:rPr>
        <w:t xml:space="preserve"> the prosecution to prove its case based solely upon </w:t>
      </w:r>
      <w:r w:rsidR="00CB49E6">
        <w:rPr>
          <w:sz w:val="28"/>
          <w:szCs w:val="28"/>
        </w:rPr>
        <w:t>the s</w:t>
      </w:r>
      <w:r w:rsidR="00D56099">
        <w:rPr>
          <w:sz w:val="28"/>
          <w:szCs w:val="28"/>
        </w:rPr>
        <w:t>tate’s</w:t>
      </w:r>
      <w:r w:rsidR="00CB49E6">
        <w:rPr>
          <w:sz w:val="28"/>
          <w:szCs w:val="28"/>
        </w:rPr>
        <w:t xml:space="preserve"> evidence. U</w:t>
      </w:r>
      <w:r w:rsidRPr="00515AEA">
        <w:rPr>
          <w:sz w:val="28"/>
          <w:szCs w:val="28"/>
        </w:rPr>
        <w:t xml:space="preserve">nlike civil </w:t>
      </w:r>
      <w:r w:rsidR="00D56099">
        <w:rPr>
          <w:sz w:val="28"/>
          <w:szCs w:val="28"/>
        </w:rPr>
        <w:t>defendants</w:t>
      </w:r>
      <w:r w:rsidRPr="00515AEA">
        <w:rPr>
          <w:sz w:val="28"/>
          <w:szCs w:val="28"/>
        </w:rPr>
        <w:t>, a criminal defendant has no obligation to present any evidence.  For over 100 years, Arizona has held that where a motion to a</w:t>
      </w:r>
      <w:r w:rsidR="00CB49E6">
        <w:rPr>
          <w:sz w:val="28"/>
          <w:szCs w:val="28"/>
        </w:rPr>
        <w:t>cquit made at the close of the s</w:t>
      </w:r>
      <w:r w:rsidRPr="00515AEA">
        <w:rPr>
          <w:sz w:val="28"/>
          <w:szCs w:val="28"/>
        </w:rPr>
        <w:t>tate’s case is overruled</w:t>
      </w:r>
      <w:r w:rsidR="00D56099">
        <w:rPr>
          <w:sz w:val="28"/>
          <w:szCs w:val="28"/>
        </w:rPr>
        <w:t>,</w:t>
      </w:r>
      <w:r w:rsidRPr="00515AEA">
        <w:rPr>
          <w:sz w:val="28"/>
          <w:szCs w:val="28"/>
        </w:rPr>
        <w:t xml:space="preserve"> and the “defendant elects to </w:t>
      </w:r>
      <w:r w:rsidRPr="00515AEA">
        <w:rPr>
          <w:sz w:val="28"/>
          <w:szCs w:val="28"/>
        </w:rPr>
        <w:lastRenderedPageBreak/>
        <w:t xml:space="preserve">go forward with his proof and does not stand on his motion, he takes the chances of having deficiencies in the </w:t>
      </w:r>
      <w:r w:rsidR="00CB49E6">
        <w:rPr>
          <w:sz w:val="28"/>
          <w:szCs w:val="28"/>
        </w:rPr>
        <w:t>s</w:t>
      </w:r>
      <w:r w:rsidRPr="00515AEA">
        <w:rPr>
          <w:sz w:val="28"/>
          <w:szCs w:val="28"/>
        </w:rPr>
        <w:t xml:space="preserve">tate’s case supplied by later testimony of either the defense or prosecution. </w:t>
      </w:r>
      <w:r w:rsidR="00D56099">
        <w:rPr>
          <w:sz w:val="28"/>
          <w:szCs w:val="28"/>
        </w:rPr>
        <w:t>“</w:t>
      </w:r>
      <w:r w:rsidRPr="00515AEA">
        <w:rPr>
          <w:sz w:val="28"/>
          <w:szCs w:val="28"/>
        </w:rPr>
        <w:t xml:space="preserve">(On appeal) [following conviction], the question of sufficiency of the evidence to sustain the verdict * * * is then determined * * * by consideration of all the evidence presented in the case.”  </w:t>
      </w:r>
      <w:r w:rsidRPr="00515AEA">
        <w:rPr>
          <w:i/>
          <w:sz w:val="28"/>
          <w:szCs w:val="28"/>
        </w:rPr>
        <w:t xml:space="preserve">State v. Villegas, </w:t>
      </w:r>
      <w:r w:rsidRPr="001F6CC9">
        <w:rPr>
          <w:sz w:val="28"/>
          <w:szCs w:val="28"/>
        </w:rPr>
        <w:t>101 Ariz. 465, 467, 420 P.2d 940</w:t>
      </w:r>
      <w:r w:rsidR="00D56099">
        <w:rPr>
          <w:sz w:val="28"/>
          <w:szCs w:val="28"/>
        </w:rPr>
        <w:t>, 942</w:t>
      </w:r>
      <w:r w:rsidRPr="001F6CC9">
        <w:rPr>
          <w:sz w:val="28"/>
          <w:szCs w:val="28"/>
        </w:rPr>
        <w:t xml:space="preserve"> (1966)</w:t>
      </w:r>
      <w:r w:rsidR="00D56099">
        <w:rPr>
          <w:sz w:val="28"/>
          <w:szCs w:val="28"/>
        </w:rPr>
        <w:t xml:space="preserve"> (quoting </w:t>
      </w:r>
      <w:r w:rsidR="00D56099" w:rsidRPr="001F6CC9">
        <w:rPr>
          <w:i/>
          <w:sz w:val="28"/>
          <w:szCs w:val="28"/>
        </w:rPr>
        <w:t>State v. Weis</w:t>
      </w:r>
      <w:r w:rsidR="00D56099">
        <w:rPr>
          <w:sz w:val="28"/>
          <w:szCs w:val="28"/>
        </w:rPr>
        <w:t>, 92 Ariz. 254</w:t>
      </w:r>
      <w:r w:rsidR="00285E7C">
        <w:rPr>
          <w:sz w:val="28"/>
          <w:szCs w:val="28"/>
        </w:rPr>
        <w:t>, 261, 375 P.2d 735, 740 (1962)) (omissions in original).</w:t>
      </w:r>
    </w:p>
    <w:p w14:paraId="5F9FAAEB" w14:textId="6AA30099" w:rsidR="003F301C" w:rsidRDefault="00515AEA" w:rsidP="00515AEA">
      <w:pPr>
        <w:pStyle w:val="Body"/>
        <w:widowControl w:val="0"/>
        <w:spacing w:line="480" w:lineRule="auto"/>
        <w:ind w:firstLine="720"/>
        <w:jc w:val="both"/>
        <w:rPr>
          <w:sz w:val="28"/>
          <w:szCs w:val="28"/>
        </w:rPr>
      </w:pPr>
      <w:r w:rsidRPr="00515AEA">
        <w:rPr>
          <w:sz w:val="28"/>
          <w:szCs w:val="28"/>
        </w:rPr>
        <w:t>Thus, after the state rests its case-in-chief</w:t>
      </w:r>
      <w:r w:rsidR="00285E7C">
        <w:rPr>
          <w:sz w:val="28"/>
          <w:szCs w:val="28"/>
        </w:rPr>
        <w:t>,</w:t>
      </w:r>
      <w:r w:rsidRPr="00515AEA">
        <w:rPr>
          <w:sz w:val="28"/>
          <w:szCs w:val="28"/>
        </w:rPr>
        <w:t xml:space="preserve"> a criminal defendant is faced with a choice:  </w:t>
      </w:r>
      <w:r w:rsidR="003B08FE">
        <w:rPr>
          <w:sz w:val="28"/>
          <w:szCs w:val="28"/>
        </w:rPr>
        <w:t>t</w:t>
      </w:r>
      <w:r w:rsidRPr="00515AEA">
        <w:rPr>
          <w:sz w:val="28"/>
          <w:szCs w:val="28"/>
        </w:rPr>
        <w:t xml:space="preserve">he </w:t>
      </w:r>
      <w:r w:rsidR="003B08FE">
        <w:rPr>
          <w:sz w:val="28"/>
          <w:szCs w:val="28"/>
        </w:rPr>
        <w:t xml:space="preserve">defendant </w:t>
      </w:r>
      <w:r w:rsidRPr="00515AEA">
        <w:rPr>
          <w:sz w:val="28"/>
          <w:szCs w:val="28"/>
        </w:rPr>
        <w:t>may forgo his</w:t>
      </w:r>
      <w:r w:rsidR="003B08FE">
        <w:rPr>
          <w:sz w:val="28"/>
          <w:szCs w:val="28"/>
        </w:rPr>
        <w:t>/her</w:t>
      </w:r>
      <w:r w:rsidRPr="00515AEA">
        <w:rPr>
          <w:sz w:val="28"/>
          <w:szCs w:val="28"/>
        </w:rPr>
        <w:t xml:space="preserve"> constitutional right to presen</w:t>
      </w:r>
      <w:r w:rsidR="003F301C">
        <w:rPr>
          <w:sz w:val="28"/>
          <w:szCs w:val="28"/>
        </w:rPr>
        <w:t>t a defense</w:t>
      </w:r>
      <w:r w:rsidR="00CB49E6">
        <w:rPr>
          <w:sz w:val="28"/>
          <w:szCs w:val="28"/>
        </w:rPr>
        <w:t>,</w:t>
      </w:r>
      <w:r w:rsidR="0060325B" w:rsidRPr="00515AEA">
        <w:rPr>
          <w:sz w:val="28"/>
          <w:szCs w:val="28"/>
        </w:rPr>
        <w:t xml:space="preserve"> or</w:t>
      </w:r>
      <w:r w:rsidRPr="00515AEA">
        <w:rPr>
          <w:sz w:val="28"/>
          <w:szCs w:val="28"/>
        </w:rPr>
        <w:t xml:space="preserve"> present a </w:t>
      </w:r>
      <w:r w:rsidR="003B08FE">
        <w:rPr>
          <w:sz w:val="28"/>
          <w:szCs w:val="28"/>
        </w:rPr>
        <w:t>defense</w:t>
      </w:r>
      <w:r w:rsidRPr="00515AEA">
        <w:rPr>
          <w:sz w:val="28"/>
          <w:szCs w:val="28"/>
        </w:rPr>
        <w:t xml:space="preserve">, </w:t>
      </w:r>
      <w:r w:rsidR="003B08FE">
        <w:rPr>
          <w:sz w:val="28"/>
          <w:szCs w:val="28"/>
        </w:rPr>
        <w:t>and</w:t>
      </w:r>
      <w:r w:rsidRPr="00515AEA">
        <w:rPr>
          <w:sz w:val="28"/>
          <w:szCs w:val="28"/>
        </w:rPr>
        <w:t xml:space="preserve"> waive</w:t>
      </w:r>
      <w:r w:rsidR="003F301C">
        <w:rPr>
          <w:sz w:val="28"/>
          <w:szCs w:val="28"/>
        </w:rPr>
        <w:t xml:space="preserve"> any claim that the state’s</w:t>
      </w:r>
      <w:r w:rsidRPr="00515AEA">
        <w:rPr>
          <w:sz w:val="28"/>
          <w:szCs w:val="28"/>
        </w:rPr>
        <w:t xml:space="preserve"> case-in-chief was insufficient as a matter of law</w:t>
      </w:r>
      <w:r w:rsidR="003B08FE">
        <w:rPr>
          <w:sz w:val="28"/>
          <w:szCs w:val="28"/>
        </w:rPr>
        <w:t>.</w:t>
      </w:r>
      <w:r w:rsidR="003F301C">
        <w:rPr>
          <w:sz w:val="28"/>
          <w:szCs w:val="28"/>
        </w:rPr>
        <w:t xml:space="preserve"> T</w:t>
      </w:r>
      <w:r w:rsidRPr="00515AEA">
        <w:rPr>
          <w:sz w:val="28"/>
          <w:szCs w:val="28"/>
        </w:rPr>
        <w:t>he potential waiver of each of these fundamental constitutional rights caused the Arizona Supreme Court to recognize decades ago that a defendant “should not be forced to make his decision in ignorance of the sufficiency of the state’s case.”</w:t>
      </w:r>
      <w:r w:rsidR="00285E7C">
        <w:rPr>
          <w:sz w:val="28"/>
          <w:szCs w:val="28"/>
        </w:rPr>
        <w:t xml:space="preserve"> </w:t>
      </w:r>
      <w:r w:rsidRPr="001F6CC9">
        <w:rPr>
          <w:smallCaps/>
          <w:sz w:val="28"/>
          <w:szCs w:val="28"/>
        </w:rPr>
        <w:t>Ariz. R. Crim. P.</w:t>
      </w:r>
      <w:r w:rsidR="00285E7C" w:rsidRPr="001F6CC9">
        <w:rPr>
          <w:sz w:val="28"/>
          <w:szCs w:val="28"/>
        </w:rPr>
        <w:t xml:space="preserve"> 20 </w:t>
      </w:r>
      <w:proofErr w:type="spellStart"/>
      <w:r w:rsidR="00285E7C" w:rsidRPr="001F6CC9">
        <w:rPr>
          <w:sz w:val="28"/>
          <w:szCs w:val="28"/>
        </w:rPr>
        <w:t>cmt</w:t>
      </w:r>
      <w:proofErr w:type="spellEnd"/>
      <w:r w:rsidR="00285E7C" w:rsidRPr="001F6CC9">
        <w:rPr>
          <w:sz w:val="28"/>
          <w:szCs w:val="28"/>
        </w:rPr>
        <w:t>.</w:t>
      </w:r>
    </w:p>
    <w:p w14:paraId="3145914C" w14:textId="45671407" w:rsidR="00515AEA" w:rsidRPr="00515AEA" w:rsidRDefault="003F301C" w:rsidP="00515AEA">
      <w:pPr>
        <w:pStyle w:val="Body"/>
        <w:widowControl w:val="0"/>
        <w:spacing w:line="480" w:lineRule="auto"/>
        <w:ind w:firstLine="720"/>
        <w:jc w:val="both"/>
        <w:rPr>
          <w:sz w:val="28"/>
          <w:szCs w:val="28"/>
        </w:rPr>
      </w:pPr>
      <w:r>
        <w:rPr>
          <w:sz w:val="28"/>
          <w:szCs w:val="28"/>
        </w:rPr>
        <w:t>It must also be remembered that</w:t>
      </w:r>
      <w:r w:rsidR="00515AEA" w:rsidRPr="00515AEA">
        <w:rPr>
          <w:sz w:val="28"/>
          <w:szCs w:val="28"/>
        </w:rPr>
        <w:t xml:space="preserve"> the prosecutor’s responsibility is not to ensure a conviction, but rather to “see that justice is done on behalf of</w:t>
      </w:r>
      <w:r w:rsidR="00515AEA" w:rsidRPr="00515AEA">
        <w:rPr>
          <w:i/>
          <w:sz w:val="28"/>
          <w:szCs w:val="28"/>
        </w:rPr>
        <w:t xml:space="preserve"> both</w:t>
      </w:r>
      <w:r w:rsidR="00515AEA" w:rsidRPr="00515AEA">
        <w:rPr>
          <w:sz w:val="28"/>
          <w:szCs w:val="28"/>
        </w:rPr>
        <w:t xml:space="preserve"> the victim and the defendants.”  </w:t>
      </w:r>
      <w:r w:rsidR="00515AEA" w:rsidRPr="00515AEA">
        <w:rPr>
          <w:i/>
          <w:sz w:val="28"/>
          <w:szCs w:val="28"/>
        </w:rPr>
        <w:t>State v. Superior Court (Flores)</w:t>
      </w:r>
      <w:r w:rsidR="00515AEA" w:rsidRPr="001F6CC9">
        <w:rPr>
          <w:sz w:val="28"/>
          <w:szCs w:val="28"/>
        </w:rPr>
        <w:t>, 181 Ariz. 378, 382, 891 P.2d 246</w:t>
      </w:r>
      <w:r w:rsidR="00285E7C">
        <w:rPr>
          <w:sz w:val="28"/>
          <w:szCs w:val="28"/>
        </w:rPr>
        <w:t>, 250</w:t>
      </w:r>
      <w:r w:rsidR="00515AEA" w:rsidRPr="001F6CC9">
        <w:rPr>
          <w:sz w:val="28"/>
          <w:szCs w:val="28"/>
        </w:rPr>
        <w:t xml:space="preserve"> (App.</w:t>
      </w:r>
      <w:r w:rsidR="00285E7C">
        <w:rPr>
          <w:sz w:val="28"/>
          <w:szCs w:val="28"/>
        </w:rPr>
        <w:t xml:space="preserve"> </w:t>
      </w:r>
      <w:r w:rsidR="00515AEA" w:rsidRPr="001F6CC9">
        <w:rPr>
          <w:sz w:val="28"/>
          <w:szCs w:val="28"/>
        </w:rPr>
        <w:t xml:space="preserve">1985) </w:t>
      </w:r>
      <w:r w:rsidR="00515AEA" w:rsidRPr="00515AEA">
        <w:rPr>
          <w:sz w:val="28"/>
          <w:szCs w:val="28"/>
        </w:rPr>
        <w:t>(</w:t>
      </w:r>
      <w:r w:rsidR="00515AEA" w:rsidRPr="001F6CC9">
        <w:rPr>
          <w:sz w:val="28"/>
          <w:szCs w:val="28"/>
        </w:rPr>
        <w:t>emphasis</w:t>
      </w:r>
      <w:r>
        <w:rPr>
          <w:sz w:val="28"/>
          <w:szCs w:val="28"/>
        </w:rPr>
        <w:t xml:space="preserve"> in original).</w:t>
      </w:r>
      <w:r w:rsidR="00515AEA" w:rsidRPr="00515AEA">
        <w:rPr>
          <w:sz w:val="28"/>
          <w:szCs w:val="28"/>
        </w:rPr>
        <w:t xml:space="preserve"> Deleting Rule 20(a) as proposed by </w:t>
      </w:r>
      <w:r w:rsidR="00515AEA" w:rsidRPr="00515AEA">
        <w:rPr>
          <w:sz w:val="28"/>
          <w:szCs w:val="28"/>
        </w:rPr>
        <w:lastRenderedPageBreak/>
        <w:t>Petitioner, and modifying the rules to permit evaluation o</w:t>
      </w:r>
      <w:r w:rsidR="00CB49E6">
        <w:rPr>
          <w:sz w:val="28"/>
          <w:szCs w:val="28"/>
        </w:rPr>
        <w:t>f the legal sufficiency of the s</w:t>
      </w:r>
      <w:r w:rsidR="00515AEA" w:rsidRPr="00515AEA">
        <w:rPr>
          <w:sz w:val="28"/>
          <w:szCs w:val="28"/>
        </w:rPr>
        <w:t xml:space="preserve">tate’s case only after a jury verdict is rendered (currently Rule 20(b forces defendants to make </w:t>
      </w:r>
      <w:r w:rsidR="00F71DFE">
        <w:rPr>
          <w:sz w:val="28"/>
          <w:szCs w:val="28"/>
        </w:rPr>
        <w:t xml:space="preserve">a </w:t>
      </w:r>
      <w:r w:rsidR="00515AEA" w:rsidRPr="00515AEA">
        <w:rPr>
          <w:sz w:val="28"/>
          <w:szCs w:val="28"/>
        </w:rPr>
        <w:t>critical decision</w:t>
      </w:r>
      <w:r w:rsidR="00F71DFE">
        <w:rPr>
          <w:sz w:val="28"/>
          <w:szCs w:val="28"/>
        </w:rPr>
        <w:t xml:space="preserve"> on how to proceed with his/her own defense, even if the state’s case is insufficient.</w:t>
      </w:r>
      <w:r>
        <w:rPr>
          <w:sz w:val="28"/>
          <w:szCs w:val="28"/>
        </w:rPr>
        <w:t xml:space="preserve"> </w:t>
      </w:r>
      <w:r w:rsidR="00515AEA" w:rsidRPr="00515AEA">
        <w:rPr>
          <w:sz w:val="28"/>
          <w:szCs w:val="28"/>
        </w:rPr>
        <w:t xml:space="preserve"> </w:t>
      </w:r>
      <w:r w:rsidR="00F71DFE">
        <w:rPr>
          <w:sz w:val="28"/>
          <w:szCs w:val="28"/>
        </w:rPr>
        <w:t xml:space="preserve">Rule 20(a) protects this important procedural protection for a criminal defendant. </w:t>
      </w:r>
    </w:p>
    <w:p w14:paraId="54E3E401" w14:textId="77777777" w:rsidR="00515AEA" w:rsidRPr="00515AEA" w:rsidRDefault="00515AEA" w:rsidP="00515AEA">
      <w:pPr>
        <w:pStyle w:val="Body"/>
        <w:widowControl w:val="0"/>
        <w:spacing w:line="480" w:lineRule="auto"/>
        <w:ind w:firstLine="720"/>
        <w:jc w:val="both"/>
        <w:rPr>
          <w:b/>
          <w:sz w:val="28"/>
          <w:szCs w:val="28"/>
        </w:rPr>
      </w:pPr>
      <w:r w:rsidRPr="00515AEA">
        <w:rPr>
          <w:b/>
          <w:sz w:val="28"/>
          <w:szCs w:val="28"/>
        </w:rPr>
        <w:t>3. Victim Due Process vs. the Due Process Guaranteed to an Accused.</w:t>
      </w:r>
    </w:p>
    <w:p w14:paraId="45AEDA92" w14:textId="3F7849AA" w:rsidR="00515AEA" w:rsidRPr="00515AEA" w:rsidRDefault="00515AEA" w:rsidP="00515AEA">
      <w:pPr>
        <w:pStyle w:val="Body"/>
        <w:widowControl w:val="0"/>
        <w:spacing w:line="480" w:lineRule="auto"/>
        <w:ind w:firstLine="720"/>
        <w:jc w:val="both"/>
        <w:rPr>
          <w:color w:val="212121"/>
          <w:sz w:val="28"/>
          <w:szCs w:val="28"/>
        </w:rPr>
      </w:pPr>
      <w:r w:rsidRPr="00515AEA">
        <w:rPr>
          <w:sz w:val="28"/>
          <w:szCs w:val="28"/>
        </w:rPr>
        <w:t>Petitioner argues that victim “due process in a criminal case should include the right to have final, case-ending judicial decisions reviewed by a higher court.” Pet</w:t>
      </w:r>
      <w:r w:rsidR="00285E7C">
        <w:rPr>
          <w:sz w:val="28"/>
          <w:szCs w:val="28"/>
        </w:rPr>
        <w:t>.</w:t>
      </w:r>
      <w:r w:rsidRPr="00515AEA">
        <w:rPr>
          <w:sz w:val="28"/>
          <w:szCs w:val="28"/>
        </w:rPr>
        <w:t xml:space="preserve"> at 10.  The Arizona Constitution enumerates the due process rights of victims and this is not one of them. </w:t>
      </w:r>
      <w:r w:rsidRPr="001F6CC9">
        <w:rPr>
          <w:smallCaps/>
          <w:sz w:val="28"/>
          <w:szCs w:val="28"/>
        </w:rPr>
        <w:t>Ariz.</w:t>
      </w:r>
      <w:r w:rsidR="00285E7C" w:rsidRPr="001F6CC9">
        <w:rPr>
          <w:smallCaps/>
          <w:sz w:val="28"/>
          <w:szCs w:val="28"/>
        </w:rPr>
        <w:t xml:space="preserve"> </w:t>
      </w:r>
      <w:r w:rsidRPr="001F6CC9">
        <w:rPr>
          <w:smallCaps/>
          <w:sz w:val="28"/>
          <w:szCs w:val="28"/>
        </w:rPr>
        <w:t>Const.</w:t>
      </w:r>
      <w:r w:rsidRPr="001F6CC9">
        <w:rPr>
          <w:sz w:val="28"/>
          <w:szCs w:val="28"/>
        </w:rPr>
        <w:t xml:space="preserve"> </w:t>
      </w:r>
      <w:r w:rsidR="00285E7C">
        <w:rPr>
          <w:sz w:val="28"/>
          <w:szCs w:val="28"/>
        </w:rPr>
        <w:t>a</w:t>
      </w:r>
      <w:r w:rsidRPr="001F6CC9">
        <w:rPr>
          <w:sz w:val="28"/>
          <w:szCs w:val="28"/>
        </w:rPr>
        <w:t xml:space="preserve">rt 2, </w:t>
      </w:r>
      <w:r w:rsidR="00285E7C">
        <w:rPr>
          <w:sz w:val="28"/>
          <w:szCs w:val="28"/>
        </w:rPr>
        <w:t xml:space="preserve">§ </w:t>
      </w:r>
      <w:r w:rsidRPr="001F6CC9">
        <w:rPr>
          <w:sz w:val="28"/>
          <w:szCs w:val="28"/>
        </w:rPr>
        <w:t>2.1(A</w:t>
      </w:r>
      <w:proofErr w:type="gramStart"/>
      <w:r w:rsidRPr="001F6CC9">
        <w:rPr>
          <w:sz w:val="28"/>
          <w:szCs w:val="28"/>
        </w:rPr>
        <w:t>)(</w:t>
      </w:r>
      <w:proofErr w:type="gramEnd"/>
      <w:r w:rsidRPr="001F6CC9">
        <w:rPr>
          <w:sz w:val="28"/>
          <w:szCs w:val="28"/>
        </w:rPr>
        <w:t>1)-(12).</w:t>
      </w:r>
      <w:r w:rsidRPr="00903283">
        <w:rPr>
          <w:sz w:val="28"/>
          <w:szCs w:val="28"/>
        </w:rPr>
        <w:t xml:space="preserve"> </w:t>
      </w:r>
      <w:r w:rsidRPr="00515AEA">
        <w:rPr>
          <w:color w:val="212121"/>
          <w:sz w:val="28"/>
          <w:szCs w:val="28"/>
        </w:rPr>
        <w:t>Although §</w:t>
      </w:r>
      <w:r w:rsidR="00285E7C">
        <w:rPr>
          <w:color w:val="212121"/>
          <w:sz w:val="28"/>
          <w:szCs w:val="28"/>
        </w:rPr>
        <w:t> </w:t>
      </w:r>
      <w:r w:rsidRPr="00515AEA">
        <w:rPr>
          <w:color w:val="212121"/>
          <w:sz w:val="28"/>
          <w:szCs w:val="28"/>
        </w:rPr>
        <w:t xml:space="preserve">2.1(A)(11) grants a “right” to have </w:t>
      </w:r>
      <w:r w:rsidRPr="00515AEA">
        <w:rPr>
          <w:iCs/>
          <w:color w:val="212121"/>
          <w:sz w:val="28"/>
          <w:szCs w:val="28"/>
        </w:rPr>
        <w:t>all rules</w:t>
      </w:r>
      <w:r w:rsidRPr="00515AEA">
        <w:rPr>
          <w:color w:val="212121"/>
          <w:sz w:val="28"/>
          <w:szCs w:val="28"/>
        </w:rPr>
        <w:t xml:space="preserve"> governing criminal procedure protect </w:t>
      </w:r>
      <w:r w:rsidRPr="00515AEA">
        <w:rPr>
          <w:bCs/>
          <w:color w:val="252525"/>
          <w:sz w:val="28"/>
          <w:szCs w:val="28"/>
        </w:rPr>
        <w:t>victims</w:t>
      </w:r>
      <w:r w:rsidRPr="00515AEA">
        <w:rPr>
          <w:color w:val="212121"/>
          <w:sz w:val="28"/>
          <w:szCs w:val="28"/>
        </w:rPr>
        <w:t xml:space="preserve">, in 1990 this Court “narrowly construed” the provision to “deal . . . only with </w:t>
      </w:r>
      <w:r w:rsidRPr="00515AEA">
        <w:rPr>
          <w:i/>
          <w:iCs/>
          <w:color w:val="212121"/>
          <w:sz w:val="28"/>
          <w:szCs w:val="28"/>
        </w:rPr>
        <w:t xml:space="preserve">procedural rules pertaining to </w:t>
      </w:r>
      <w:r w:rsidRPr="00515AEA">
        <w:rPr>
          <w:bCs/>
          <w:i/>
          <w:iCs/>
          <w:color w:val="252525"/>
          <w:sz w:val="28"/>
          <w:szCs w:val="28"/>
        </w:rPr>
        <w:t>victims</w:t>
      </w:r>
      <w:r w:rsidRPr="00515AEA">
        <w:rPr>
          <w:color w:val="212121"/>
          <w:sz w:val="28"/>
          <w:szCs w:val="28"/>
        </w:rPr>
        <w:t xml:space="preserve"> and not with the substantive general subject of the [supreme court's] rule making power.” </w:t>
      </w:r>
      <w:hyperlink r:id="rId8" w:history="1">
        <w:r w:rsidRPr="00515AEA">
          <w:rPr>
            <w:i/>
            <w:iCs/>
            <w:sz w:val="28"/>
            <w:szCs w:val="28"/>
          </w:rPr>
          <w:t>Slayton v. Shumway</w:t>
        </w:r>
        <w:r w:rsidRPr="001F6CC9">
          <w:rPr>
            <w:iCs/>
            <w:sz w:val="28"/>
            <w:szCs w:val="28"/>
          </w:rPr>
          <w:t>,</w:t>
        </w:r>
        <w:r w:rsidRPr="00515AEA">
          <w:rPr>
            <w:i/>
            <w:iCs/>
            <w:sz w:val="28"/>
            <w:szCs w:val="28"/>
          </w:rPr>
          <w:t xml:space="preserve"> </w:t>
        </w:r>
        <w:r w:rsidRPr="00515AEA">
          <w:rPr>
            <w:iCs/>
            <w:sz w:val="28"/>
            <w:szCs w:val="28"/>
          </w:rPr>
          <w:t>166 Ariz. 87, 92, 800 P.2d 590</w:t>
        </w:r>
        <w:r w:rsidR="004B03A8">
          <w:rPr>
            <w:iCs/>
            <w:sz w:val="28"/>
            <w:szCs w:val="28"/>
          </w:rPr>
          <w:t>, 595</w:t>
        </w:r>
        <w:r w:rsidRPr="00515AEA">
          <w:rPr>
            <w:iCs/>
            <w:sz w:val="28"/>
            <w:szCs w:val="28"/>
          </w:rPr>
          <w:t xml:space="preserve"> (1990)</w:t>
        </w:r>
      </w:hyperlink>
      <w:r w:rsidR="00285E7C">
        <w:rPr>
          <w:iCs/>
          <w:sz w:val="28"/>
          <w:szCs w:val="28"/>
        </w:rPr>
        <w:t xml:space="preserve"> </w:t>
      </w:r>
      <w:r w:rsidRPr="00515AEA">
        <w:rPr>
          <w:color w:val="212121"/>
          <w:sz w:val="28"/>
          <w:szCs w:val="28"/>
        </w:rPr>
        <w:t>(emphasis added).</w:t>
      </w:r>
    </w:p>
    <w:p w14:paraId="6003F591" w14:textId="712212A0" w:rsidR="00515AEA" w:rsidRPr="00515AEA" w:rsidRDefault="00515AEA" w:rsidP="00515AEA">
      <w:pPr>
        <w:pStyle w:val="Body"/>
        <w:widowControl w:val="0"/>
        <w:spacing w:line="480" w:lineRule="auto"/>
        <w:ind w:firstLine="720"/>
        <w:jc w:val="both"/>
        <w:rPr>
          <w:sz w:val="28"/>
          <w:szCs w:val="28"/>
        </w:rPr>
      </w:pPr>
      <w:r w:rsidRPr="00515AEA">
        <w:rPr>
          <w:color w:val="212121"/>
          <w:sz w:val="28"/>
          <w:szCs w:val="28"/>
        </w:rPr>
        <w:t xml:space="preserve">The Arizona Supreme Court has consistently held that the “scope of legislative rulemaking power under </w:t>
      </w:r>
      <w:r w:rsidR="004B03A8">
        <w:rPr>
          <w:color w:val="212121"/>
          <w:sz w:val="28"/>
          <w:szCs w:val="28"/>
        </w:rPr>
        <w:t xml:space="preserve">the </w:t>
      </w:r>
      <w:r w:rsidRPr="00515AEA">
        <w:rPr>
          <w:color w:val="212121"/>
          <w:sz w:val="28"/>
          <w:szCs w:val="28"/>
        </w:rPr>
        <w:t xml:space="preserve">VBR extends to those rules that define, implement, preserve, and protect </w:t>
      </w:r>
      <w:r w:rsidRPr="00515AEA">
        <w:rPr>
          <w:i/>
          <w:color w:val="212121"/>
          <w:sz w:val="28"/>
          <w:szCs w:val="28"/>
        </w:rPr>
        <w:t>t</w:t>
      </w:r>
      <w:r w:rsidRPr="00515AEA">
        <w:rPr>
          <w:i/>
          <w:iCs/>
          <w:color w:val="212121"/>
          <w:sz w:val="28"/>
          <w:szCs w:val="28"/>
        </w:rPr>
        <w:t>he specific</w:t>
      </w:r>
      <w:r w:rsidRPr="00515AEA">
        <w:rPr>
          <w:color w:val="212121"/>
          <w:sz w:val="28"/>
          <w:szCs w:val="28"/>
        </w:rPr>
        <w:t xml:space="preserve"> rights </w:t>
      </w:r>
      <w:r w:rsidRPr="00515AEA">
        <w:rPr>
          <w:i/>
          <w:iCs/>
          <w:color w:val="212121"/>
          <w:sz w:val="28"/>
          <w:szCs w:val="28"/>
        </w:rPr>
        <w:t>unique</w:t>
      </w:r>
      <w:r w:rsidRPr="00515AEA">
        <w:rPr>
          <w:color w:val="212121"/>
          <w:sz w:val="28"/>
          <w:szCs w:val="28"/>
        </w:rPr>
        <w:t xml:space="preserve"> and </w:t>
      </w:r>
      <w:r w:rsidRPr="00515AEA">
        <w:rPr>
          <w:i/>
          <w:iCs/>
          <w:color w:val="212121"/>
          <w:sz w:val="28"/>
          <w:szCs w:val="28"/>
        </w:rPr>
        <w:t>peculiar</w:t>
      </w:r>
      <w:r w:rsidRPr="00515AEA">
        <w:rPr>
          <w:color w:val="212121"/>
          <w:sz w:val="28"/>
          <w:szCs w:val="28"/>
        </w:rPr>
        <w:t xml:space="preserve"> to crime </w:t>
      </w:r>
      <w:r w:rsidRPr="00515AEA">
        <w:rPr>
          <w:bCs/>
          <w:color w:val="252525"/>
          <w:sz w:val="28"/>
          <w:szCs w:val="28"/>
        </w:rPr>
        <w:lastRenderedPageBreak/>
        <w:t>victims</w:t>
      </w:r>
      <w:r w:rsidRPr="00515AEA">
        <w:rPr>
          <w:color w:val="212121"/>
          <w:sz w:val="28"/>
          <w:szCs w:val="28"/>
        </w:rPr>
        <w:t xml:space="preserve">, as guaranteed and </w:t>
      </w:r>
      <w:r w:rsidRPr="00515AEA">
        <w:rPr>
          <w:i/>
          <w:iCs/>
          <w:color w:val="212121"/>
          <w:sz w:val="28"/>
          <w:szCs w:val="28"/>
        </w:rPr>
        <w:t>created by</w:t>
      </w:r>
      <w:r w:rsidRPr="00515AEA">
        <w:rPr>
          <w:color w:val="212121"/>
          <w:sz w:val="28"/>
          <w:szCs w:val="28"/>
        </w:rPr>
        <w:t xml:space="preserve"> the VBR.” </w:t>
      </w:r>
      <w:hyperlink r:id="rId9" w:history="1">
        <w:r w:rsidRPr="00515AEA">
          <w:rPr>
            <w:i/>
            <w:iCs/>
            <w:sz w:val="28"/>
            <w:szCs w:val="28"/>
          </w:rPr>
          <w:t xml:space="preserve">State v. Brown, </w:t>
        </w:r>
        <w:r w:rsidRPr="00515AEA">
          <w:rPr>
            <w:iCs/>
            <w:sz w:val="28"/>
            <w:szCs w:val="28"/>
          </w:rPr>
          <w:t>194 Ariz. 340, 343, 982 P.2d 815</w:t>
        </w:r>
        <w:r w:rsidR="004B03A8">
          <w:rPr>
            <w:iCs/>
            <w:sz w:val="28"/>
            <w:szCs w:val="28"/>
          </w:rPr>
          <w:t>, 818</w:t>
        </w:r>
        <w:r w:rsidRPr="00515AEA">
          <w:rPr>
            <w:iCs/>
            <w:sz w:val="28"/>
            <w:szCs w:val="28"/>
          </w:rPr>
          <w:t xml:space="preserve"> (1999)</w:t>
        </w:r>
      </w:hyperlink>
      <w:r w:rsidR="004B03A8">
        <w:rPr>
          <w:iCs/>
          <w:sz w:val="28"/>
          <w:szCs w:val="28"/>
        </w:rPr>
        <w:t xml:space="preserve"> </w:t>
      </w:r>
      <w:r w:rsidRPr="00515AEA">
        <w:rPr>
          <w:color w:val="212121"/>
          <w:sz w:val="28"/>
          <w:szCs w:val="28"/>
        </w:rPr>
        <w:t>(</w:t>
      </w:r>
      <w:r w:rsidRPr="001F6CC9">
        <w:rPr>
          <w:iCs/>
          <w:color w:val="212121"/>
          <w:sz w:val="28"/>
          <w:szCs w:val="28"/>
        </w:rPr>
        <w:t>emphasis</w:t>
      </w:r>
      <w:r w:rsidRPr="00515AEA">
        <w:rPr>
          <w:color w:val="212121"/>
          <w:sz w:val="28"/>
          <w:szCs w:val="28"/>
        </w:rPr>
        <w:t xml:space="preserve"> added); </w:t>
      </w:r>
      <w:hyperlink r:id="rId10" w:history="1">
        <w:r w:rsidR="004B03A8" w:rsidRPr="00515AEA">
          <w:rPr>
            <w:i/>
            <w:iCs/>
            <w:sz w:val="28"/>
            <w:szCs w:val="28"/>
          </w:rPr>
          <w:t xml:space="preserve">State v. Hansen, </w:t>
        </w:r>
        <w:r w:rsidR="004B03A8" w:rsidRPr="00515AEA">
          <w:rPr>
            <w:iCs/>
            <w:sz w:val="28"/>
            <w:szCs w:val="28"/>
          </w:rPr>
          <w:t>215 Ariz. 287, 290, 160 P.3d 166</w:t>
        </w:r>
        <w:r w:rsidR="004B03A8">
          <w:rPr>
            <w:iCs/>
            <w:sz w:val="28"/>
            <w:szCs w:val="28"/>
          </w:rPr>
          <w:t>, 169</w:t>
        </w:r>
        <w:r w:rsidR="004B03A8" w:rsidRPr="00515AEA">
          <w:rPr>
            <w:iCs/>
            <w:sz w:val="28"/>
            <w:szCs w:val="28"/>
          </w:rPr>
          <w:t xml:space="preserve"> (2007)</w:t>
        </w:r>
      </w:hyperlink>
      <w:r w:rsidR="004B03A8">
        <w:rPr>
          <w:iCs/>
          <w:sz w:val="28"/>
          <w:szCs w:val="28"/>
        </w:rPr>
        <w:t xml:space="preserve">; </w:t>
      </w:r>
      <w:hyperlink r:id="rId11" w:history="1">
        <w:proofErr w:type="spellStart"/>
        <w:r w:rsidRPr="00515AEA">
          <w:rPr>
            <w:i/>
            <w:iCs/>
            <w:sz w:val="28"/>
            <w:szCs w:val="28"/>
          </w:rPr>
          <w:t>Champlin</w:t>
        </w:r>
        <w:proofErr w:type="spellEnd"/>
        <w:r w:rsidRPr="00515AEA">
          <w:rPr>
            <w:i/>
            <w:iCs/>
            <w:sz w:val="28"/>
            <w:szCs w:val="28"/>
          </w:rPr>
          <w:t xml:space="preserve"> v. </w:t>
        </w:r>
        <w:proofErr w:type="spellStart"/>
        <w:r w:rsidRPr="00515AEA">
          <w:rPr>
            <w:i/>
            <w:iCs/>
            <w:sz w:val="28"/>
            <w:szCs w:val="28"/>
          </w:rPr>
          <w:t>Sargeant</w:t>
        </w:r>
        <w:proofErr w:type="spellEnd"/>
        <w:r w:rsidRPr="00515AEA">
          <w:rPr>
            <w:i/>
            <w:iCs/>
            <w:sz w:val="28"/>
            <w:szCs w:val="28"/>
          </w:rPr>
          <w:t xml:space="preserve">, </w:t>
        </w:r>
        <w:r w:rsidRPr="00515AEA">
          <w:rPr>
            <w:iCs/>
            <w:sz w:val="28"/>
            <w:szCs w:val="28"/>
          </w:rPr>
          <w:t>192 Ariz.</w:t>
        </w:r>
        <w:r w:rsidRPr="00515AEA">
          <w:rPr>
            <w:i/>
            <w:iCs/>
            <w:sz w:val="28"/>
            <w:szCs w:val="28"/>
          </w:rPr>
          <w:t xml:space="preserve"> </w:t>
        </w:r>
        <w:r w:rsidRPr="00515AEA">
          <w:rPr>
            <w:iCs/>
            <w:sz w:val="28"/>
            <w:szCs w:val="28"/>
          </w:rPr>
          <w:t>371, 373 n.2, 965 P.2d 763</w:t>
        </w:r>
        <w:r w:rsidR="004B03A8">
          <w:rPr>
            <w:iCs/>
            <w:sz w:val="28"/>
            <w:szCs w:val="28"/>
          </w:rPr>
          <w:t>, 765 n.2</w:t>
        </w:r>
        <w:r w:rsidRPr="00515AEA">
          <w:rPr>
            <w:iCs/>
            <w:sz w:val="28"/>
            <w:szCs w:val="28"/>
          </w:rPr>
          <w:t xml:space="preserve"> (1998)</w:t>
        </w:r>
      </w:hyperlink>
      <w:r w:rsidR="004B03A8">
        <w:rPr>
          <w:iCs/>
          <w:sz w:val="28"/>
          <w:szCs w:val="28"/>
        </w:rPr>
        <w:t xml:space="preserve"> </w:t>
      </w:r>
      <w:r w:rsidRPr="00515AEA">
        <w:rPr>
          <w:color w:val="212121"/>
          <w:sz w:val="28"/>
          <w:szCs w:val="28"/>
        </w:rPr>
        <w:t>(</w:t>
      </w:r>
      <w:r w:rsidR="004B03A8">
        <w:rPr>
          <w:color w:val="212121"/>
          <w:sz w:val="28"/>
          <w:szCs w:val="28"/>
        </w:rPr>
        <w:t xml:space="preserve">stating that </w:t>
      </w:r>
      <w:r w:rsidRPr="00515AEA">
        <w:rPr>
          <w:color w:val="212121"/>
          <w:sz w:val="28"/>
          <w:szCs w:val="28"/>
        </w:rPr>
        <w:t>rulemaking power under the VBR “extends only so far as necessary to protect rights created by the [VBR] and not beyond”)</w:t>
      </w:r>
      <w:r w:rsidRPr="00515AEA">
        <w:rPr>
          <w:i/>
          <w:iCs/>
          <w:sz w:val="28"/>
          <w:szCs w:val="28"/>
        </w:rPr>
        <w:t>.</w:t>
      </w:r>
    </w:p>
    <w:p w14:paraId="0F57FB85" w14:textId="5BF5FD1E" w:rsidR="00515AEA" w:rsidRPr="003F301C" w:rsidRDefault="00515AEA" w:rsidP="003F301C">
      <w:pPr>
        <w:spacing w:line="480" w:lineRule="auto"/>
        <w:ind w:firstLine="720"/>
        <w:jc w:val="both"/>
        <w:rPr>
          <w:i/>
          <w:iCs/>
          <w:sz w:val="28"/>
          <w:szCs w:val="28"/>
        </w:rPr>
      </w:pPr>
      <w:r w:rsidRPr="00515AEA">
        <w:rPr>
          <w:i/>
          <w:iCs/>
          <w:color w:val="212121"/>
          <w:sz w:val="28"/>
          <w:szCs w:val="28"/>
        </w:rPr>
        <w:t>Slayton</w:t>
      </w:r>
      <w:r w:rsidRPr="00515AEA">
        <w:rPr>
          <w:color w:val="212121"/>
          <w:sz w:val="28"/>
          <w:szCs w:val="28"/>
        </w:rPr>
        <w:t xml:space="preserve"> and its progeny make clear</w:t>
      </w:r>
      <w:r w:rsidR="004B03A8">
        <w:rPr>
          <w:color w:val="212121"/>
          <w:sz w:val="28"/>
          <w:szCs w:val="28"/>
        </w:rPr>
        <w:t xml:space="preserve"> that</w:t>
      </w:r>
      <w:r w:rsidRPr="00515AEA">
        <w:rPr>
          <w:color w:val="212121"/>
          <w:sz w:val="28"/>
          <w:szCs w:val="28"/>
        </w:rPr>
        <w:t xml:space="preserve"> §</w:t>
      </w:r>
      <w:r w:rsidR="004B03A8">
        <w:rPr>
          <w:color w:val="212121"/>
          <w:sz w:val="28"/>
          <w:szCs w:val="28"/>
        </w:rPr>
        <w:t> </w:t>
      </w:r>
      <w:r w:rsidRPr="00515AEA">
        <w:rPr>
          <w:color w:val="212121"/>
          <w:sz w:val="28"/>
          <w:szCs w:val="28"/>
        </w:rPr>
        <w:t>2.1(A</w:t>
      </w:r>
      <w:proofErr w:type="gramStart"/>
      <w:r w:rsidRPr="00515AEA">
        <w:rPr>
          <w:color w:val="212121"/>
          <w:sz w:val="28"/>
          <w:szCs w:val="28"/>
        </w:rPr>
        <w:t>)(</w:t>
      </w:r>
      <w:proofErr w:type="gramEnd"/>
      <w:r w:rsidRPr="00515AEA">
        <w:rPr>
          <w:color w:val="212121"/>
          <w:sz w:val="28"/>
          <w:szCs w:val="28"/>
        </w:rPr>
        <w:t xml:space="preserve">11) cannot require consideration of VBR in connection with all </w:t>
      </w:r>
      <w:hyperlink r:id="rId12" w:anchor="co_pp_sp_156_89" w:history="1">
        <w:r w:rsidRPr="00515AEA">
          <w:rPr>
            <w:sz w:val="28"/>
            <w:szCs w:val="28"/>
          </w:rPr>
          <w:t xml:space="preserve">Arizona Rules of Criminal Procedure. </w:t>
        </w:r>
        <w:r w:rsidRPr="00515AEA">
          <w:rPr>
            <w:iCs/>
            <w:sz w:val="28"/>
            <w:szCs w:val="28"/>
          </w:rPr>
          <w:t>166 Ariz. at</w:t>
        </w:r>
        <w:r w:rsidRPr="00515AEA">
          <w:rPr>
            <w:i/>
            <w:iCs/>
            <w:sz w:val="28"/>
            <w:szCs w:val="28"/>
          </w:rPr>
          <w:t xml:space="preserve"> </w:t>
        </w:r>
        <w:r w:rsidRPr="00515AEA">
          <w:rPr>
            <w:iCs/>
            <w:sz w:val="28"/>
            <w:szCs w:val="28"/>
          </w:rPr>
          <w:t>89, 92</w:t>
        </w:r>
      </w:hyperlink>
      <w:r w:rsidR="004B03A8">
        <w:rPr>
          <w:sz w:val="28"/>
          <w:szCs w:val="28"/>
        </w:rPr>
        <w:t>, 800 P.2d at 592, 595.</w:t>
      </w:r>
      <w:r w:rsidRPr="00515AEA">
        <w:rPr>
          <w:sz w:val="28"/>
          <w:szCs w:val="28"/>
        </w:rPr>
        <w:t xml:space="preserve">  </w:t>
      </w:r>
      <w:r w:rsidRPr="00515AEA">
        <w:rPr>
          <w:color w:val="212121"/>
          <w:sz w:val="28"/>
          <w:szCs w:val="28"/>
        </w:rPr>
        <w:t xml:space="preserve">As explained in </w:t>
      </w:r>
      <w:hyperlink r:id="rId13" w:history="1">
        <w:r w:rsidRPr="00515AEA">
          <w:rPr>
            <w:i/>
            <w:iCs/>
            <w:sz w:val="28"/>
            <w:szCs w:val="28"/>
          </w:rPr>
          <w:t>Day v. Superior Court</w:t>
        </w:r>
        <w:r w:rsidRPr="00515AEA">
          <w:rPr>
            <w:iCs/>
            <w:sz w:val="28"/>
            <w:szCs w:val="28"/>
          </w:rPr>
          <w:t>, 170 Ariz. 215, 216, 823 P.2d 82</w:t>
        </w:r>
        <w:r w:rsidR="004B03A8">
          <w:rPr>
            <w:iCs/>
            <w:sz w:val="28"/>
            <w:szCs w:val="28"/>
          </w:rPr>
          <w:t>, 83</w:t>
        </w:r>
        <w:r w:rsidRPr="00515AEA">
          <w:rPr>
            <w:iCs/>
            <w:sz w:val="28"/>
            <w:szCs w:val="28"/>
          </w:rPr>
          <w:t xml:space="preserve"> (App. 1992)</w:t>
        </w:r>
      </w:hyperlink>
      <w:r w:rsidRPr="001F6CC9">
        <w:rPr>
          <w:iCs/>
          <w:color w:val="212121"/>
          <w:sz w:val="28"/>
          <w:szCs w:val="28"/>
        </w:rPr>
        <w:t>,</w:t>
      </w:r>
      <w:r w:rsidRPr="00515AEA">
        <w:rPr>
          <w:color w:val="212121"/>
          <w:sz w:val="28"/>
          <w:szCs w:val="28"/>
        </w:rPr>
        <w:t xml:space="preserve"> “[§2.1(A</w:t>
      </w:r>
      <w:proofErr w:type="gramStart"/>
      <w:r w:rsidRPr="00515AEA">
        <w:rPr>
          <w:color w:val="212121"/>
          <w:sz w:val="28"/>
          <w:szCs w:val="28"/>
        </w:rPr>
        <w:t>)(</w:t>
      </w:r>
      <w:proofErr w:type="gramEnd"/>
      <w:r w:rsidRPr="00515AEA">
        <w:rPr>
          <w:color w:val="212121"/>
          <w:sz w:val="28"/>
          <w:szCs w:val="28"/>
        </w:rPr>
        <w:t xml:space="preserve">11)] merely provides the mechanism to protect rights </w:t>
      </w:r>
      <w:r w:rsidRPr="00515AEA">
        <w:rPr>
          <w:i/>
          <w:iCs/>
          <w:color w:val="212121"/>
          <w:sz w:val="28"/>
          <w:szCs w:val="28"/>
        </w:rPr>
        <w:t>created</w:t>
      </w:r>
      <w:r w:rsidRPr="00515AEA">
        <w:rPr>
          <w:color w:val="212121"/>
          <w:sz w:val="28"/>
          <w:szCs w:val="28"/>
        </w:rPr>
        <w:t xml:space="preserve"> by the </w:t>
      </w:r>
      <w:r w:rsidRPr="00515AEA">
        <w:rPr>
          <w:bCs/>
          <w:color w:val="252525"/>
          <w:sz w:val="28"/>
          <w:szCs w:val="28"/>
        </w:rPr>
        <w:t>Victim's</w:t>
      </w:r>
      <w:r w:rsidRPr="00515AEA">
        <w:rPr>
          <w:color w:val="212121"/>
          <w:sz w:val="28"/>
          <w:szCs w:val="28"/>
        </w:rPr>
        <w:t xml:space="preserve"> Bill of Rights”</w:t>
      </w:r>
      <w:r w:rsidR="004B03A8">
        <w:rPr>
          <w:color w:val="212121"/>
          <w:sz w:val="28"/>
          <w:szCs w:val="28"/>
        </w:rPr>
        <w:t xml:space="preserve"> (emphasis added).</w:t>
      </w:r>
      <w:r w:rsidRPr="00515AEA">
        <w:rPr>
          <w:color w:val="212121"/>
          <w:sz w:val="28"/>
          <w:szCs w:val="28"/>
        </w:rPr>
        <w:t xml:space="preserve"> An accused’s Due Process and Double Jeopardy guarantees are superior to any state constitutional “due process” or right to be “treated with fairness” granted by VBR.  </w:t>
      </w:r>
      <w:hyperlink r:id="rId14" w:history="1">
        <w:r w:rsidRPr="00515AEA">
          <w:rPr>
            <w:i/>
            <w:iCs/>
            <w:sz w:val="28"/>
            <w:szCs w:val="28"/>
          </w:rPr>
          <w:t xml:space="preserve">State v. Riggs, </w:t>
        </w:r>
        <w:r w:rsidRPr="00515AEA">
          <w:rPr>
            <w:iCs/>
            <w:sz w:val="28"/>
            <w:szCs w:val="28"/>
          </w:rPr>
          <w:t>189 Ariz. 327, 330, 942 P.2d 1159</w:t>
        </w:r>
        <w:r w:rsidR="004B03A8">
          <w:rPr>
            <w:iCs/>
            <w:sz w:val="28"/>
            <w:szCs w:val="28"/>
          </w:rPr>
          <w:t>, 1162</w:t>
        </w:r>
        <w:r w:rsidRPr="00515AEA">
          <w:rPr>
            <w:iCs/>
            <w:sz w:val="28"/>
            <w:szCs w:val="28"/>
          </w:rPr>
          <w:t xml:space="preserve"> (1997)</w:t>
        </w:r>
      </w:hyperlink>
      <w:r w:rsidRPr="00515AEA">
        <w:rPr>
          <w:i/>
          <w:iCs/>
          <w:sz w:val="28"/>
          <w:szCs w:val="28"/>
        </w:rPr>
        <w:t xml:space="preserve">; </w:t>
      </w:r>
      <w:hyperlink r:id="rId15" w:history="1">
        <w:r w:rsidRPr="00515AEA">
          <w:rPr>
            <w:i/>
            <w:iCs/>
            <w:sz w:val="28"/>
            <w:szCs w:val="28"/>
          </w:rPr>
          <w:t xml:space="preserve">State v. Bible, </w:t>
        </w:r>
        <w:r w:rsidRPr="00515AEA">
          <w:rPr>
            <w:iCs/>
            <w:sz w:val="28"/>
            <w:szCs w:val="28"/>
          </w:rPr>
          <w:t>175 Ariz. 549, 603, 858 P.2d 1152</w:t>
        </w:r>
        <w:r w:rsidR="008760BB">
          <w:rPr>
            <w:iCs/>
            <w:sz w:val="28"/>
            <w:szCs w:val="28"/>
          </w:rPr>
          <w:t>, 1206</w:t>
        </w:r>
        <w:r w:rsidRPr="00515AEA">
          <w:rPr>
            <w:iCs/>
            <w:sz w:val="28"/>
            <w:szCs w:val="28"/>
          </w:rPr>
          <w:t xml:space="preserve"> (1993)</w:t>
        </w:r>
      </w:hyperlink>
      <w:r w:rsidRPr="00515AEA">
        <w:rPr>
          <w:i/>
          <w:iCs/>
          <w:sz w:val="28"/>
          <w:szCs w:val="28"/>
        </w:rPr>
        <w:t>;</w:t>
      </w:r>
      <w:r w:rsidRPr="00515AEA">
        <w:rPr>
          <w:i/>
          <w:iCs/>
          <w:color w:val="212121"/>
          <w:sz w:val="28"/>
          <w:szCs w:val="28"/>
        </w:rPr>
        <w:t xml:space="preserve"> </w:t>
      </w:r>
      <w:proofErr w:type="spellStart"/>
      <w:r w:rsidRPr="00515AEA">
        <w:rPr>
          <w:i/>
          <w:iCs/>
          <w:color w:val="212121"/>
          <w:sz w:val="28"/>
          <w:szCs w:val="28"/>
        </w:rPr>
        <w:t>Romley</w:t>
      </w:r>
      <w:proofErr w:type="spellEnd"/>
      <w:r w:rsidRPr="00515AEA">
        <w:rPr>
          <w:i/>
          <w:iCs/>
          <w:color w:val="212121"/>
          <w:sz w:val="28"/>
          <w:szCs w:val="28"/>
        </w:rPr>
        <w:t xml:space="preserve"> v. Superior Court, </w:t>
      </w:r>
      <w:r w:rsidRPr="00515AEA">
        <w:rPr>
          <w:iCs/>
          <w:color w:val="212121"/>
          <w:sz w:val="28"/>
          <w:szCs w:val="28"/>
        </w:rPr>
        <w:t>172 Ariz</w:t>
      </w:r>
      <w:r w:rsidR="008760BB">
        <w:rPr>
          <w:iCs/>
          <w:color w:val="212121"/>
          <w:sz w:val="28"/>
          <w:szCs w:val="28"/>
        </w:rPr>
        <w:t xml:space="preserve">. </w:t>
      </w:r>
      <w:r w:rsidRPr="00515AEA">
        <w:rPr>
          <w:iCs/>
          <w:color w:val="212121"/>
          <w:sz w:val="28"/>
          <w:szCs w:val="28"/>
        </w:rPr>
        <w:t>232,</w:t>
      </w:r>
      <w:r w:rsidRPr="00515AEA">
        <w:rPr>
          <w:i/>
          <w:iCs/>
          <w:color w:val="212121"/>
          <w:sz w:val="28"/>
          <w:szCs w:val="28"/>
        </w:rPr>
        <w:t xml:space="preserve"> </w:t>
      </w:r>
      <w:r w:rsidRPr="00515AEA">
        <w:rPr>
          <w:iCs/>
          <w:color w:val="212121"/>
          <w:sz w:val="28"/>
          <w:szCs w:val="28"/>
        </w:rPr>
        <w:t xml:space="preserve">236, </w:t>
      </w:r>
      <w:hyperlink r:id="rId16" w:history="1">
        <w:r w:rsidRPr="00515AEA">
          <w:rPr>
            <w:iCs/>
            <w:sz w:val="28"/>
            <w:szCs w:val="28"/>
          </w:rPr>
          <w:t>836 P.2d 445</w:t>
        </w:r>
        <w:r w:rsidR="008760BB">
          <w:rPr>
            <w:iCs/>
            <w:sz w:val="28"/>
            <w:szCs w:val="28"/>
          </w:rPr>
          <w:t>, 449</w:t>
        </w:r>
        <w:r w:rsidRPr="00515AEA">
          <w:rPr>
            <w:iCs/>
            <w:sz w:val="28"/>
            <w:szCs w:val="28"/>
          </w:rPr>
          <w:t xml:space="preserve"> (App. 1992)</w:t>
        </w:r>
      </w:hyperlink>
      <w:r w:rsidRPr="00515AEA">
        <w:rPr>
          <w:i/>
          <w:iCs/>
          <w:sz w:val="28"/>
          <w:szCs w:val="28"/>
        </w:rPr>
        <w:t>.</w:t>
      </w:r>
      <w:r w:rsidR="003F301C">
        <w:rPr>
          <w:i/>
          <w:iCs/>
          <w:sz w:val="28"/>
          <w:szCs w:val="28"/>
        </w:rPr>
        <w:t xml:space="preserve"> </w:t>
      </w:r>
      <w:r w:rsidRPr="00515AEA">
        <w:rPr>
          <w:sz w:val="28"/>
          <w:szCs w:val="28"/>
        </w:rPr>
        <w:t xml:space="preserve">Rule 20(a) promotes the interests of all involved in the </w:t>
      </w:r>
      <w:r w:rsidR="003F301C">
        <w:rPr>
          <w:sz w:val="28"/>
          <w:szCs w:val="28"/>
        </w:rPr>
        <w:t xml:space="preserve">criminal </w:t>
      </w:r>
      <w:r w:rsidRPr="00515AEA">
        <w:rPr>
          <w:sz w:val="28"/>
          <w:szCs w:val="28"/>
        </w:rPr>
        <w:t xml:space="preserve">process. </w:t>
      </w:r>
    </w:p>
    <w:p w14:paraId="3D58D031" w14:textId="3DDEA3A1" w:rsidR="00515AEA" w:rsidRPr="00515AEA" w:rsidRDefault="00515AEA" w:rsidP="00515AEA">
      <w:pPr>
        <w:pStyle w:val="Body"/>
        <w:widowControl w:val="0"/>
        <w:numPr>
          <w:ilvl w:val="0"/>
          <w:numId w:val="18"/>
        </w:numPr>
        <w:spacing w:line="480" w:lineRule="auto"/>
        <w:jc w:val="both"/>
        <w:rPr>
          <w:b/>
          <w:sz w:val="28"/>
          <w:szCs w:val="28"/>
        </w:rPr>
      </w:pPr>
      <w:r w:rsidRPr="00515AEA">
        <w:rPr>
          <w:b/>
          <w:sz w:val="28"/>
          <w:szCs w:val="28"/>
        </w:rPr>
        <w:t>SUFFICIENCY OF AGGRAVATING CIRCUMSTANCES</w:t>
      </w:r>
    </w:p>
    <w:p w14:paraId="5EF80C22" w14:textId="5D7DD97B" w:rsidR="00515AEA" w:rsidRPr="00515AEA" w:rsidRDefault="00515AEA" w:rsidP="00515AEA">
      <w:pPr>
        <w:pStyle w:val="Body"/>
        <w:widowControl w:val="0"/>
        <w:spacing w:line="480" w:lineRule="auto"/>
        <w:ind w:firstLine="720"/>
        <w:jc w:val="both"/>
        <w:rPr>
          <w:sz w:val="28"/>
          <w:szCs w:val="28"/>
        </w:rPr>
      </w:pPr>
      <w:r w:rsidRPr="00515AEA">
        <w:rPr>
          <w:sz w:val="28"/>
          <w:szCs w:val="28"/>
        </w:rPr>
        <w:t xml:space="preserve">Interestingly, nowhere in Petition R-17-0028 does the Petitioner address the </w:t>
      </w:r>
      <w:r w:rsidRPr="00515AEA">
        <w:rPr>
          <w:sz w:val="28"/>
          <w:szCs w:val="28"/>
        </w:rPr>
        <w:lastRenderedPageBreak/>
        <w:t xml:space="preserve">section of Rule 20(a) that applies to the aggravation phase of death penalty case.  Rule 20(a) mandates </w:t>
      </w:r>
      <w:r w:rsidR="008760BB">
        <w:rPr>
          <w:sz w:val="28"/>
          <w:szCs w:val="28"/>
        </w:rPr>
        <w:t xml:space="preserve">that </w:t>
      </w:r>
      <w:r w:rsidRPr="00515AEA">
        <w:rPr>
          <w:sz w:val="28"/>
          <w:szCs w:val="28"/>
        </w:rPr>
        <w:t xml:space="preserve">a court “enter a judgment that an aggravating circumstance was not proven if there is no substantial evidence to warrant the allegation” before submitting the issue to the jury.  Petitioner proposes such finding be made </w:t>
      </w:r>
      <w:r w:rsidRPr="003F301C">
        <w:rPr>
          <w:i/>
          <w:sz w:val="28"/>
          <w:szCs w:val="28"/>
        </w:rPr>
        <w:t>after</w:t>
      </w:r>
      <w:r w:rsidRPr="00515AEA">
        <w:rPr>
          <w:sz w:val="28"/>
          <w:szCs w:val="28"/>
        </w:rPr>
        <w:t xml:space="preserve"> jury determinatio</w:t>
      </w:r>
      <w:r w:rsidR="003F301C">
        <w:rPr>
          <w:sz w:val="28"/>
          <w:szCs w:val="28"/>
        </w:rPr>
        <w:t>n of the issue.  This would apply</w:t>
      </w:r>
      <w:r w:rsidRPr="00515AEA">
        <w:rPr>
          <w:sz w:val="28"/>
          <w:szCs w:val="28"/>
        </w:rPr>
        <w:t xml:space="preserve"> under two scenarios: </w:t>
      </w:r>
      <w:r w:rsidR="008760BB">
        <w:rPr>
          <w:sz w:val="28"/>
          <w:szCs w:val="28"/>
        </w:rPr>
        <w:t>(</w:t>
      </w:r>
      <w:r w:rsidRPr="00515AEA">
        <w:rPr>
          <w:sz w:val="28"/>
          <w:szCs w:val="28"/>
        </w:rPr>
        <w:t xml:space="preserve">1) in capital cases where the jury finds an alleged aggravating factor was not proved beyond a reasonable doubt; and </w:t>
      </w:r>
      <w:r w:rsidR="008760BB">
        <w:rPr>
          <w:sz w:val="28"/>
          <w:szCs w:val="28"/>
        </w:rPr>
        <w:t>(</w:t>
      </w:r>
      <w:r w:rsidRPr="00515AEA">
        <w:rPr>
          <w:sz w:val="28"/>
          <w:szCs w:val="28"/>
        </w:rPr>
        <w:t>2) in non-capital cases where it is the judge who ultimately determines the sentence to be imposed, and would not consider an aggravating factor</w:t>
      </w:r>
      <w:r w:rsidR="008760BB">
        <w:rPr>
          <w:sz w:val="28"/>
          <w:szCs w:val="28"/>
        </w:rPr>
        <w:t xml:space="preserve"> that a jury</w:t>
      </w:r>
      <w:r w:rsidRPr="00515AEA">
        <w:rPr>
          <w:sz w:val="28"/>
          <w:szCs w:val="28"/>
        </w:rPr>
        <w:t xml:space="preserve"> erroneously found </w:t>
      </w:r>
      <w:r w:rsidR="008760BB">
        <w:rPr>
          <w:sz w:val="28"/>
          <w:szCs w:val="28"/>
        </w:rPr>
        <w:t>to be prove</w:t>
      </w:r>
      <w:r w:rsidR="00F72102">
        <w:rPr>
          <w:sz w:val="28"/>
          <w:szCs w:val="28"/>
        </w:rPr>
        <w:t>d</w:t>
      </w:r>
      <w:r w:rsidRPr="00515AEA">
        <w:rPr>
          <w:sz w:val="28"/>
          <w:szCs w:val="28"/>
        </w:rPr>
        <w:t>.</w:t>
      </w:r>
      <w:r w:rsidR="003F301C">
        <w:rPr>
          <w:sz w:val="28"/>
          <w:szCs w:val="28"/>
        </w:rPr>
        <w:t xml:space="preserve"> </w:t>
      </w:r>
      <w:r w:rsidRPr="00515AEA">
        <w:rPr>
          <w:sz w:val="28"/>
          <w:szCs w:val="28"/>
        </w:rPr>
        <w:t xml:space="preserve">But such a methodology is wholly untenable in a capital trial where the jury finds an aggravating factor, a judge sets the factor aside as insufficient as a matter of law, and then the jury is asked to decide the life/death question through consideration of the aggravating and mitigating factors.  </w:t>
      </w:r>
    </w:p>
    <w:p w14:paraId="6CF665F1" w14:textId="01D99078" w:rsidR="00515AEA" w:rsidRPr="00515AEA" w:rsidRDefault="00515AEA" w:rsidP="00515AEA">
      <w:pPr>
        <w:pStyle w:val="Body"/>
        <w:widowControl w:val="0"/>
        <w:spacing w:line="480" w:lineRule="auto"/>
        <w:ind w:firstLine="720"/>
        <w:jc w:val="both"/>
        <w:rPr>
          <w:sz w:val="28"/>
          <w:szCs w:val="28"/>
        </w:rPr>
      </w:pPr>
      <w:r w:rsidRPr="00515AEA">
        <w:rPr>
          <w:sz w:val="28"/>
          <w:szCs w:val="28"/>
        </w:rPr>
        <w:t xml:space="preserve">In the </w:t>
      </w:r>
      <w:r w:rsidR="00133177">
        <w:rPr>
          <w:sz w:val="28"/>
          <w:szCs w:val="28"/>
        </w:rPr>
        <w:t>a</w:t>
      </w:r>
      <w:r w:rsidRPr="00515AEA">
        <w:rPr>
          <w:sz w:val="28"/>
          <w:szCs w:val="28"/>
        </w:rPr>
        <w:t xml:space="preserve">ggravation </w:t>
      </w:r>
      <w:r w:rsidR="00133177">
        <w:rPr>
          <w:sz w:val="28"/>
          <w:szCs w:val="28"/>
        </w:rPr>
        <w:t>p</w:t>
      </w:r>
      <w:r w:rsidRPr="00515AEA">
        <w:rPr>
          <w:sz w:val="28"/>
          <w:szCs w:val="28"/>
        </w:rPr>
        <w:t xml:space="preserve">hase of a capital trial, juries are instructed that they must “apply the law to the evidence and </w:t>
      </w:r>
      <w:r w:rsidR="00CB49E6">
        <w:rPr>
          <w:sz w:val="28"/>
          <w:szCs w:val="28"/>
        </w:rPr>
        <w:t>in this way decide whether the s</w:t>
      </w:r>
      <w:r w:rsidRPr="00515AEA">
        <w:rPr>
          <w:sz w:val="28"/>
          <w:szCs w:val="28"/>
        </w:rPr>
        <w:t>tate has proven beyond a reasonable doubt that an aggravating circumstance exists</w:t>
      </w:r>
      <w:r w:rsidRPr="00663A5D">
        <w:rPr>
          <w:sz w:val="28"/>
          <w:szCs w:val="28"/>
        </w:rPr>
        <w:t>.”</w:t>
      </w:r>
      <w:r w:rsidR="008760BB" w:rsidRPr="00663A5D">
        <w:rPr>
          <w:sz w:val="28"/>
          <w:szCs w:val="28"/>
        </w:rPr>
        <w:t xml:space="preserve"> </w:t>
      </w:r>
      <w:r w:rsidR="00663A5D">
        <w:rPr>
          <w:sz w:val="28"/>
          <w:szCs w:val="28"/>
        </w:rPr>
        <w:t>RAJI (</w:t>
      </w:r>
      <w:r w:rsidR="00663A5D" w:rsidRPr="001F6CC9">
        <w:rPr>
          <w:smallCaps/>
          <w:sz w:val="28"/>
          <w:szCs w:val="28"/>
        </w:rPr>
        <w:t>Criminal</w:t>
      </w:r>
      <w:r w:rsidR="00663A5D">
        <w:rPr>
          <w:sz w:val="28"/>
          <w:szCs w:val="28"/>
        </w:rPr>
        <w:t>) 3d</w:t>
      </w:r>
      <w:r w:rsidR="00917EB3" w:rsidRPr="001F6CC9">
        <w:rPr>
          <w:sz w:val="28"/>
          <w:szCs w:val="28"/>
        </w:rPr>
        <w:t xml:space="preserve">, </w:t>
      </w:r>
      <w:r w:rsidR="00917EB3" w:rsidRPr="001F6CC9">
        <w:rPr>
          <w:smallCaps/>
          <w:sz w:val="28"/>
          <w:szCs w:val="28"/>
        </w:rPr>
        <w:t>Capital Case</w:t>
      </w:r>
      <w:r w:rsidR="00917EB3" w:rsidRPr="001F6CC9">
        <w:rPr>
          <w:sz w:val="28"/>
          <w:szCs w:val="28"/>
        </w:rPr>
        <w:t xml:space="preserve"> 1.3</w:t>
      </w:r>
      <w:r w:rsidR="008760BB" w:rsidRPr="00663A5D">
        <w:rPr>
          <w:sz w:val="28"/>
          <w:szCs w:val="28"/>
        </w:rPr>
        <w:t>.</w:t>
      </w:r>
      <w:r w:rsidRPr="00515AEA">
        <w:rPr>
          <w:sz w:val="28"/>
          <w:szCs w:val="28"/>
        </w:rPr>
        <w:t xml:space="preserve">  In reaching that determination, </w:t>
      </w:r>
      <w:r w:rsidR="00917EB3">
        <w:rPr>
          <w:sz w:val="28"/>
          <w:szCs w:val="28"/>
        </w:rPr>
        <w:t>the jury is</w:t>
      </w:r>
      <w:r w:rsidRPr="00515AEA">
        <w:rPr>
          <w:sz w:val="28"/>
          <w:szCs w:val="28"/>
        </w:rPr>
        <w:t xml:space="preserve"> instructed to follow the court’s instructions concerning:</w:t>
      </w:r>
    </w:p>
    <w:p w14:paraId="43B1B67A" w14:textId="77777777" w:rsidR="00515AEA" w:rsidRPr="00515AEA" w:rsidRDefault="00515AEA" w:rsidP="00515AEA">
      <w:pPr>
        <w:pStyle w:val="Body"/>
        <w:widowControl w:val="0"/>
        <w:spacing w:line="480" w:lineRule="auto"/>
        <w:jc w:val="both"/>
        <w:rPr>
          <w:sz w:val="28"/>
          <w:szCs w:val="28"/>
        </w:rPr>
      </w:pPr>
      <w:r w:rsidRPr="00515AEA">
        <w:rPr>
          <w:sz w:val="28"/>
          <w:szCs w:val="28"/>
        </w:rPr>
        <w:lastRenderedPageBreak/>
        <w:t>•</w:t>
      </w:r>
      <w:r w:rsidRPr="00515AEA">
        <w:rPr>
          <w:sz w:val="28"/>
          <w:szCs w:val="28"/>
        </w:rPr>
        <w:tab/>
        <w:t>Constitutional Right Not to Testify</w:t>
      </w:r>
    </w:p>
    <w:p w14:paraId="13B23DC4" w14:textId="77777777" w:rsidR="00515AEA" w:rsidRPr="00515AEA" w:rsidRDefault="00515AEA" w:rsidP="00515AEA">
      <w:pPr>
        <w:pStyle w:val="Body"/>
        <w:widowControl w:val="0"/>
        <w:spacing w:line="480" w:lineRule="auto"/>
        <w:jc w:val="both"/>
        <w:rPr>
          <w:sz w:val="28"/>
          <w:szCs w:val="28"/>
        </w:rPr>
      </w:pPr>
      <w:r w:rsidRPr="00515AEA">
        <w:rPr>
          <w:sz w:val="28"/>
          <w:szCs w:val="28"/>
        </w:rPr>
        <w:t>•</w:t>
      </w:r>
      <w:r w:rsidRPr="00515AEA">
        <w:rPr>
          <w:sz w:val="28"/>
          <w:szCs w:val="28"/>
        </w:rPr>
        <w:tab/>
        <w:t>Direct and Circumstantial Evidence</w:t>
      </w:r>
    </w:p>
    <w:p w14:paraId="37F83AB5" w14:textId="77777777" w:rsidR="00515AEA" w:rsidRPr="00515AEA" w:rsidRDefault="00515AEA" w:rsidP="00515AEA">
      <w:pPr>
        <w:pStyle w:val="Body"/>
        <w:widowControl w:val="0"/>
        <w:spacing w:line="480" w:lineRule="auto"/>
        <w:jc w:val="both"/>
        <w:rPr>
          <w:sz w:val="28"/>
          <w:szCs w:val="28"/>
        </w:rPr>
      </w:pPr>
      <w:r w:rsidRPr="00515AEA">
        <w:rPr>
          <w:sz w:val="28"/>
          <w:szCs w:val="28"/>
        </w:rPr>
        <w:t>•</w:t>
      </w:r>
      <w:r w:rsidRPr="00515AEA">
        <w:rPr>
          <w:sz w:val="28"/>
          <w:szCs w:val="28"/>
        </w:rPr>
        <w:tab/>
        <w:t>Credibility of Witnesses</w:t>
      </w:r>
    </w:p>
    <w:p w14:paraId="48F0F590" w14:textId="77777777" w:rsidR="00515AEA" w:rsidRPr="00515AEA" w:rsidRDefault="00515AEA" w:rsidP="00515AEA">
      <w:pPr>
        <w:pStyle w:val="Body"/>
        <w:widowControl w:val="0"/>
        <w:spacing w:line="480" w:lineRule="auto"/>
        <w:jc w:val="both"/>
        <w:rPr>
          <w:sz w:val="28"/>
          <w:szCs w:val="28"/>
        </w:rPr>
      </w:pPr>
      <w:r w:rsidRPr="00515AEA">
        <w:rPr>
          <w:sz w:val="28"/>
          <w:szCs w:val="28"/>
        </w:rPr>
        <w:t>•</w:t>
      </w:r>
      <w:r w:rsidRPr="00515AEA">
        <w:rPr>
          <w:sz w:val="28"/>
          <w:szCs w:val="28"/>
        </w:rPr>
        <w:tab/>
        <w:t>Testimony of Law Enforcement Officers</w:t>
      </w:r>
    </w:p>
    <w:p w14:paraId="5F097DE9" w14:textId="77777777" w:rsidR="00515AEA" w:rsidRPr="00515AEA" w:rsidRDefault="00515AEA" w:rsidP="00515AEA">
      <w:pPr>
        <w:pStyle w:val="Body"/>
        <w:widowControl w:val="0"/>
        <w:spacing w:line="480" w:lineRule="auto"/>
        <w:jc w:val="both"/>
        <w:rPr>
          <w:sz w:val="28"/>
          <w:szCs w:val="28"/>
        </w:rPr>
      </w:pPr>
      <w:r w:rsidRPr="00515AEA">
        <w:rPr>
          <w:sz w:val="28"/>
          <w:szCs w:val="28"/>
        </w:rPr>
        <w:t>•</w:t>
      </w:r>
      <w:r w:rsidRPr="00515AEA">
        <w:rPr>
          <w:sz w:val="28"/>
          <w:szCs w:val="28"/>
        </w:rPr>
        <w:tab/>
        <w:t>Expert Witnesses</w:t>
      </w:r>
    </w:p>
    <w:p w14:paraId="0A30435E" w14:textId="77777777" w:rsidR="00515AEA" w:rsidRPr="00515AEA" w:rsidRDefault="00515AEA" w:rsidP="00515AEA">
      <w:pPr>
        <w:pStyle w:val="Body"/>
        <w:widowControl w:val="0"/>
        <w:spacing w:line="480" w:lineRule="auto"/>
        <w:jc w:val="both"/>
        <w:rPr>
          <w:sz w:val="28"/>
          <w:szCs w:val="28"/>
        </w:rPr>
      </w:pPr>
      <w:r w:rsidRPr="00515AEA">
        <w:rPr>
          <w:sz w:val="28"/>
          <w:szCs w:val="28"/>
        </w:rPr>
        <w:t>•</w:t>
      </w:r>
      <w:r w:rsidRPr="00515AEA">
        <w:rPr>
          <w:sz w:val="28"/>
          <w:szCs w:val="28"/>
        </w:rPr>
        <w:tab/>
        <w:t>Evidence, Statements of Lawyers and Rulings</w:t>
      </w:r>
    </w:p>
    <w:p w14:paraId="789519F4" w14:textId="77777777" w:rsidR="00515AEA" w:rsidRPr="00515AEA" w:rsidRDefault="00515AEA" w:rsidP="00515AEA">
      <w:pPr>
        <w:pStyle w:val="Body"/>
        <w:widowControl w:val="0"/>
        <w:spacing w:line="480" w:lineRule="auto"/>
        <w:jc w:val="both"/>
        <w:rPr>
          <w:sz w:val="28"/>
          <w:szCs w:val="28"/>
        </w:rPr>
      </w:pPr>
      <w:r w:rsidRPr="00515AEA">
        <w:rPr>
          <w:sz w:val="28"/>
          <w:szCs w:val="28"/>
        </w:rPr>
        <w:t>•</w:t>
      </w:r>
      <w:r w:rsidRPr="00515AEA">
        <w:rPr>
          <w:sz w:val="28"/>
          <w:szCs w:val="28"/>
        </w:rPr>
        <w:tab/>
        <w:t>Defendant’s Testimony</w:t>
      </w:r>
    </w:p>
    <w:p w14:paraId="0B11974F" w14:textId="08075EBD" w:rsidR="00515AEA" w:rsidRPr="00515AEA" w:rsidRDefault="00515AEA" w:rsidP="00515AEA">
      <w:pPr>
        <w:pStyle w:val="Body"/>
        <w:widowControl w:val="0"/>
        <w:spacing w:line="480" w:lineRule="auto"/>
        <w:ind w:firstLine="0"/>
        <w:jc w:val="both"/>
        <w:rPr>
          <w:sz w:val="28"/>
          <w:szCs w:val="28"/>
        </w:rPr>
      </w:pPr>
      <w:r w:rsidRPr="00515AEA">
        <w:rPr>
          <w:sz w:val="28"/>
          <w:szCs w:val="28"/>
        </w:rPr>
        <w:t xml:space="preserve">Thus, in rendering </w:t>
      </w:r>
      <w:r w:rsidR="00133177">
        <w:rPr>
          <w:sz w:val="28"/>
          <w:szCs w:val="28"/>
        </w:rPr>
        <w:t>a</w:t>
      </w:r>
      <w:r w:rsidR="00F72102" w:rsidRPr="00515AEA">
        <w:rPr>
          <w:sz w:val="28"/>
          <w:szCs w:val="28"/>
        </w:rPr>
        <w:t xml:space="preserve"> </w:t>
      </w:r>
      <w:r w:rsidRPr="00515AEA">
        <w:rPr>
          <w:sz w:val="28"/>
          <w:szCs w:val="28"/>
        </w:rPr>
        <w:t xml:space="preserve">verdict on aggravating factors, juries are expressly instructed to consider evidence </w:t>
      </w:r>
      <w:r w:rsidR="00F72102">
        <w:rPr>
          <w:sz w:val="28"/>
          <w:szCs w:val="28"/>
        </w:rPr>
        <w:t>that</w:t>
      </w:r>
      <w:r w:rsidR="00F72102" w:rsidRPr="00515AEA">
        <w:rPr>
          <w:sz w:val="28"/>
          <w:szCs w:val="28"/>
        </w:rPr>
        <w:t xml:space="preserve"> </w:t>
      </w:r>
      <w:r w:rsidRPr="00515AEA">
        <w:rPr>
          <w:sz w:val="28"/>
          <w:szCs w:val="28"/>
        </w:rPr>
        <w:t>has no bearing on the legal sufficiency of the alleged aggravating factor—evidence such as credibility</w:t>
      </w:r>
      <w:r w:rsidR="00F72102">
        <w:rPr>
          <w:sz w:val="28"/>
          <w:szCs w:val="28"/>
        </w:rPr>
        <w:t>,</w:t>
      </w:r>
      <w:r w:rsidRPr="00515AEA">
        <w:rPr>
          <w:sz w:val="28"/>
          <w:szCs w:val="28"/>
        </w:rPr>
        <w:t xml:space="preserve"> which may not be properly considered when determining legal sufficiency.  Jurors are most certainly not advised of the difference, and cannot be expected to understand it.</w:t>
      </w:r>
    </w:p>
    <w:p w14:paraId="3CE67A4E" w14:textId="5AD86A49" w:rsidR="00515AEA" w:rsidRPr="00515AEA" w:rsidRDefault="00515AEA" w:rsidP="00515AEA">
      <w:pPr>
        <w:pStyle w:val="Body"/>
        <w:widowControl w:val="0"/>
        <w:spacing w:line="480" w:lineRule="auto"/>
        <w:ind w:firstLine="720"/>
        <w:jc w:val="both"/>
        <w:rPr>
          <w:sz w:val="28"/>
          <w:szCs w:val="28"/>
        </w:rPr>
      </w:pPr>
      <w:r w:rsidRPr="00515AEA">
        <w:rPr>
          <w:sz w:val="28"/>
          <w:szCs w:val="28"/>
        </w:rPr>
        <w:t xml:space="preserve">A jury </w:t>
      </w:r>
      <w:r w:rsidR="00F72102">
        <w:rPr>
          <w:sz w:val="28"/>
          <w:szCs w:val="28"/>
        </w:rPr>
        <w:t>that</w:t>
      </w:r>
      <w:r w:rsidR="00F72102" w:rsidRPr="00515AEA">
        <w:rPr>
          <w:sz w:val="28"/>
          <w:szCs w:val="28"/>
        </w:rPr>
        <w:t xml:space="preserve"> </w:t>
      </w:r>
      <w:r w:rsidRPr="00515AEA">
        <w:rPr>
          <w:sz w:val="28"/>
          <w:szCs w:val="28"/>
        </w:rPr>
        <w:t xml:space="preserve">deliberates and finds an aggravating factor proved will </w:t>
      </w:r>
      <w:r w:rsidR="00F72102">
        <w:rPr>
          <w:sz w:val="28"/>
          <w:szCs w:val="28"/>
        </w:rPr>
        <w:t>likely not</w:t>
      </w:r>
      <w:r w:rsidR="00F72102" w:rsidRPr="00515AEA">
        <w:rPr>
          <w:sz w:val="28"/>
          <w:szCs w:val="28"/>
        </w:rPr>
        <w:t xml:space="preserve"> </w:t>
      </w:r>
      <w:r w:rsidRPr="00515AEA">
        <w:rPr>
          <w:sz w:val="28"/>
          <w:szCs w:val="28"/>
        </w:rPr>
        <w:t>understand why a judge thereafter negated its verdict as to one or more aggravating factors.  Indeed, capital se</w:t>
      </w:r>
      <w:r w:rsidR="00B412A7">
        <w:rPr>
          <w:sz w:val="28"/>
          <w:szCs w:val="28"/>
        </w:rPr>
        <w:t>ntencing juries are instructed:</w:t>
      </w:r>
      <w:r w:rsidRPr="00515AEA">
        <w:rPr>
          <w:sz w:val="28"/>
          <w:szCs w:val="28"/>
        </w:rPr>
        <w:t xml:space="preserve"> “Your decision is not a recommendation. Your decision is binding.” </w:t>
      </w:r>
      <w:r w:rsidR="00663A5D" w:rsidRPr="001F6CC9">
        <w:rPr>
          <w:i/>
          <w:sz w:val="28"/>
          <w:szCs w:val="28"/>
        </w:rPr>
        <w:t>Id.</w:t>
      </w:r>
      <w:r w:rsidR="00663A5D" w:rsidRPr="001F6CC9">
        <w:rPr>
          <w:sz w:val="28"/>
          <w:szCs w:val="28"/>
        </w:rPr>
        <w:t xml:space="preserve"> </w:t>
      </w:r>
      <w:r w:rsidR="00663A5D" w:rsidRPr="009E56CA">
        <w:rPr>
          <w:smallCaps/>
          <w:sz w:val="28"/>
          <w:szCs w:val="28"/>
        </w:rPr>
        <w:t>Capital Case</w:t>
      </w:r>
      <w:r w:rsidR="00663A5D" w:rsidRPr="009E56CA">
        <w:rPr>
          <w:sz w:val="28"/>
          <w:szCs w:val="28"/>
        </w:rPr>
        <w:t xml:space="preserve"> </w:t>
      </w:r>
      <w:r w:rsidR="00663A5D" w:rsidRPr="001F6CC9">
        <w:rPr>
          <w:sz w:val="28"/>
          <w:szCs w:val="28"/>
        </w:rPr>
        <w:t>2.6</w:t>
      </w:r>
      <w:r w:rsidR="00F72102" w:rsidRPr="00663A5D">
        <w:rPr>
          <w:sz w:val="28"/>
          <w:szCs w:val="28"/>
        </w:rPr>
        <w:t>.</w:t>
      </w:r>
      <w:r w:rsidR="00F72102">
        <w:rPr>
          <w:sz w:val="28"/>
          <w:szCs w:val="28"/>
        </w:rPr>
        <w:t xml:space="preserve"> </w:t>
      </w:r>
      <w:r w:rsidRPr="00515AEA">
        <w:rPr>
          <w:sz w:val="28"/>
          <w:szCs w:val="28"/>
        </w:rPr>
        <w:t>The instruction would be seriously undermined when a jury finds an aggravating factor to exist, only to be subsequently told that it has been set aside by the trial judge.</w:t>
      </w:r>
    </w:p>
    <w:p w14:paraId="70EEDC8C" w14:textId="1D5D255B" w:rsidR="00515AEA" w:rsidRPr="00515AEA" w:rsidRDefault="00515AEA" w:rsidP="00515AEA">
      <w:pPr>
        <w:pStyle w:val="Body"/>
        <w:widowControl w:val="0"/>
        <w:spacing w:line="480" w:lineRule="auto"/>
        <w:ind w:firstLine="720"/>
        <w:jc w:val="both"/>
        <w:rPr>
          <w:sz w:val="28"/>
          <w:szCs w:val="28"/>
        </w:rPr>
      </w:pPr>
      <w:r w:rsidRPr="00515AEA">
        <w:rPr>
          <w:sz w:val="28"/>
          <w:szCs w:val="28"/>
        </w:rPr>
        <w:lastRenderedPageBreak/>
        <w:t xml:space="preserve"> </w:t>
      </w:r>
      <w:r w:rsidR="00F72102">
        <w:rPr>
          <w:sz w:val="28"/>
          <w:szCs w:val="28"/>
        </w:rPr>
        <w:t>Petitioner’s proffered</w:t>
      </w:r>
      <w:r w:rsidR="00B412A7">
        <w:rPr>
          <w:sz w:val="28"/>
          <w:szCs w:val="28"/>
        </w:rPr>
        <w:t xml:space="preserve"> change</w:t>
      </w:r>
      <w:r w:rsidRPr="00515AEA">
        <w:rPr>
          <w:sz w:val="28"/>
          <w:szCs w:val="28"/>
        </w:rPr>
        <w:t xml:space="preserve"> poses a substantial threat to a defendant’s constitutional rights to have his</w:t>
      </w:r>
      <w:r w:rsidR="00B412A7">
        <w:rPr>
          <w:sz w:val="28"/>
          <w:szCs w:val="28"/>
        </w:rPr>
        <w:t>/her</w:t>
      </w:r>
      <w:r w:rsidRPr="00515AEA">
        <w:rPr>
          <w:sz w:val="28"/>
          <w:szCs w:val="28"/>
        </w:rPr>
        <w:t xml:space="preserve"> life or death sentence determined only upon qualified aggravating factors. Any instruction commanding the jury </w:t>
      </w:r>
      <w:r w:rsidR="00F72102">
        <w:rPr>
          <w:sz w:val="28"/>
          <w:szCs w:val="28"/>
        </w:rPr>
        <w:t xml:space="preserve">to </w:t>
      </w:r>
      <w:r w:rsidRPr="00515AEA">
        <w:rPr>
          <w:sz w:val="28"/>
          <w:szCs w:val="28"/>
        </w:rPr>
        <w:t xml:space="preserve">disregard its former finding of an aggravating factor is insufficient to protect the capital sentencing process.  </w:t>
      </w:r>
    </w:p>
    <w:p w14:paraId="168FDB60" w14:textId="33955684" w:rsidR="00515AEA" w:rsidRPr="00903283" w:rsidRDefault="00515AEA" w:rsidP="00515AEA">
      <w:pPr>
        <w:pStyle w:val="Body"/>
        <w:widowControl w:val="0"/>
        <w:spacing w:line="480" w:lineRule="auto"/>
        <w:ind w:firstLine="720"/>
        <w:jc w:val="both"/>
        <w:rPr>
          <w:sz w:val="28"/>
          <w:szCs w:val="28"/>
        </w:rPr>
      </w:pPr>
      <w:r w:rsidRPr="00515AEA">
        <w:rPr>
          <w:sz w:val="28"/>
          <w:szCs w:val="28"/>
        </w:rPr>
        <w:t xml:space="preserve">The </w:t>
      </w:r>
      <w:r w:rsidR="00F72102">
        <w:rPr>
          <w:sz w:val="28"/>
          <w:szCs w:val="28"/>
        </w:rPr>
        <w:t>U.S.</w:t>
      </w:r>
      <w:r w:rsidRPr="00515AEA">
        <w:rPr>
          <w:sz w:val="28"/>
          <w:szCs w:val="28"/>
        </w:rPr>
        <w:t xml:space="preserve"> Supreme Court has repeatedly recognized this fact. </w:t>
      </w:r>
      <w:r w:rsidRPr="00515AEA">
        <w:rPr>
          <w:i/>
          <w:sz w:val="28"/>
          <w:szCs w:val="28"/>
        </w:rPr>
        <w:t>See, e.g.</w:t>
      </w:r>
      <w:r w:rsidRPr="001F6CC9">
        <w:rPr>
          <w:sz w:val="28"/>
          <w:szCs w:val="28"/>
        </w:rPr>
        <w:t>,</w:t>
      </w:r>
      <w:r w:rsidRPr="00515AEA">
        <w:rPr>
          <w:i/>
          <w:sz w:val="28"/>
          <w:szCs w:val="28"/>
        </w:rPr>
        <w:t xml:space="preserve">  </w:t>
      </w:r>
      <w:proofErr w:type="spellStart"/>
      <w:r w:rsidR="00903283" w:rsidRPr="00515AEA">
        <w:rPr>
          <w:i/>
          <w:sz w:val="28"/>
          <w:szCs w:val="28"/>
        </w:rPr>
        <w:t>Bruton</w:t>
      </w:r>
      <w:proofErr w:type="spellEnd"/>
      <w:r w:rsidR="00903283" w:rsidRPr="00515AEA">
        <w:rPr>
          <w:i/>
          <w:sz w:val="28"/>
          <w:szCs w:val="28"/>
        </w:rPr>
        <w:t xml:space="preserve"> v. United States</w:t>
      </w:r>
      <w:r w:rsidR="00903283" w:rsidRPr="009E56CA">
        <w:rPr>
          <w:sz w:val="28"/>
          <w:szCs w:val="28"/>
        </w:rPr>
        <w:t xml:space="preserve">, 391 U.S. 123 (1968) </w:t>
      </w:r>
      <w:r w:rsidR="00903283" w:rsidRPr="00515AEA">
        <w:rPr>
          <w:sz w:val="28"/>
          <w:szCs w:val="28"/>
        </w:rPr>
        <w:t>(</w:t>
      </w:r>
      <w:r w:rsidR="00903283">
        <w:rPr>
          <w:sz w:val="28"/>
          <w:szCs w:val="28"/>
        </w:rPr>
        <w:t xml:space="preserve">holding that </w:t>
      </w:r>
      <w:r w:rsidR="00903283" w:rsidRPr="00515AEA">
        <w:rPr>
          <w:sz w:val="28"/>
          <w:szCs w:val="28"/>
        </w:rPr>
        <w:t>despite “concededly clear instructions to the jury to disregard” the co-defendant’s confession implicating the defendant when determining defendant’s guilt, “the effect is the same as if there had been no instruction at all”)</w:t>
      </w:r>
      <w:r w:rsidR="00903283">
        <w:rPr>
          <w:sz w:val="28"/>
          <w:szCs w:val="28"/>
        </w:rPr>
        <w:t xml:space="preserve">; </w:t>
      </w:r>
      <w:r w:rsidRPr="00515AEA">
        <w:rPr>
          <w:i/>
          <w:sz w:val="28"/>
          <w:szCs w:val="28"/>
        </w:rPr>
        <w:t xml:space="preserve">Jackson v. </w:t>
      </w:r>
      <w:proofErr w:type="spellStart"/>
      <w:r w:rsidRPr="00515AEA">
        <w:rPr>
          <w:i/>
          <w:sz w:val="28"/>
          <w:szCs w:val="28"/>
        </w:rPr>
        <w:t>Denno</w:t>
      </w:r>
      <w:proofErr w:type="spellEnd"/>
      <w:r w:rsidRPr="001F6CC9">
        <w:rPr>
          <w:sz w:val="28"/>
          <w:szCs w:val="28"/>
        </w:rPr>
        <w:t>, 378 U.S. 368, 388-89 (1964)</w:t>
      </w:r>
      <w:r w:rsidR="00F72102">
        <w:rPr>
          <w:sz w:val="28"/>
          <w:szCs w:val="28"/>
        </w:rPr>
        <w:t xml:space="preserve"> </w:t>
      </w:r>
      <w:r w:rsidRPr="00515AEA">
        <w:rPr>
          <w:sz w:val="28"/>
          <w:szCs w:val="28"/>
        </w:rPr>
        <w:t>(expressly rejecting proposition that a jury, when determining confessor’s guilt, could be relied on to ignore his confession of guilt should it find the confession involuntary)</w:t>
      </w:r>
      <w:r w:rsidR="00903283">
        <w:rPr>
          <w:sz w:val="28"/>
          <w:szCs w:val="28"/>
        </w:rPr>
        <w:t>.</w:t>
      </w:r>
      <w:r w:rsidRPr="00515AEA">
        <w:rPr>
          <w:sz w:val="28"/>
          <w:szCs w:val="28"/>
        </w:rPr>
        <w:t xml:space="preserve">  As has been recognized, “[t]he naïve assumption that prejudicial effects can be overcome by instructions to the jury * * * all practicing lawyers know to be unmitigated fiction.”  </w:t>
      </w:r>
      <w:proofErr w:type="spellStart"/>
      <w:r w:rsidR="00903283">
        <w:rPr>
          <w:i/>
          <w:sz w:val="28"/>
          <w:szCs w:val="28"/>
        </w:rPr>
        <w:t>Bruton</w:t>
      </w:r>
      <w:proofErr w:type="spellEnd"/>
      <w:r w:rsidR="00903283">
        <w:rPr>
          <w:sz w:val="28"/>
          <w:szCs w:val="28"/>
        </w:rPr>
        <w:t>, 391 U.S.</w:t>
      </w:r>
      <w:r w:rsidRPr="001F6CC9">
        <w:rPr>
          <w:sz w:val="28"/>
          <w:szCs w:val="28"/>
        </w:rPr>
        <w:t xml:space="preserve"> at 129 </w:t>
      </w:r>
      <w:r w:rsidR="00903283">
        <w:rPr>
          <w:sz w:val="28"/>
          <w:szCs w:val="28"/>
        </w:rPr>
        <w:t>(</w:t>
      </w:r>
      <w:r w:rsidRPr="001F6CC9">
        <w:rPr>
          <w:sz w:val="28"/>
          <w:szCs w:val="28"/>
        </w:rPr>
        <w:t xml:space="preserve">quoting </w:t>
      </w:r>
      <w:proofErr w:type="spellStart"/>
      <w:r w:rsidRPr="00903283">
        <w:rPr>
          <w:i/>
          <w:sz w:val="28"/>
          <w:szCs w:val="28"/>
        </w:rPr>
        <w:t>Kruelwitch</w:t>
      </w:r>
      <w:proofErr w:type="spellEnd"/>
      <w:r w:rsidRPr="00903283">
        <w:rPr>
          <w:i/>
          <w:sz w:val="28"/>
          <w:szCs w:val="28"/>
        </w:rPr>
        <w:t xml:space="preserve"> v. United States</w:t>
      </w:r>
      <w:r w:rsidRPr="001F6CC9">
        <w:rPr>
          <w:sz w:val="28"/>
          <w:szCs w:val="28"/>
        </w:rPr>
        <w:t>, 336 U.S. 440, 453 (1949)</w:t>
      </w:r>
      <w:r w:rsidR="00903283">
        <w:rPr>
          <w:sz w:val="28"/>
          <w:szCs w:val="28"/>
        </w:rPr>
        <w:t>) (omissions in original)</w:t>
      </w:r>
      <w:r w:rsidRPr="001F6CC9">
        <w:rPr>
          <w:sz w:val="28"/>
          <w:szCs w:val="28"/>
        </w:rPr>
        <w:t xml:space="preserve">. </w:t>
      </w:r>
      <w:r w:rsidRPr="00903283">
        <w:rPr>
          <w:sz w:val="28"/>
          <w:szCs w:val="28"/>
        </w:rPr>
        <w:t xml:space="preserve"> </w:t>
      </w:r>
    </w:p>
    <w:p w14:paraId="27DFB6BC" w14:textId="0324DCB9" w:rsidR="00515AEA" w:rsidRPr="00515AEA" w:rsidRDefault="00515AEA" w:rsidP="00515AEA">
      <w:pPr>
        <w:pStyle w:val="Body"/>
        <w:widowControl w:val="0"/>
        <w:spacing w:line="480" w:lineRule="auto"/>
        <w:ind w:firstLine="720"/>
        <w:jc w:val="both"/>
        <w:rPr>
          <w:sz w:val="28"/>
          <w:szCs w:val="28"/>
        </w:rPr>
      </w:pPr>
      <w:r w:rsidRPr="00515AEA">
        <w:rPr>
          <w:sz w:val="28"/>
          <w:szCs w:val="28"/>
        </w:rPr>
        <w:t xml:space="preserve">Although it is not unreasonable to conclude that in many cases the jury can and will follow the trial judge’s instructions to disregard certain information, the </w:t>
      </w:r>
      <w:r w:rsidRPr="00515AEA">
        <w:rPr>
          <w:sz w:val="28"/>
          <w:szCs w:val="28"/>
        </w:rPr>
        <w:lastRenderedPageBreak/>
        <w:t xml:space="preserve">Court’s primary recognition in </w:t>
      </w:r>
      <w:proofErr w:type="spellStart"/>
      <w:r w:rsidRPr="00515AEA">
        <w:rPr>
          <w:i/>
          <w:sz w:val="28"/>
          <w:szCs w:val="28"/>
        </w:rPr>
        <w:t>Denno</w:t>
      </w:r>
      <w:proofErr w:type="spellEnd"/>
      <w:r w:rsidRPr="00515AEA">
        <w:rPr>
          <w:sz w:val="28"/>
          <w:szCs w:val="28"/>
        </w:rPr>
        <w:t xml:space="preserve"> and </w:t>
      </w:r>
      <w:proofErr w:type="spellStart"/>
      <w:r w:rsidRPr="00515AEA">
        <w:rPr>
          <w:i/>
          <w:sz w:val="28"/>
          <w:szCs w:val="28"/>
        </w:rPr>
        <w:t>Bruton</w:t>
      </w:r>
      <w:proofErr w:type="spellEnd"/>
      <w:r w:rsidRPr="00515AEA">
        <w:rPr>
          <w:sz w:val="28"/>
          <w:szCs w:val="28"/>
        </w:rPr>
        <w:t xml:space="preserve"> must be taken seriously:  “[T]here are some contexts in which the risk that the jury will not, or cannot, follow instructions is so great, and the consequences of failure so vital to the defendant, that the practical and human limitations of the jury system cannot be ignored.”  </w:t>
      </w:r>
      <w:r w:rsidR="00903283">
        <w:rPr>
          <w:i/>
          <w:sz w:val="28"/>
          <w:szCs w:val="28"/>
        </w:rPr>
        <w:t>Id.</w:t>
      </w:r>
      <w:r w:rsidRPr="001F6CC9">
        <w:rPr>
          <w:sz w:val="28"/>
          <w:szCs w:val="28"/>
        </w:rPr>
        <w:t xml:space="preserve"> at 135</w:t>
      </w:r>
      <w:r w:rsidRPr="00903283">
        <w:rPr>
          <w:sz w:val="28"/>
          <w:szCs w:val="28"/>
        </w:rPr>
        <w:t>.</w:t>
      </w:r>
      <w:r w:rsidRPr="00515AEA">
        <w:rPr>
          <w:sz w:val="28"/>
          <w:szCs w:val="28"/>
        </w:rPr>
        <w:t xml:space="preserve">  </w:t>
      </w:r>
    </w:p>
    <w:p w14:paraId="4C72215D" w14:textId="0600AAD7" w:rsidR="00515AEA" w:rsidRPr="00515AEA" w:rsidRDefault="00515AEA" w:rsidP="00515AEA">
      <w:pPr>
        <w:pStyle w:val="Body"/>
        <w:widowControl w:val="0"/>
        <w:spacing w:line="480" w:lineRule="auto"/>
        <w:ind w:firstLine="720"/>
        <w:jc w:val="both"/>
        <w:rPr>
          <w:sz w:val="28"/>
          <w:szCs w:val="28"/>
        </w:rPr>
      </w:pPr>
      <w:r w:rsidRPr="00515AEA">
        <w:rPr>
          <w:sz w:val="28"/>
          <w:szCs w:val="28"/>
        </w:rPr>
        <w:t>Such a context is presented here.  Where a human life literally hangs in the balance, a</w:t>
      </w:r>
      <w:r w:rsidR="00903283">
        <w:rPr>
          <w:sz w:val="28"/>
          <w:szCs w:val="28"/>
        </w:rPr>
        <w:t xml:space="preserve">n </w:t>
      </w:r>
      <w:r w:rsidRPr="00515AEA">
        <w:rPr>
          <w:sz w:val="28"/>
          <w:szCs w:val="28"/>
        </w:rPr>
        <w:t>instruction directing the jury to disregard an aggravating facto</w:t>
      </w:r>
      <w:r w:rsidR="00CB49E6">
        <w:rPr>
          <w:sz w:val="28"/>
          <w:szCs w:val="28"/>
        </w:rPr>
        <w:t>r it had previously found proven</w:t>
      </w:r>
      <w:r w:rsidR="00903283">
        <w:rPr>
          <w:sz w:val="28"/>
          <w:szCs w:val="28"/>
        </w:rPr>
        <w:t>,</w:t>
      </w:r>
      <w:r w:rsidRPr="00515AEA">
        <w:rPr>
          <w:sz w:val="28"/>
          <w:szCs w:val="28"/>
        </w:rPr>
        <w:t xml:space="preserve"> but was </w:t>
      </w:r>
      <w:r w:rsidR="00903283">
        <w:rPr>
          <w:sz w:val="28"/>
          <w:szCs w:val="28"/>
        </w:rPr>
        <w:t>then</w:t>
      </w:r>
      <w:r w:rsidR="00903283" w:rsidRPr="00515AEA">
        <w:rPr>
          <w:sz w:val="28"/>
          <w:szCs w:val="28"/>
        </w:rPr>
        <w:t xml:space="preserve"> </w:t>
      </w:r>
      <w:r w:rsidRPr="00515AEA">
        <w:rPr>
          <w:sz w:val="28"/>
          <w:szCs w:val="28"/>
        </w:rPr>
        <w:t>set aside by the court</w:t>
      </w:r>
      <w:r w:rsidR="00903283">
        <w:rPr>
          <w:sz w:val="28"/>
          <w:szCs w:val="28"/>
        </w:rPr>
        <w:t>,</w:t>
      </w:r>
      <w:r w:rsidRPr="00515AEA">
        <w:rPr>
          <w:sz w:val="28"/>
          <w:szCs w:val="28"/>
        </w:rPr>
        <w:t xml:space="preserve"> threatens the constitutionality of the process.  It is as fundamentally unfair as telling a jury convened for re-trial that a defendant was formerly found guilty but conviction was set aside on appeal, then instructi</w:t>
      </w:r>
      <w:r w:rsidR="00B412A7">
        <w:rPr>
          <w:sz w:val="28"/>
          <w:szCs w:val="28"/>
        </w:rPr>
        <w:t xml:space="preserve">ng it to disregard that fact. </w:t>
      </w:r>
      <w:r w:rsidRPr="00515AEA">
        <w:rPr>
          <w:sz w:val="28"/>
          <w:szCs w:val="28"/>
        </w:rPr>
        <w:t xml:space="preserve">Such a practice is constitutionally prohibited for good reason. </w:t>
      </w:r>
    </w:p>
    <w:p w14:paraId="5176C92C" w14:textId="0B167B10" w:rsidR="00515AEA" w:rsidRPr="00515AEA" w:rsidRDefault="00515AEA" w:rsidP="00515AEA">
      <w:pPr>
        <w:pStyle w:val="Body"/>
        <w:widowControl w:val="0"/>
        <w:spacing w:line="480" w:lineRule="auto"/>
        <w:ind w:firstLine="720"/>
        <w:jc w:val="both"/>
        <w:rPr>
          <w:sz w:val="28"/>
          <w:szCs w:val="28"/>
        </w:rPr>
      </w:pPr>
      <w:r w:rsidRPr="00515AEA">
        <w:rPr>
          <w:sz w:val="28"/>
          <w:szCs w:val="28"/>
        </w:rPr>
        <w:t xml:space="preserve">The proposed rule modification permitting “acquittal” on an aggravating factor </w:t>
      </w:r>
      <w:r w:rsidRPr="00515AEA">
        <w:rPr>
          <w:i/>
          <w:sz w:val="28"/>
          <w:szCs w:val="28"/>
        </w:rPr>
        <w:t>after</w:t>
      </w:r>
      <w:r w:rsidRPr="00515AEA">
        <w:rPr>
          <w:sz w:val="28"/>
          <w:szCs w:val="28"/>
        </w:rPr>
        <w:t xml:space="preserve"> a jury finds it to exist in a capital case is unworkable </w:t>
      </w:r>
      <w:r w:rsidR="001F6CC9">
        <w:rPr>
          <w:sz w:val="28"/>
          <w:szCs w:val="28"/>
        </w:rPr>
        <w:t>based on t</w:t>
      </w:r>
      <w:r w:rsidRPr="00515AEA">
        <w:rPr>
          <w:sz w:val="28"/>
          <w:szCs w:val="28"/>
        </w:rPr>
        <w:t xml:space="preserve">he timing of the motion under the proposed rule change.  </w:t>
      </w:r>
    </w:p>
    <w:p w14:paraId="7374B0C7" w14:textId="1915387F" w:rsidR="00515AEA" w:rsidRPr="00515AEA" w:rsidRDefault="00515AEA" w:rsidP="00903283">
      <w:pPr>
        <w:pStyle w:val="Body"/>
        <w:widowControl w:val="0"/>
        <w:spacing w:line="480" w:lineRule="auto"/>
        <w:ind w:firstLine="720"/>
        <w:jc w:val="both"/>
        <w:rPr>
          <w:sz w:val="28"/>
          <w:szCs w:val="28"/>
        </w:rPr>
      </w:pPr>
      <w:r w:rsidRPr="00515AEA">
        <w:rPr>
          <w:sz w:val="28"/>
          <w:szCs w:val="28"/>
        </w:rPr>
        <w:t>After finding at least one aggravating factor prove</w:t>
      </w:r>
      <w:r w:rsidR="001F6CC9">
        <w:rPr>
          <w:sz w:val="28"/>
          <w:szCs w:val="28"/>
        </w:rPr>
        <w:t>n</w:t>
      </w:r>
      <w:r w:rsidRPr="00515AEA">
        <w:rPr>
          <w:sz w:val="28"/>
          <w:szCs w:val="28"/>
        </w:rPr>
        <w:t>, capital juries may or may not be presented with factors mitigating against a death sentence.  Ultimately</w:t>
      </w:r>
      <w:r w:rsidR="00903283">
        <w:rPr>
          <w:sz w:val="28"/>
          <w:szCs w:val="28"/>
        </w:rPr>
        <w:t>,</w:t>
      </w:r>
      <w:r w:rsidRPr="00515AEA">
        <w:rPr>
          <w:sz w:val="28"/>
          <w:szCs w:val="28"/>
        </w:rPr>
        <w:t xml:space="preserve"> juries are asked to determine the most serious question any jury could ever</w:t>
      </w:r>
      <w:r w:rsidR="00B412A7">
        <w:rPr>
          <w:sz w:val="28"/>
          <w:szCs w:val="28"/>
        </w:rPr>
        <w:t xml:space="preserve"> be asked to </w:t>
      </w:r>
      <w:r w:rsidR="00B412A7">
        <w:rPr>
          <w:sz w:val="28"/>
          <w:szCs w:val="28"/>
        </w:rPr>
        <w:lastRenderedPageBreak/>
        <w:t>resolve – w</w:t>
      </w:r>
      <w:r w:rsidRPr="00515AEA">
        <w:rPr>
          <w:sz w:val="28"/>
          <w:szCs w:val="28"/>
        </w:rPr>
        <w:t xml:space="preserve">hether the defendant should live or die based on its consideration of the aggravating and mitigating factors presented.  This question, presented at the end of the sentencing trial, </w:t>
      </w:r>
      <w:r w:rsidR="00CB49E6">
        <w:rPr>
          <w:sz w:val="28"/>
          <w:szCs w:val="28"/>
        </w:rPr>
        <w:t>sometimes</w:t>
      </w:r>
      <w:bookmarkStart w:id="2" w:name="_GoBack"/>
      <w:bookmarkEnd w:id="2"/>
      <w:r w:rsidRPr="00515AEA">
        <w:rPr>
          <w:sz w:val="28"/>
          <w:szCs w:val="28"/>
        </w:rPr>
        <w:t xml:space="preserve"> occurs </w:t>
      </w:r>
      <w:r w:rsidRPr="00515AEA">
        <w:rPr>
          <w:i/>
          <w:sz w:val="28"/>
          <w:szCs w:val="28"/>
        </w:rPr>
        <w:t>sooner</w:t>
      </w:r>
      <w:r w:rsidRPr="00515AEA">
        <w:rPr>
          <w:sz w:val="28"/>
          <w:szCs w:val="28"/>
        </w:rPr>
        <w:t xml:space="preserve"> than 10 days after a jury finds aggravating factors proved—but the proposed rule change grants a defendant up to 10 days to challenge the legal sufficiency of an aggravating circumstance a jury found proved.  Thus, under the proposed change, a death sentence could be imposed by a jury based in part upon an aggravating factor subsequently found legally insufficient by the court—a circumstance requiring reversal of a death sentence and remand for retrial of the penalty phase.</w:t>
      </w:r>
    </w:p>
    <w:p w14:paraId="5EAEC39E" w14:textId="77777777" w:rsidR="00515AEA" w:rsidRPr="00515AEA" w:rsidRDefault="00515AEA" w:rsidP="00515AEA">
      <w:pPr>
        <w:pStyle w:val="Body"/>
        <w:widowControl w:val="0"/>
        <w:spacing w:line="480" w:lineRule="auto"/>
        <w:ind w:firstLine="720"/>
        <w:jc w:val="center"/>
        <w:rPr>
          <w:b/>
          <w:sz w:val="28"/>
          <w:szCs w:val="28"/>
        </w:rPr>
      </w:pPr>
      <w:r w:rsidRPr="00515AEA">
        <w:rPr>
          <w:b/>
          <w:sz w:val="28"/>
          <w:szCs w:val="28"/>
        </w:rPr>
        <w:t>CONCLUSION</w:t>
      </w:r>
    </w:p>
    <w:p w14:paraId="71937204" w14:textId="77777777" w:rsidR="00515AEA" w:rsidRPr="00515AEA" w:rsidRDefault="00515AEA" w:rsidP="00515AEA">
      <w:pPr>
        <w:pStyle w:val="Body"/>
        <w:widowControl w:val="0"/>
        <w:spacing w:line="480" w:lineRule="auto"/>
        <w:ind w:firstLine="720"/>
        <w:jc w:val="both"/>
        <w:rPr>
          <w:sz w:val="28"/>
          <w:szCs w:val="28"/>
        </w:rPr>
      </w:pPr>
      <w:r w:rsidRPr="00515AEA">
        <w:rPr>
          <w:sz w:val="28"/>
          <w:szCs w:val="28"/>
        </w:rPr>
        <w:t xml:space="preserve">Petitioner’s recommended rule deletion/modification threatens the fairness of criminal proceedings held in Arizona courts and should be rejected for all of the reasons set forth herein.  The </w:t>
      </w:r>
      <w:r>
        <w:rPr>
          <w:sz w:val="28"/>
          <w:szCs w:val="28"/>
        </w:rPr>
        <w:t>State Bar</w:t>
      </w:r>
      <w:r w:rsidRPr="00515AEA">
        <w:rPr>
          <w:sz w:val="28"/>
          <w:szCs w:val="28"/>
        </w:rPr>
        <w:t xml:space="preserve"> respectfully requests that the Arizona Supreme Court reject the proposed rule changes.</w:t>
      </w:r>
    </w:p>
    <w:p w14:paraId="4089F9B1" w14:textId="77777777" w:rsidR="000C48A9" w:rsidRDefault="00E411A6" w:rsidP="001601CC">
      <w:pPr>
        <w:pStyle w:val="Body"/>
        <w:widowControl w:val="0"/>
        <w:tabs>
          <w:tab w:val="left" w:pos="720"/>
        </w:tabs>
        <w:ind w:right="90" w:firstLine="0"/>
        <w:jc w:val="both"/>
        <w:rPr>
          <w:sz w:val="28"/>
          <w:szCs w:val="28"/>
        </w:rPr>
      </w:pPr>
      <w:r>
        <w:rPr>
          <w:sz w:val="28"/>
          <w:szCs w:val="28"/>
        </w:rPr>
        <w:tab/>
      </w:r>
      <w:r w:rsidR="000C48A9" w:rsidRPr="00D92F7A">
        <w:rPr>
          <w:sz w:val="28"/>
          <w:szCs w:val="28"/>
        </w:rPr>
        <w:t>RESPECTFULLY SUBMITTED this ____day of____________</w:t>
      </w:r>
      <w:r>
        <w:rPr>
          <w:sz w:val="28"/>
          <w:szCs w:val="28"/>
        </w:rPr>
        <w:t>____</w:t>
      </w:r>
      <w:r w:rsidR="00F850BE" w:rsidRPr="00D92F7A">
        <w:rPr>
          <w:sz w:val="28"/>
          <w:szCs w:val="28"/>
        </w:rPr>
        <w:t>, 2017</w:t>
      </w:r>
      <w:r w:rsidR="000C48A9" w:rsidRPr="00D92F7A">
        <w:rPr>
          <w:sz w:val="28"/>
          <w:szCs w:val="28"/>
        </w:rPr>
        <w:t>.</w:t>
      </w:r>
    </w:p>
    <w:p w14:paraId="083CC70F" w14:textId="77777777" w:rsidR="001601CC" w:rsidRDefault="001601CC" w:rsidP="001601CC">
      <w:pPr>
        <w:pStyle w:val="Body"/>
        <w:widowControl w:val="0"/>
        <w:tabs>
          <w:tab w:val="left" w:pos="720"/>
        </w:tabs>
        <w:ind w:right="90" w:firstLine="0"/>
        <w:jc w:val="both"/>
        <w:rPr>
          <w:sz w:val="28"/>
          <w:szCs w:val="28"/>
        </w:rPr>
      </w:pPr>
    </w:p>
    <w:p w14:paraId="1EAD3011" w14:textId="77777777" w:rsidR="001601CC" w:rsidRPr="00D92F7A" w:rsidRDefault="001601CC" w:rsidP="001601CC">
      <w:pPr>
        <w:pStyle w:val="Body"/>
        <w:widowControl w:val="0"/>
        <w:tabs>
          <w:tab w:val="left" w:pos="720"/>
        </w:tabs>
        <w:ind w:right="90" w:firstLine="0"/>
        <w:jc w:val="both"/>
        <w:rPr>
          <w:sz w:val="28"/>
          <w:szCs w:val="28"/>
        </w:rPr>
      </w:pPr>
    </w:p>
    <w:p w14:paraId="7519B6B1" w14:textId="77777777" w:rsidR="000C48A9" w:rsidRPr="00D92F7A" w:rsidRDefault="00F850BE" w:rsidP="000C48A9">
      <w:pPr>
        <w:pStyle w:val="PleadingSignature"/>
        <w:keepNext w:val="0"/>
        <w:keepLines w:val="0"/>
        <w:pBdr>
          <w:top w:val="single" w:sz="4" w:space="1" w:color="auto"/>
        </w:pBdr>
        <w:spacing w:line="240" w:lineRule="auto"/>
        <w:ind w:left="5070"/>
        <w:rPr>
          <w:sz w:val="28"/>
          <w:szCs w:val="28"/>
        </w:rPr>
      </w:pPr>
      <w:r w:rsidRPr="00D92F7A">
        <w:rPr>
          <w:sz w:val="28"/>
          <w:szCs w:val="28"/>
        </w:rPr>
        <w:t>Lisa M. Panahi</w:t>
      </w:r>
    </w:p>
    <w:p w14:paraId="76829F2E" w14:textId="77777777" w:rsidR="000C48A9" w:rsidRDefault="000C48A9" w:rsidP="000C48A9">
      <w:pPr>
        <w:pStyle w:val="PleadingSignature"/>
        <w:keepNext w:val="0"/>
        <w:keepLines w:val="0"/>
        <w:spacing w:line="240" w:lineRule="auto"/>
        <w:ind w:left="5070"/>
        <w:rPr>
          <w:sz w:val="28"/>
          <w:szCs w:val="28"/>
        </w:rPr>
      </w:pPr>
      <w:r w:rsidRPr="00D92F7A">
        <w:rPr>
          <w:sz w:val="28"/>
          <w:szCs w:val="28"/>
        </w:rPr>
        <w:t>General Counsel</w:t>
      </w:r>
    </w:p>
    <w:p w14:paraId="0C74CDC1" w14:textId="77777777" w:rsidR="0060325B" w:rsidRPr="00D92F7A" w:rsidRDefault="0060325B" w:rsidP="000C48A9">
      <w:pPr>
        <w:pStyle w:val="PleadingSignature"/>
        <w:keepNext w:val="0"/>
        <w:keepLines w:val="0"/>
        <w:spacing w:line="240" w:lineRule="auto"/>
        <w:ind w:left="5070"/>
        <w:rPr>
          <w:sz w:val="28"/>
          <w:szCs w:val="28"/>
        </w:rPr>
      </w:pPr>
    </w:p>
    <w:p w14:paraId="0C21A3B9" w14:textId="77777777" w:rsidR="000C48A9" w:rsidRPr="00D92F7A" w:rsidRDefault="000C48A9" w:rsidP="004331B2">
      <w:pPr>
        <w:widowControl w:val="0"/>
        <w:spacing w:line="240" w:lineRule="auto"/>
        <w:ind w:right="4140"/>
        <w:rPr>
          <w:sz w:val="28"/>
          <w:szCs w:val="28"/>
        </w:rPr>
      </w:pPr>
      <w:r w:rsidRPr="00D92F7A">
        <w:rPr>
          <w:sz w:val="28"/>
          <w:szCs w:val="28"/>
        </w:rPr>
        <w:lastRenderedPageBreak/>
        <w:t>Electronic copy filed with the</w:t>
      </w:r>
    </w:p>
    <w:p w14:paraId="01929500" w14:textId="77777777" w:rsidR="000C48A9" w:rsidRPr="00D92F7A" w:rsidRDefault="000C48A9" w:rsidP="004331B2">
      <w:pPr>
        <w:spacing w:line="240" w:lineRule="auto"/>
        <w:ind w:right="4140"/>
        <w:rPr>
          <w:sz w:val="28"/>
          <w:szCs w:val="28"/>
        </w:rPr>
      </w:pPr>
      <w:r w:rsidRPr="00D92F7A">
        <w:rPr>
          <w:sz w:val="28"/>
          <w:szCs w:val="28"/>
        </w:rPr>
        <w:t>Clerk of the Arizona Supreme Court</w:t>
      </w:r>
    </w:p>
    <w:p w14:paraId="6F6ADB97" w14:textId="77777777" w:rsidR="000C48A9" w:rsidRDefault="000C48A9" w:rsidP="00C52E56">
      <w:pPr>
        <w:tabs>
          <w:tab w:val="left" w:pos="4836"/>
        </w:tabs>
        <w:spacing w:line="240" w:lineRule="auto"/>
        <w:ind w:right="3870"/>
        <w:rPr>
          <w:sz w:val="28"/>
          <w:szCs w:val="28"/>
        </w:rPr>
      </w:pPr>
      <w:proofErr w:type="gramStart"/>
      <w:r w:rsidRPr="00D92F7A">
        <w:rPr>
          <w:sz w:val="28"/>
          <w:szCs w:val="28"/>
        </w:rPr>
        <w:t>t</w:t>
      </w:r>
      <w:r w:rsidR="000F7A7F" w:rsidRPr="00D92F7A">
        <w:rPr>
          <w:sz w:val="28"/>
          <w:szCs w:val="28"/>
        </w:rPr>
        <w:t>his</w:t>
      </w:r>
      <w:proofErr w:type="gramEnd"/>
      <w:r w:rsidR="000F7A7F" w:rsidRPr="00D92F7A">
        <w:rPr>
          <w:sz w:val="28"/>
          <w:szCs w:val="28"/>
        </w:rPr>
        <w:t xml:space="preserve"> _____ day of ________________</w:t>
      </w:r>
      <w:r w:rsidR="006F63FD" w:rsidRPr="00D92F7A">
        <w:rPr>
          <w:sz w:val="28"/>
          <w:szCs w:val="28"/>
        </w:rPr>
        <w:t xml:space="preserve">___, </w:t>
      </w:r>
      <w:r w:rsidR="00F850BE" w:rsidRPr="00D92F7A">
        <w:rPr>
          <w:sz w:val="28"/>
          <w:szCs w:val="28"/>
        </w:rPr>
        <w:t>2017</w:t>
      </w:r>
      <w:r w:rsidR="000F7A7F" w:rsidRPr="00D92F7A">
        <w:rPr>
          <w:sz w:val="28"/>
          <w:szCs w:val="28"/>
        </w:rPr>
        <w:t>.</w:t>
      </w:r>
    </w:p>
    <w:p w14:paraId="78061B95" w14:textId="77777777" w:rsidR="0060325B" w:rsidRPr="00D92F7A" w:rsidRDefault="0060325B" w:rsidP="00C52E56">
      <w:pPr>
        <w:tabs>
          <w:tab w:val="left" w:pos="4836"/>
        </w:tabs>
        <w:spacing w:line="240" w:lineRule="auto"/>
        <w:ind w:right="3870"/>
        <w:rPr>
          <w:sz w:val="28"/>
          <w:szCs w:val="28"/>
        </w:rPr>
      </w:pPr>
    </w:p>
    <w:p w14:paraId="717731B4" w14:textId="77777777" w:rsidR="000F7A7F" w:rsidRPr="00D92F7A" w:rsidRDefault="000F7A7F" w:rsidP="000C48A9">
      <w:pPr>
        <w:spacing w:line="240" w:lineRule="auto"/>
        <w:ind w:right="4572"/>
        <w:rPr>
          <w:sz w:val="28"/>
          <w:szCs w:val="28"/>
        </w:rPr>
      </w:pPr>
    </w:p>
    <w:p w14:paraId="04BAC9E5" w14:textId="77777777" w:rsidR="000C48A9" w:rsidRPr="00D92F7A" w:rsidRDefault="000C48A9" w:rsidP="000C48A9">
      <w:pPr>
        <w:spacing w:line="240" w:lineRule="auto"/>
        <w:ind w:right="4572"/>
        <w:rPr>
          <w:sz w:val="28"/>
          <w:szCs w:val="28"/>
        </w:rPr>
      </w:pPr>
      <w:proofErr w:type="gramStart"/>
      <w:r w:rsidRPr="00D92F7A">
        <w:rPr>
          <w:sz w:val="28"/>
          <w:szCs w:val="28"/>
        </w:rPr>
        <w:t>by</w:t>
      </w:r>
      <w:proofErr w:type="gramEnd"/>
      <w:r w:rsidRPr="00D92F7A">
        <w:rPr>
          <w:sz w:val="28"/>
          <w:szCs w:val="28"/>
        </w:rPr>
        <w:t>: ___________________________</w:t>
      </w:r>
      <w:r w:rsidR="004331B2" w:rsidRPr="00D92F7A">
        <w:rPr>
          <w:sz w:val="28"/>
          <w:szCs w:val="28"/>
        </w:rPr>
        <w:t>____</w:t>
      </w:r>
      <w:r w:rsidRPr="00D92F7A">
        <w:rPr>
          <w:sz w:val="28"/>
          <w:szCs w:val="28"/>
        </w:rPr>
        <w:t xml:space="preserve"> </w:t>
      </w:r>
    </w:p>
    <w:p w14:paraId="0CE00147" w14:textId="77777777" w:rsidR="00494BDF" w:rsidRPr="00D92F7A" w:rsidRDefault="00494BDF" w:rsidP="000C48A9">
      <w:pPr>
        <w:pStyle w:val="Body"/>
        <w:widowControl w:val="0"/>
        <w:ind w:firstLine="0"/>
        <w:jc w:val="both"/>
        <w:rPr>
          <w:sz w:val="28"/>
          <w:szCs w:val="28"/>
        </w:rPr>
      </w:pPr>
    </w:p>
    <w:p w14:paraId="089DC548" w14:textId="77777777" w:rsidR="00933EA1" w:rsidRPr="00D92F7A" w:rsidRDefault="00933EA1" w:rsidP="000F7C13">
      <w:pPr>
        <w:spacing w:line="240" w:lineRule="auto"/>
        <w:rPr>
          <w:strike/>
          <w:sz w:val="28"/>
          <w:szCs w:val="28"/>
        </w:rPr>
      </w:pPr>
    </w:p>
    <w:p w14:paraId="27A60F62" w14:textId="77777777" w:rsidR="00933EA1" w:rsidRPr="00D92F7A" w:rsidRDefault="00933EA1" w:rsidP="00933EA1">
      <w:pPr>
        <w:rPr>
          <w:sz w:val="28"/>
          <w:szCs w:val="28"/>
        </w:rPr>
      </w:pPr>
    </w:p>
    <w:p w14:paraId="28A8ED3B" w14:textId="77777777" w:rsidR="00052372" w:rsidRDefault="00052372" w:rsidP="00933EA1">
      <w:pPr>
        <w:tabs>
          <w:tab w:val="left" w:pos="8145"/>
        </w:tabs>
        <w:rPr>
          <w:sz w:val="28"/>
          <w:szCs w:val="28"/>
        </w:rPr>
      </w:pPr>
    </w:p>
    <w:p w14:paraId="73A1C6F9" w14:textId="77777777" w:rsidR="00726A59" w:rsidRDefault="00726A59" w:rsidP="00933EA1">
      <w:pPr>
        <w:tabs>
          <w:tab w:val="left" w:pos="8145"/>
        </w:tabs>
        <w:rPr>
          <w:sz w:val="28"/>
          <w:szCs w:val="28"/>
        </w:rPr>
      </w:pPr>
    </w:p>
    <w:p w14:paraId="205B36CB" w14:textId="77777777" w:rsidR="00726A59" w:rsidRPr="00D92F7A" w:rsidRDefault="00726A59" w:rsidP="00933EA1">
      <w:pPr>
        <w:tabs>
          <w:tab w:val="left" w:pos="8145"/>
        </w:tabs>
        <w:rPr>
          <w:sz w:val="28"/>
          <w:szCs w:val="28"/>
        </w:rPr>
      </w:pPr>
    </w:p>
    <w:sectPr w:rsidR="00726A59" w:rsidRPr="00D92F7A" w:rsidSect="001601CC">
      <w:headerReference w:type="default" r:id="rId17"/>
      <w:footerReference w:type="even" r:id="rId18"/>
      <w:footerReference w:type="default" r:id="rId19"/>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1EBE6" w14:textId="77777777" w:rsidR="0084033C" w:rsidRDefault="0084033C">
      <w:r>
        <w:separator/>
      </w:r>
    </w:p>
  </w:endnote>
  <w:endnote w:type="continuationSeparator" w:id="0">
    <w:p w14:paraId="1F5728D2" w14:textId="77777777" w:rsidR="0084033C" w:rsidRDefault="0084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St BT">
    <w:altName w:val="Georgia"/>
    <w:charset w:val="00"/>
    <w:family w:val="roman"/>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40197" w14:textId="77777777" w:rsidR="0084033C" w:rsidRDefault="0084033C"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1DD620" w14:textId="77777777" w:rsidR="0084033C" w:rsidRDefault="0084033C" w:rsidP="00861563">
    <w:pPr>
      <w:pStyle w:val="Footer"/>
      <w:ind w:right="360"/>
    </w:pPr>
  </w:p>
  <w:p w14:paraId="7AAC3C0C" w14:textId="77777777" w:rsidR="0084033C" w:rsidRDefault="0084033C"/>
  <w:p w14:paraId="3C88A1EE" w14:textId="77777777" w:rsidR="0084033C" w:rsidRDefault="008403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965352"/>
      <w:docPartObj>
        <w:docPartGallery w:val="Page Numbers (Bottom of Page)"/>
        <w:docPartUnique/>
      </w:docPartObj>
    </w:sdtPr>
    <w:sdtEndPr>
      <w:rPr>
        <w:noProof/>
        <w:sz w:val="26"/>
        <w:szCs w:val="26"/>
      </w:rPr>
    </w:sdtEndPr>
    <w:sdtContent>
      <w:p w14:paraId="31885A45" w14:textId="77777777" w:rsidR="0084033C" w:rsidRPr="006B4F9A" w:rsidRDefault="0084033C">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CB49E6">
          <w:rPr>
            <w:noProof/>
            <w:sz w:val="26"/>
            <w:szCs w:val="26"/>
          </w:rPr>
          <w:t>16</w:t>
        </w:r>
        <w:r w:rsidRPr="006B4F9A">
          <w:rPr>
            <w:noProof/>
            <w:sz w:val="26"/>
            <w:szCs w:val="26"/>
          </w:rPr>
          <w:fldChar w:fldCharType="end"/>
        </w:r>
      </w:p>
    </w:sdtContent>
  </w:sdt>
  <w:p w14:paraId="56FBDFC2" w14:textId="77777777" w:rsidR="0084033C" w:rsidRDefault="0084033C"/>
  <w:p w14:paraId="17C3F563" w14:textId="77777777" w:rsidR="0084033C" w:rsidRDefault="008403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ACDDF" w14:textId="77777777" w:rsidR="0084033C" w:rsidRDefault="0084033C">
      <w:r>
        <w:separator/>
      </w:r>
    </w:p>
  </w:footnote>
  <w:footnote w:type="continuationSeparator" w:id="0">
    <w:p w14:paraId="1B62CBCD" w14:textId="77777777" w:rsidR="0084033C" w:rsidRDefault="00840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C50C3" w14:textId="77777777" w:rsidR="0084033C" w:rsidRDefault="0084033C">
    <w:pPr>
      <w:pStyle w:val="Header"/>
    </w:pPr>
    <w:r>
      <w:rPr>
        <w:noProof/>
      </w:rPr>
      <mc:AlternateContent>
        <mc:Choice Requires="wps">
          <w:drawing>
            <wp:anchor distT="0" distB="0" distL="114300" distR="114300" simplePos="0" relativeHeight="251658240" behindDoc="0" locked="0" layoutInCell="1" allowOverlap="1" wp14:anchorId="76E0909A" wp14:editId="20186BB8">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63E92A6A" wp14:editId="030D03AC">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255284D3" wp14:editId="69BE53FD">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202325D4" w14:textId="77777777" w:rsidR="0084033C" w:rsidRDefault="0084033C">
    <w:r>
      <w:rPr>
        <w:noProof/>
      </w:rPr>
      <mc:AlternateContent>
        <mc:Choice Requires="wps">
          <w:drawing>
            <wp:anchor distT="0" distB="0" distL="114300" distR="114300" simplePos="0" relativeHeight="251659264" behindDoc="0" locked="0" layoutInCell="1" allowOverlap="1" wp14:anchorId="45A910BD" wp14:editId="01F3F7DC">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9D486" w14:textId="77777777" w:rsidR="0084033C" w:rsidRPr="00000C35" w:rsidRDefault="0084033C">
                          <w:pPr>
                            <w:jc w:val="right"/>
                            <w:rPr>
                              <w:sz w:val="28"/>
                              <w:szCs w:val="28"/>
                            </w:rPr>
                          </w:pPr>
                          <w:r w:rsidRPr="00000C35">
                            <w:rPr>
                              <w:sz w:val="28"/>
                              <w:szCs w:val="28"/>
                            </w:rPr>
                            <w:t>1</w:t>
                          </w:r>
                        </w:p>
                        <w:p w14:paraId="1B9AE6A5" w14:textId="77777777" w:rsidR="0084033C" w:rsidRPr="00000C35" w:rsidRDefault="0084033C">
                          <w:pPr>
                            <w:jc w:val="right"/>
                            <w:rPr>
                              <w:sz w:val="28"/>
                              <w:szCs w:val="28"/>
                            </w:rPr>
                          </w:pPr>
                          <w:r w:rsidRPr="00000C35">
                            <w:rPr>
                              <w:sz w:val="28"/>
                              <w:szCs w:val="28"/>
                            </w:rPr>
                            <w:t>2</w:t>
                          </w:r>
                        </w:p>
                        <w:p w14:paraId="208F0E87" w14:textId="77777777" w:rsidR="0084033C" w:rsidRPr="00000C35" w:rsidRDefault="0084033C">
                          <w:pPr>
                            <w:jc w:val="right"/>
                            <w:rPr>
                              <w:sz w:val="28"/>
                              <w:szCs w:val="28"/>
                            </w:rPr>
                          </w:pPr>
                          <w:r w:rsidRPr="00000C35">
                            <w:rPr>
                              <w:sz w:val="28"/>
                              <w:szCs w:val="28"/>
                            </w:rPr>
                            <w:t>3</w:t>
                          </w:r>
                        </w:p>
                        <w:p w14:paraId="2B2D0891" w14:textId="77777777" w:rsidR="0084033C" w:rsidRPr="00000C35" w:rsidRDefault="0084033C">
                          <w:pPr>
                            <w:jc w:val="right"/>
                            <w:rPr>
                              <w:sz w:val="28"/>
                              <w:szCs w:val="28"/>
                            </w:rPr>
                          </w:pPr>
                          <w:r w:rsidRPr="00000C35">
                            <w:rPr>
                              <w:sz w:val="28"/>
                              <w:szCs w:val="28"/>
                            </w:rPr>
                            <w:t>4</w:t>
                          </w:r>
                        </w:p>
                        <w:p w14:paraId="79AE6D00" w14:textId="77777777" w:rsidR="0084033C" w:rsidRPr="00000C35" w:rsidRDefault="0084033C">
                          <w:pPr>
                            <w:jc w:val="right"/>
                            <w:rPr>
                              <w:sz w:val="28"/>
                              <w:szCs w:val="28"/>
                            </w:rPr>
                          </w:pPr>
                          <w:r w:rsidRPr="00000C35">
                            <w:rPr>
                              <w:sz w:val="28"/>
                              <w:szCs w:val="28"/>
                            </w:rPr>
                            <w:t>5</w:t>
                          </w:r>
                        </w:p>
                        <w:p w14:paraId="3398A066" w14:textId="77777777" w:rsidR="0084033C" w:rsidRPr="00000C35" w:rsidRDefault="0084033C">
                          <w:pPr>
                            <w:jc w:val="right"/>
                            <w:rPr>
                              <w:sz w:val="28"/>
                              <w:szCs w:val="28"/>
                            </w:rPr>
                          </w:pPr>
                          <w:r w:rsidRPr="00000C35">
                            <w:rPr>
                              <w:sz w:val="28"/>
                              <w:szCs w:val="28"/>
                            </w:rPr>
                            <w:t>6</w:t>
                          </w:r>
                        </w:p>
                        <w:p w14:paraId="014E253A" w14:textId="77777777" w:rsidR="0084033C" w:rsidRPr="00000C35" w:rsidRDefault="0084033C">
                          <w:pPr>
                            <w:jc w:val="right"/>
                            <w:rPr>
                              <w:sz w:val="28"/>
                              <w:szCs w:val="28"/>
                            </w:rPr>
                          </w:pPr>
                          <w:r w:rsidRPr="00000C35">
                            <w:rPr>
                              <w:sz w:val="28"/>
                              <w:szCs w:val="28"/>
                            </w:rPr>
                            <w:t>7</w:t>
                          </w:r>
                        </w:p>
                        <w:p w14:paraId="2DF6D014" w14:textId="77777777" w:rsidR="0084033C" w:rsidRPr="00000C35" w:rsidRDefault="0084033C">
                          <w:pPr>
                            <w:jc w:val="right"/>
                            <w:rPr>
                              <w:sz w:val="28"/>
                              <w:szCs w:val="28"/>
                            </w:rPr>
                          </w:pPr>
                          <w:r w:rsidRPr="00000C35">
                            <w:rPr>
                              <w:sz w:val="28"/>
                              <w:szCs w:val="28"/>
                            </w:rPr>
                            <w:t>8</w:t>
                          </w:r>
                        </w:p>
                        <w:p w14:paraId="709956F8" w14:textId="77777777" w:rsidR="0084033C" w:rsidRPr="00000C35" w:rsidRDefault="0084033C">
                          <w:pPr>
                            <w:jc w:val="right"/>
                            <w:rPr>
                              <w:sz w:val="28"/>
                              <w:szCs w:val="28"/>
                            </w:rPr>
                          </w:pPr>
                          <w:r w:rsidRPr="00000C35">
                            <w:rPr>
                              <w:sz w:val="28"/>
                              <w:szCs w:val="28"/>
                            </w:rPr>
                            <w:t>9</w:t>
                          </w:r>
                        </w:p>
                        <w:p w14:paraId="45AA6D47" w14:textId="77777777" w:rsidR="0084033C" w:rsidRPr="00000C35" w:rsidRDefault="0084033C">
                          <w:pPr>
                            <w:jc w:val="right"/>
                            <w:rPr>
                              <w:sz w:val="28"/>
                              <w:szCs w:val="28"/>
                            </w:rPr>
                          </w:pPr>
                          <w:r w:rsidRPr="00000C35">
                            <w:rPr>
                              <w:sz w:val="28"/>
                              <w:szCs w:val="28"/>
                            </w:rPr>
                            <w:t>10</w:t>
                          </w:r>
                        </w:p>
                        <w:p w14:paraId="362F24B8" w14:textId="77777777" w:rsidR="0084033C" w:rsidRPr="00000C35" w:rsidRDefault="0084033C">
                          <w:pPr>
                            <w:jc w:val="right"/>
                            <w:rPr>
                              <w:sz w:val="28"/>
                              <w:szCs w:val="28"/>
                            </w:rPr>
                          </w:pPr>
                          <w:r w:rsidRPr="00000C35">
                            <w:rPr>
                              <w:sz w:val="28"/>
                              <w:szCs w:val="28"/>
                            </w:rPr>
                            <w:t>11</w:t>
                          </w:r>
                        </w:p>
                        <w:p w14:paraId="49A07E36" w14:textId="77777777" w:rsidR="0084033C" w:rsidRPr="00000C35" w:rsidRDefault="0084033C">
                          <w:pPr>
                            <w:jc w:val="right"/>
                            <w:rPr>
                              <w:sz w:val="28"/>
                              <w:szCs w:val="28"/>
                            </w:rPr>
                          </w:pPr>
                          <w:r w:rsidRPr="00000C35">
                            <w:rPr>
                              <w:sz w:val="28"/>
                              <w:szCs w:val="28"/>
                            </w:rPr>
                            <w:t>12</w:t>
                          </w:r>
                        </w:p>
                        <w:p w14:paraId="2D16AF84" w14:textId="77777777" w:rsidR="0084033C" w:rsidRPr="00000C35" w:rsidRDefault="0084033C">
                          <w:pPr>
                            <w:jc w:val="right"/>
                            <w:rPr>
                              <w:sz w:val="28"/>
                              <w:szCs w:val="28"/>
                            </w:rPr>
                          </w:pPr>
                          <w:r w:rsidRPr="00000C35">
                            <w:rPr>
                              <w:sz w:val="28"/>
                              <w:szCs w:val="28"/>
                            </w:rPr>
                            <w:t>13</w:t>
                          </w:r>
                        </w:p>
                        <w:p w14:paraId="5A5822E2" w14:textId="77777777" w:rsidR="0084033C" w:rsidRPr="00000C35" w:rsidRDefault="0084033C">
                          <w:pPr>
                            <w:jc w:val="right"/>
                            <w:rPr>
                              <w:sz w:val="28"/>
                              <w:szCs w:val="28"/>
                            </w:rPr>
                          </w:pPr>
                          <w:r w:rsidRPr="00000C35">
                            <w:rPr>
                              <w:sz w:val="28"/>
                              <w:szCs w:val="28"/>
                            </w:rPr>
                            <w:t>14</w:t>
                          </w:r>
                        </w:p>
                        <w:p w14:paraId="023F2055" w14:textId="77777777" w:rsidR="0084033C" w:rsidRPr="00000C35" w:rsidRDefault="0084033C">
                          <w:pPr>
                            <w:jc w:val="right"/>
                            <w:rPr>
                              <w:sz w:val="28"/>
                              <w:szCs w:val="28"/>
                            </w:rPr>
                          </w:pPr>
                          <w:r w:rsidRPr="00000C35">
                            <w:rPr>
                              <w:sz w:val="28"/>
                              <w:szCs w:val="28"/>
                            </w:rPr>
                            <w:t>15</w:t>
                          </w:r>
                        </w:p>
                        <w:p w14:paraId="4AC80364" w14:textId="77777777" w:rsidR="0084033C" w:rsidRPr="00000C35" w:rsidRDefault="0084033C">
                          <w:pPr>
                            <w:jc w:val="right"/>
                            <w:rPr>
                              <w:sz w:val="28"/>
                              <w:szCs w:val="28"/>
                            </w:rPr>
                          </w:pPr>
                          <w:r w:rsidRPr="00000C35">
                            <w:rPr>
                              <w:sz w:val="28"/>
                              <w:szCs w:val="28"/>
                            </w:rPr>
                            <w:t>16</w:t>
                          </w:r>
                        </w:p>
                        <w:p w14:paraId="7636FB1A" w14:textId="77777777" w:rsidR="0084033C" w:rsidRPr="00000C35" w:rsidRDefault="0084033C">
                          <w:pPr>
                            <w:jc w:val="right"/>
                            <w:rPr>
                              <w:sz w:val="28"/>
                              <w:szCs w:val="28"/>
                            </w:rPr>
                          </w:pPr>
                          <w:r w:rsidRPr="00000C35">
                            <w:rPr>
                              <w:sz w:val="28"/>
                              <w:szCs w:val="28"/>
                            </w:rPr>
                            <w:t>17</w:t>
                          </w:r>
                        </w:p>
                        <w:p w14:paraId="364C1B3E" w14:textId="77777777" w:rsidR="0084033C" w:rsidRPr="00000C35" w:rsidRDefault="0084033C">
                          <w:pPr>
                            <w:jc w:val="right"/>
                            <w:rPr>
                              <w:sz w:val="28"/>
                              <w:szCs w:val="28"/>
                            </w:rPr>
                          </w:pPr>
                          <w:r w:rsidRPr="00000C35">
                            <w:rPr>
                              <w:sz w:val="28"/>
                              <w:szCs w:val="28"/>
                            </w:rPr>
                            <w:t>18</w:t>
                          </w:r>
                        </w:p>
                        <w:p w14:paraId="20BDEAAC" w14:textId="77777777" w:rsidR="0084033C" w:rsidRPr="00000C35" w:rsidRDefault="0084033C">
                          <w:pPr>
                            <w:jc w:val="right"/>
                            <w:rPr>
                              <w:sz w:val="28"/>
                              <w:szCs w:val="28"/>
                            </w:rPr>
                          </w:pPr>
                          <w:r w:rsidRPr="00000C35">
                            <w:rPr>
                              <w:sz w:val="28"/>
                              <w:szCs w:val="28"/>
                            </w:rPr>
                            <w:t>19</w:t>
                          </w:r>
                        </w:p>
                        <w:p w14:paraId="30E09776" w14:textId="77777777" w:rsidR="0084033C" w:rsidRPr="00000C35" w:rsidRDefault="0084033C">
                          <w:pPr>
                            <w:jc w:val="right"/>
                            <w:rPr>
                              <w:sz w:val="28"/>
                              <w:szCs w:val="28"/>
                            </w:rPr>
                          </w:pPr>
                          <w:r w:rsidRPr="00000C35">
                            <w:rPr>
                              <w:sz w:val="28"/>
                              <w:szCs w:val="28"/>
                            </w:rPr>
                            <w:t>20</w:t>
                          </w:r>
                        </w:p>
                        <w:p w14:paraId="331F4E94" w14:textId="77777777" w:rsidR="0084033C" w:rsidRPr="00000C35" w:rsidRDefault="0084033C">
                          <w:pPr>
                            <w:jc w:val="right"/>
                            <w:rPr>
                              <w:sz w:val="28"/>
                              <w:szCs w:val="28"/>
                            </w:rPr>
                          </w:pPr>
                          <w:r w:rsidRPr="00000C35">
                            <w:rPr>
                              <w:sz w:val="28"/>
                              <w:szCs w:val="28"/>
                            </w:rPr>
                            <w:t>21</w:t>
                          </w:r>
                        </w:p>
                        <w:p w14:paraId="53164CE5" w14:textId="77777777" w:rsidR="0084033C" w:rsidRPr="00000C35" w:rsidRDefault="0084033C">
                          <w:pPr>
                            <w:jc w:val="right"/>
                            <w:rPr>
                              <w:sz w:val="28"/>
                              <w:szCs w:val="28"/>
                            </w:rPr>
                          </w:pPr>
                          <w:r w:rsidRPr="00000C35">
                            <w:rPr>
                              <w:sz w:val="28"/>
                              <w:szCs w:val="28"/>
                            </w:rPr>
                            <w:t>22</w:t>
                          </w:r>
                        </w:p>
                        <w:p w14:paraId="1990D1D3" w14:textId="77777777" w:rsidR="0084033C" w:rsidRPr="00000C35" w:rsidRDefault="0084033C">
                          <w:pPr>
                            <w:jc w:val="right"/>
                            <w:rPr>
                              <w:sz w:val="28"/>
                              <w:szCs w:val="28"/>
                            </w:rPr>
                          </w:pPr>
                          <w:r w:rsidRPr="00000C35">
                            <w:rPr>
                              <w:sz w:val="28"/>
                              <w:szCs w:val="28"/>
                            </w:rPr>
                            <w:t>23</w:t>
                          </w:r>
                        </w:p>
                        <w:p w14:paraId="63CE3CF4" w14:textId="77777777" w:rsidR="0084033C" w:rsidRPr="00000C35" w:rsidRDefault="0084033C">
                          <w:pPr>
                            <w:jc w:val="right"/>
                            <w:rPr>
                              <w:sz w:val="28"/>
                              <w:szCs w:val="28"/>
                            </w:rPr>
                          </w:pPr>
                          <w:r w:rsidRPr="00000C35">
                            <w:rPr>
                              <w:sz w:val="28"/>
                              <w:szCs w:val="28"/>
                            </w:rPr>
                            <w:t>24</w:t>
                          </w:r>
                        </w:p>
                        <w:p w14:paraId="7A054A68" w14:textId="77777777" w:rsidR="0084033C" w:rsidRPr="00000C35" w:rsidRDefault="0084033C">
                          <w:pPr>
                            <w:jc w:val="right"/>
                            <w:rPr>
                              <w:sz w:val="28"/>
                              <w:szCs w:val="28"/>
                            </w:rPr>
                          </w:pPr>
                          <w:r w:rsidRPr="00000C35">
                            <w:rPr>
                              <w:sz w:val="28"/>
                              <w:szCs w:val="28"/>
                            </w:rPr>
                            <w:t>25</w:t>
                          </w:r>
                        </w:p>
                        <w:p w14:paraId="38047BF5" w14:textId="77777777" w:rsidR="0084033C" w:rsidRPr="00000C35" w:rsidRDefault="0084033C">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p w14:paraId="7F6EF973" w14:textId="77777777" w:rsidR="0084033C" w:rsidRDefault="008403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0903"/>
    <w:multiLevelType w:val="hybridMultilevel"/>
    <w:tmpl w:val="2698F8CE"/>
    <w:lvl w:ilvl="0" w:tplc="20BE975C">
      <w:start w:val="1"/>
      <w:numFmt w:val="upperRoman"/>
      <w:lvlText w:val="%1."/>
      <w:lvlJc w:val="left"/>
      <w:pPr>
        <w:ind w:left="1440" w:hanging="720"/>
      </w:pPr>
      <w:rPr>
        <w:rFonts w:hint="default"/>
      </w:rPr>
    </w:lvl>
    <w:lvl w:ilvl="1" w:tplc="131688C0" w:tentative="1">
      <w:start w:val="1"/>
      <w:numFmt w:val="lowerLetter"/>
      <w:lvlText w:val="%2."/>
      <w:lvlJc w:val="left"/>
      <w:pPr>
        <w:ind w:left="1800" w:hanging="360"/>
      </w:pPr>
    </w:lvl>
    <w:lvl w:ilvl="2" w:tplc="D2AA8108" w:tentative="1">
      <w:start w:val="1"/>
      <w:numFmt w:val="lowerRoman"/>
      <w:lvlText w:val="%3."/>
      <w:lvlJc w:val="right"/>
      <w:pPr>
        <w:ind w:left="2520" w:hanging="180"/>
      </w:pPr>
    </w:lvl>
    <w:lvl w:ilvl="3" w:tplc="708C0FC0" w:tentative="1">
      <w:start w:val="1"/>
      <w:numFmt w:val="decimal"/>
      <w:lvlText w:val="%4."/>
      <w:lvlJc w:val="left"/>
      <w:pPr>
        <w:ind w:left="3240" w:hanging="360"/>
      </w:pPr>
    </w:lvl>
    <w:lvl w:ilvl="4" w:tplc="A998BCE0" w:tentative="1">
      <w:start w:val="1"/>
      <w:numFmt w:val="lowerLetter"/>
      <w:lvlText w:val="%5."/>
      <w:lvlJc w:val="left"/>
      <w:pPr>
        <w:ind w:left="3960" w:hanging="360"/>
      </w:pPr>
    </w:lvl>
    <w:lvl w:ilvl="5" w:tplc="5226F086" w:tentative="1">
      <w:start w:val="1"/>
      <w:numFmt w:val="lowerRoman"/>
      <w:lvlText w:val="%6."/>
      <w:lvlJc w:val="right"/>
      <w:pPr>
        <w:ind w:left="4680" w:hanging="180"/>
      </w:pPr>
    </w:lvl>
    <w:lvl w:ilvl="6" w:tplc="C902F15A" w:tentative="1">
      <w:start w:val="1"/>
      <w:numFmt w:val="decimal"/>
      <w:lvlText w:val="%7."/>
      <w:lvlJc w:val="left"/>
      <w:pPr>
        <w:ind w:left="5400" w:hanging="360"/>
      </w:pPr>
    </w:lvl>
    <w:lvl w:ilvl="7" w:tplc="A738A6AE" w:tentative="1">
      <w:start w:val="1"/>
      <w:numFmt w:val="lowerLetter"/>
      <w:lvlText w:val="%8."/>
      <w:lvlJc w:val="left"/>
      <w:pPr>
        <w:ind w:left="6120" w:hanging="360"/>
      </w:pPr>
    </w:lvl>
    <w:lvl w:ilvl="8" w:tplc="FCF6F2F6" w:tentative="1">
      <w:start w:val="1"/>
      <w:numFmt w:val="lowerRoman"/>
      <w:lvlText w:val="%9."/>
      <w:lvlJc w:val="right"/>
      <w:pPr>
        <w:ind w:left="6840" w:hanging="180"/>
      </w:pPr>
    </w:lvl>
  </w:abstractNum>
  <w:abstractNum w:abstractNumId="1" w15:restartNumberingAfterBreak="0">
    <w:nsid w:val="133102EE"/>
    <w:multiLevelType w:val="hybridMultilevel"/>
    <w:tmpl w:val="2C2C1160"/>
    <w:lvl w:ilvl="0" w:tplc="1D5EE31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EB5F70"/>
    <w:multiLevelType w:val="hybridMultilevel"/>
    <w:tmpl w:val="D466E07E"/>
    <w:lvl w:ilvl="0" w:tplc="3B14BE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813699"/>
    <w:multiLevelType w:val="hybridMultilevel"/>
    <w:tmpl w:val="78AA7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6"/>
  </w:num>
  <w:num w:numId="3">
    <w:abstractNumId w:val="2"/>
  </w:num>
  <w:num w:numId="4">
    <w:abstractNumId w:val="6"/>
  </w:num>
  <w:num w:numId="5">
    <w:abstractNumId w:val="8"/>
  </w:num>
  <w:num w:numId="6">
    <w:abstractNumId w:val="9"/>
  </w:num>
  <w:num w:numId="7">
    <w:abstractNumId w:val="3"/>
  </w:num>
  <w:num w:numId="8">
    <w:abstractNumId w:val="17"/>
  </w:num>
  <w:num w:numId="9">
    <w:abstractNumId w:val="10"/>
  </w:num>
  <w:num w:numId="10">
    <w:abstractNumId w:val="13"/>
  </w:num>
  <w:num w:numId="11">
    <w:abstractNumId w:val="12"/>
  </w:num>
  <w:num w:numId="12">
    <w:abstractNumId w:val="7"/>
  </w:num>
  <w:num w:numId="13">
    <w:abstractNumId w:val="4"/>
  </w:num>
  <w:num w:numId="14">
    <w:abstractNumId w:val="5"/>
  </w:num>
  <w:num w:numId="15">
    <w:abstractNumId w:val="15"/>
  </w:num>
  <w:num w:numId="16">
    <w:abstractNumId w:val="0"/>
  </w:num>
  <w:num w:numId="17">
    <w:abstractNumId w:val="1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12025"/>
    <w:rsid w:val="000410B3"/>
    <w:rsid w:val="00043D4D"/>
    <w:rsid w:val="00052372"/>
    <w:rsid w:val="000666D1"/>
    <w:rsid w:val="000917C0"/>
    <w:rsid w:val="000A1D6B"/>
    <w:rsid w:val="000C48A9"/>
    <w:rsid w:val="000C51ED"/>
    <w:rsid w:val="000F7A7F"/>
    <w:rsid w:val="000F7C13"/>
    <w:rsid w:val="00122201"/>
    <w:rsid w:val="00133177"/>
    <w:rsid w:val="00135326"/>
    <w:rsid w:val="001601CC"/>
    <w:rsid w:val="001A2520"/>
    <w:rsid w:val="001F591C"/>
    <w:rsid w:val="001F6CC9"/>
    <w:rsid w:val="00241BBF"/>
    <w:rsid w:val="00274D6A"/>
    <w:rsid w:val="00285E7C"/>
    <w:rsid w:val="002900C7"/>
    <w:rsid w:val="002C3D5E"/>
    <w:rsid w:val="0031358D"/>
    <w:rsid w:val="00352347"/>
    <w:rsid w:val="003566D6"/>
    <w:rsid w:val="00357F4D"/>
    <w:rsid w:val="003617D1"/>
    <w:rsid w:val="00377199"/>
    <w:rsid w:val="00395092"/>
    <w:rsid w:val="003A28AC"/>
    <w:rsid w:val="003B08FE"/>
    <w:rsid w:val="003F301C"/>
    <w:rsid w:val="00407E2D"/>
    <w:rsid w:val="004331B2"/>
    <w:rsid w:val="00440E4C"/>
    <w:rsid w:val="00463734"/>
    <w:rsid w:val="00494BDF"/>
    <w:rsid w:val="004B03A8"/>
    <w:rsid w:val="004C3AE3"/>
    <w:rsid w:val="004D2185"/>
    <w:rsid w:val="004E0248"/>
    <w:rsid w:val="00504E1E"/>
    <w:rsid w:val="00506859"/>
    <w:rsid w:val="00515AEA"/>
    <w:rsid w:val="00520F93"/>
    <w:rsid w:val="00566856"/>
    <w:rsid w:val="00587AF1"/>
    <w:rsid w:val="005A21B0"/>
    <w:rsid w:val="005A728E"/>
    <w:rsid w:val="005B5161"/>
    <w:rsid w:val="005D6AD4"/>
    <w:rsid w:val="0060325B"/>
    <w:rsid w:val="006338C1"/>
    <w:rsid w:val="00636F5E"/>
    <w:rsid w:val="00663A5D"/>
    <w:rsid w:val="006642A4"/>
    <w:rsid w:val="00665CCF"/>
    <w:rsid w:val="006666D1"/>
    <w:rsid w:val="006721EC"/>
    <w:rsid w:val="006766BF"/>
    <w:rsid w:val="006932BA"/>
    <w:rsid w:val="006B4F9A"/>
    <w:rsid w:val="006F1A38"/>
    <w:rsid w:val="006F63FD"/>
    <w:rsid w:val="00726A59"/>
    <w:rsid w:val="00732169"/>
    <w:rsid w:val="00735659"/>
    <w:rsid w:val="007427C6"/>
    <w:rsid w:val="0077110E"/>
    <w:rsid w:val="007870CB"/>
    <w:rsid w:val="007A3F0F"/>
    <w:rsid w:val="007D5C49"/>
    <w:rsid w:val="007D73FF"/>
    <w:rsid w:val="008006ED"/>
    <w:rsid w:val="00804B82"/>
    <w:rsid w:val="00822598"/>
    <w:rsid w:val="008360A1"/>
    <w:rsid w:val="0084033C"/>
    <w:rsid w:val="00861563"/>
    <w:rsid w:val="00871AAA"/>
    <w:rsid w:val="008760BB"/>
    <w:rsid w:val="00876F57"/>
    <w:rsid w:val="00891AAA"/>
    <w:rsid w:val="008B247F"/>
    <w:rsid w:val="00903283"/>
    <w:rsid w:val="00917EB3"/>
    <w:rsid w:val="00924E9E"/>
    <w:rsid w:val="00933EA1"/>
    <w:rsid w:val="00951416"/>
    <w:rsid w:val="00960D21"/>
    <w:rsid w:val="00977E5F"/>
    <w:rsid w:val="00981D29"/>
    <w:rsid w:val="00981E11"/>
    <w:rsid w:val="009830BC"/>
    <w:rsid w:val="00A1564B"/>
    <w:rsid w:val="00A5194F"/>
    <w:rsid w:val="00A72696"/>
    <w:rsid w:val="00A871D6"/>
    <w:rsid w:val="00A93A7C"/>
    <w:rsid w:val="00AA4F17"/>
    <w:rsid w:val="00AF282C"/>
    <w:rsid w:val="00AF3FF7"/>
    <w:rsid w:val="00B1491D"/>
    <w:rsid w:val="00B17899"/>
    <w:rsid w:val="00B412A7"/>
    <w:rsid w:val="00B47B7D"/>
    <w:rsid w:val="00B51D55"/>
    <w:rsid w:val="00B80661"/>
    <w:rsid w:val="00BF635E"/>
    <w:rsid w:val="00C03E0F"/>
    <w:rsid w:val="00C41CDD"/>
    <w:rsid w:val="00C52E56"/>
    <w:rsid w:val="00C5407A"/>
    <w:rsid w:val="00C662B0"/>
    <w:rsid w:val="00C84FD4"/>
    <w:rsid w:val="00C958EE"/>
    <w:rsid w:val="00CB49E6"/>
    <w:rsid w:val="00CC241B"/>
    <w:rsid w:val="00CD21FB"/>
    <w:rsid w:val="00D423FE"/>
    <w:rsid w:val="00D442E4"/>
    <w:rsid w:val="00D56099"/>
    <w:rsid w:val="00D80EDC"/>
    <w:rsid w:val="00D92F7A"/>
    <w:rsid w:val="00D949F7"/>
    <w:rsid w:val="00DF4F15"/>
    <w:rsid w:val="00E047D3"/>
    <w:rsid w:val="00E266B7"/>
    <w:rsid w:val="00E321C5"/>
    <w:rsid w:val="00E411A6"/>
    <w:rsid w:val="00E5772B"/>
    <w:rsid w:val="00E67511"/>
    <w:rsid w:val="00E82D0F"/>
    <w:rsid w:val="00E950B5"/>
    <w:rsid w:val="00F05879"/>
    <w:rsid w:val="00F06F5B"/>
    <w:rsid w:val="00F2485D"/>
    <w:rsid w:val="00F33926"/>
    <w:rsid w:val="00F60C61"/>
    <w:rsid w:val="00F64B52"/>
    <w:rsid w:val="00F71DFE"/>
    <w:rsid w:val="00F72102"/>
    <w:rsid w:val="00F850BE"/>
    <w:rsid w:val="00F96A1A"/>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FD68425"/>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rsid w:val="004D2185"/>
    <w:pPr>
      <w:widowControl w:val="0"/>
      <w:spacing w:line="480" w:lineRule="exact"/>
      <w:ind w:firstLine="720"/>
      <w:jc w:val="both"/>
    </w:pPr>
    <w:rPr>
      <w:sz w:val="26"/>
    </w:rPr>
  </w:style>
  <w:style w:type="paragraph" w:customStyle="1" w:styleId="ListNoBodyGoudy12">
    <w:name w:val="List No Body Goudy 12"/>
    <w:basedOn w:val="Normal"/>
    <w:rsid w:val="009830BC"/>
    <w:pPr>
      <w:widowControl w:val="0"/>
      <w:tabs>
        <w:tab w:val="left" w:pos="432"/>
        <w:tab w:val="left" w:pos="1872"/>
      </w:tabs>
      <w:autoSpaceDE w:val="0"/>
      <w:autoSpaceDN w:val="0"/>
      <w:adjustRightInd w:val="0"/>
      <w:spacing w:after="120" w:line="360" w:lineRule="auto"/>
      <w:jc w:val="both"/>
    </w:pPr>
    <w:rPr>
      <w:rFonts w:ascii="GoudyOlSt BT" w:hAnsi="GoudyOlSt BT"/>
      <w:sz w:val="24"/>
      <w:szCs w:val="26"/>
    </w:rPr>
  </w:style>
  <w:style w:type="paragraph" w:styleId="ListParagraph">
    <w:name w:val="List Paragraph"/>
    <w:basedOn w:val="Normal"/>
    <w:uiPriority w:val="34"/>
    <w:qFormat/>
    <w:rsid w:val="009830BC"/>
    <w:pPr>
      <w:spacing w:line="240" w:lineRule="auto"/>
      <w:ind w:left="720"/>
      <w:contextualSpacing/>
    </w:pPr>
    <w:rPr>
      <w:sz w:val="24"/>
      <w:szCs w:val="24"/>
    </w:rPr>
  </w:style>
  <w:style w:type="paragraph" w:styleId="NormalWeb">
    <w:name w:val="Normal (Web)"/>
    <w:basedOn w:val="Normal"/>
    <w:uiPriority w:val="99"/>
    <w:unhideWhenUsed/>
    <w:rsid w:val="00122201"/>
    <w:pPr>
      <w:spacing w:before="100" w:beforeAutospacing="1" w:after="100" w:afterAutospacing="1" w:line="240" w:lineRule="auto"/>
    </w:pPr>
    <w:rPr>
      <w:sz w:val="24"/>
      <w:szCs w:val="24"/>
    </w:rPr>
  </w:style>
  <w:style w:type="character" w:styleId="CommentReference">
    <w:name w:val="annotation reference"/>
    <w:basedOn w:val="DefaultParagraphFont"/>
    <w:rsid w:val="006F1A38"/>
    <w:rPr>
      <w:sz w:val="16"/>
      <w:szCs w:val="16"/>
    </w:rPr>
  </w:style>
  <w:style w:type="paragraph" w:styleId="CommentText">
    <w:name w:val="annotation text"/>
    <w:basedOn w:val="Normal"/>
    <w:link w:val="CommentTextChar"/>
    <w:rsid w:val="006F1A38"/>
    <w:pPr>
      <w:spacing w:line="240" w:lineRule="auto"/>
    </w:pPr>
  </w:style>
  <w:style w:type="character" w:customStyle="1" w:styleId="CommentTextChar">
    <w:name w:val="Comment Text Char"/>
    <w:basedOn w:val="DefaultParagraphFont"/>
    <w:link w:val="CommentText"/>
    <w:rsid w:val="006F1A38"/>
  </w:style>
  <w:style w:type="paragraph" w:styleId="CommentSubject">
    <w:name w:val="annotation subject"/>
    <w:basedOn w:val="CommentText"/>
    <w:next w:val="CommentText"/>
    <w:link w:val="CommentSubjectChar"/>
    <w:rsid w:val="006F1A38"/>
    <w:rPr>
      <w:b/>
      <w:bCs/>
    </w:rPr>
  </w:style>
  <w:style w:type="character" w:customStyle="1" w:styleId="CommentSubjectChar">
    <w:name w:val="Comment Subject Char"/>
    <w:basedOn w:val="CommentTextChar"/>
    <w:link w:val="CommentSubject"/>
    <w:rsid w:val="006F1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90161949&amp;pubNum=0000661&amp;originatingDoc=Ic8f2c3179f5b11e39ac8bab74931929c&amp;refType=RP&amp;originationContext=document&amp;transitionType=DocumentItem&amp;contextData=(sc.Search)" TargetMode="External"/><Relationship Id="rId13" Type="http://schemas.openxmlformats.org/officeDocument/2006/relationships/hyperlink" Target="https://1.next.westlaw.com/Link/Document/FullText?findType=Y&amp;serNum=1991091008&amp;pubNum=0000661&amp;originatingDoc=Ic8f2c3179f5b11e39ac8bab74931929c&amp;refType=RP&amp;originationContext=document&amp;transitionType=DocumentItem&amp;contextData=(sc.Searc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next.westlaw.com/Link/Document/FullText?findType=Y&amp;serNum=1990161949&amp;pubNum=0000156&amp;originatingDoc=Ic8f2c3179f5b11e39ac8bab74931929c&amp;refType=RP&amp;fi=co_pp_sp_156_89&amp;originationContext=document&amp;transitionType=DocumentItem&amp;contextData=(sc.Searc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1.next.westlaw.com/Link/Document/FullText?findType=Y&amp;serNum=1992092490&amp;pubNum=0000661&amp;originatingDoc=Ic8f2c3179f5b11e39ac8bab74931929c&amp;refType=RP&amp;originationContext=document&amp;transitionType=DocumentItem&amp;contextData=(sc.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1998197192&amp;pubNum=0000661&amp;originatingDoc=Ic8f2c3179f5b11e39ac8bab74931929c&amp;refType=RP&amp;originationContext=document&amp;transitionType=DocumentItem&amp;contextData=(sc.Search)" TargetMode="External"/><Relationship Id="rId5" Type="http://schemas.openxmlformats.org/officeDocument/2006/relationships/webSettings" Target="webSettings.xml"/><Relationship Id="rId15" Type="http://schemas.openxmlformats.org/officeDocument/2006/relationships/hyperlink" Target="https://1.next.westlaw.com/Link/Document/FullText?findType=Y&amp;serNum=1993161659&amp;pubNum=0000661&amp;originatingDoc=Ic8f2c3179f5b11e39ac8bab74931929c&amp;refType=RP&amp;originationContext=document&amp;transitionType=DocumentItem&amp;contextData=(sc.Search)" TargetMode="External"/><Relationship Id="rId10" Type="http://schemas.openxmlformats.org/officeDocument/2006/relationships/hyperlink" Target="https://1.next.westlaw.com/Link/Document/FullText?findType=Y&amp;serNum=2012389321&amp;pubNum=0004645&amp;originatingDoc=Ic8f2c3179f5b11e39ac8bab74931929c&amp;refType=RP&amp;originationContext=document&amp;transitionType=DocumentItem&amp;contextData=(sc.Searc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1.next.westlaw.com/Link/Document/FullText?findType=Y&amp;serNum=1999133883&amp;pubNum=0000661&amp;originatingDoc=Ic8f2c3179f5b11e39ac8bab74931929c&amp;refType=RP&amp;originationContext=document&amp;transitionType=DocumentItem&amp;contextData=(sc.Search)" TargetMode="External"/><Relationship Id="rId14" Type="http://schemas.openxmlformats.org/officeDocument/2006/relationships/hyperlink" Target="https://1.next.westlaw.com/Link/Document/FullText?findType=Y&amp;serNum=1997149935&amp;pubNum=0000661&amp;originatingDoc=Ic8f2c3179f5b11e39ac8bab74931929c&amp;refType=RP&amp;originationContext=document&amp;transitionType=DocumentItem&amp;contextData=(sc.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51024-88DD-4874-A2DE-741F44F6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27</TotalTime>
  <Pages>16</Pages>
  <Words>3285</Words>
  <Characters>18730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7</cp:revision>
  <cp:lastPrinted>2017-05-22T17:53:00Z</cp:lastPrinted>
  <dcterms:created xsi:type="dcterms:W3CDTF">2017-05-23T00:26:00Z</dcterms:created>
  <dcterms:modified xsi:type="dcterms:W3CDTF">2017-05-23T00:58:00Z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