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rsidTr="006F63FD">
        <w:trPr>
          <w:cantSplit/>
          <w:trHeight w:val="1987"/>
        </w:trPr>
        <w:tc>
          <w:tcPr>
            <w:tcW w:w="4836" w:type="dxa"/>
          </w:tcPr>
          <w:p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rsidR="00494BDF" w:rsidRPr="00D92F7A" w:rsidRDefault="00494BDF" w:rsidP="00000C35">
            <w:pPr>
              <w:pStyle w:val="FirmInformation"/>
              <w:spacing w:line="240" w:lineRule="auto"/>
              <w:rPr>
                <w:sz w:val="28"/>
                <w:szCs w:val="28"/>
              </w:rPr>
            </w:pPr>
            <w:r w:rsidRPr="00D92F7A">
              <w:rPr>
                <w:sz w:val="28"/>
                <w:szCs w:val="28"/>
              </w:rPr>
              <w:t>State Bar of Arizona</w:t>
            </w:r>
          </w:p>
          <w:p w:rsidR="00357F4D" w:rsidRPr="00D92F7A" w:rsidRDefault="00357F4D" w:rsidP="00000C35">
            <w:pPr>
              <w:pStyle w:val="FirmInformation"/>
              <w:spacing w:line="240" w:lineRule="auto"/>
              <w:rPr>
                <w:sz w:val="28"/>
                <w:szCs w:val="28"/>
              </w:rPr>
            </w:pPr>
            <w:r w:rsidRPr="00D92F7A">
              <w:rPr>
                <w:sz w:val="28"/>
                <w:szCs w:val="28"/>
              </w:rPr>
              <w:t>4201 N. 24th Street, Suite 100</w:t>
            </w:r>
          </w:p>
          <w:p w:rsidR="00357F4D" w:rsidRPr="00D92F7A" w:rsidRDefault="00357F4D" w:rsidP="00000C35">
            <w:pPr>
              <w:pStyle w:val="FirmInformation"/>
              <w:spacing w:line="240" w:lineRule="auto"/>
              <w:rPr>
                <w:sz w:val="28"/>
                <w:szCs w:val="28"/>
              </w:rPr>
            </w:pPr>
            <w:r w:rsidRPr="00D92F7A">
              <w:rPr>
                <w:sz w:val="28"/>
                <w:szCs w:val="28"/>
              </w:rPr>
              <w:t>Phoenix, AZ  85016-6288</w:t>
            </w:r>
          </w:p>
          <w:p w:rsidR="006F63FD" w:rsidRDefault="00352347" w:rsidP="00735659">
            <w:pPr>
              <w:pStyle w:val="FirmInformation"/>
              <w:spacing w:line="240" w:lineRule="auto"/>
              <w:rPr>
                <w:sz w:val="28"/>
                <w:szCs w:val="28"/>
              </w:rPr>
            </w:pPr>
            <w:r w:rsidRPr="00D92F7A">
              <w:rPr>
                <w:sz w:val="28"/>
                <w:szCs w:val="28"/>
              </w:rPr>
              <w:t>(602) 340-7236</w:t>
            </w:r>
          </w:p>
          <w:p w:rsidR="00587AF1" w:rsidRPr="00D92F7A" w:rsidRDefault="00587AF1" w:rsidP="00735659">
            <w:pPr>
              <w:pStyle w:val="FirmInformation"/>
              <w:spacing w:line="240" w:lineRule="auto"/>
              <w:rPr>
                <w:sz w:val="28"/>
                <w:szCs w:val="28"/>
              </w:rPr>
            </w:pPr>
          </w:p>
        </w:tc>
        <w:tc>
          <w:tcPr>
            <w:tcW w:w="4200" w:type="dxa"/>
          </w:tcPr>
          <w:p w:rsidR="00357F4D" w:rsidRPr="00D92F7A" w:rsidRDefault="00357F4D" w:rsidP="00000C35">
            <w:pPr>
              <w:ind w:left="113" w:right="113"/>
              <w:rPr>
                <w:sz w:val="28"/>
                <w:szCs w:val="28"/>
              </w:rPr>
            </w:pPr>
          </w:p>
        </w:tc>
      </w:tr>
    </w:tbl>
    <w:bookmarkEnd w:id="0"/>
    <w:p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rsidTr="004331B2">
        <w:tc>
          <w:tcPr>
            <w:tcW w:w="4680" w:type="dxa"/>
            <w:tcBorders>
              <w:top w:val="nil"/>
              <w:bottom w:val="single" w:sz="4" w:space="0" w:color="auto"/>
              <w:right w:val="single" w:sz="4" w:space="0" w:color="auto"/>
            </w:tcBorders>
            <w:shd w:val="clear" w:color="auto" w:fill="auto"/>
          </w:tcPr>
          <w:p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rsidR="001601CC" w:rsidRDefault="00E67511" w:rsidP="00D35995">
            <w:pPr>
              <w:pStyle w:val="Caption"/>
              <w:spacing w:before="240" w:line="260" w:lineRule="exact"/>
              <w:rPr>
                <w:b/>
                <w:sz w:val="28"/>
                <w:szCs w:val="28"/>
              </w:rPr>
            </w:pPr>
            <w:r w:rsidRPr="00D92F7A">
              <w:rPr>
                <w:b/>
                <w:sz w:val="28"/>
                <w:szCs w:val="28"/>
              </w:rPr>
              <w:t xml:space="preserve">PETITION </w:t>
            </w:r>
            <w:r w:rsidR="009830BC">
              <w:rPr>
                <w:b/>
                <w:sz w:val="28"/>
                <w:szCs w:val="28"/>
              </w:rPr>
              <w:t>T</w:t>
            </w:r>
            <w:r w:rsidR="00587AF1">
              <w:rPr>
                <w:b/>
                <w:sz w:val="28"/>
                <w:szCs w:val="28"/>
              </w:rPr>
              <w:t xml:space="preserve">O </w:t>
            </w:r>
            <w:r w:rsidR="00D35995">
              <w:rPr>
                <w:b/>
                <w:sz w:val="28"/>
                <w:szCs w:val="28"/>
              </w:rPr>
              <w:t>A</w:t>
            </w:r>
            <w:r w:rsidR="00327307">
              <w:rPr>
                <w:b/>
                <w:sz w:val="28"/>
                <w:szCs w:val="28"/>
              </w:rPr>
              <w:t xml:space="preserve">MEND </w:t>
            </w:r>
            <w:r w:rsidR="001E0800">
              <w:rPr>
                <w:b/>
                <w:sz w:val="28"/>
                <w:szCs w:val="28"/>
              </w:rPr>
              <w:t>RULE 23.1 OF THE ARIZONA RULES OF CRIMINAL PROCEDURE</w:t>
            </w:r>
            <w:bookmarkStart w:id="2" w:name="_GoBack"/>
            <w:bookmarkEnd w:id="2"/>
          </w:p>
          <w:p w:rsidR="00D35995" w:rsidRPr="00D35995" w:rsidRDefault="00D35995" w:rsidP="00D35995"/>
        </w:tc>
        <w:tc>
          <w:tcPr>
            <w:tcW w:w="4524" w:type="dxa"/>
            <w:tcBorders>
              <w:top w:val="nil"/>
              <w:left w:val="single" w:sz="4" w:space="0" w:color="auto"/>
            </w:tcBorders>
            <w:shd w:val="clear" w:color="auto" w:fill="auto"/>
          </w:tcPr>
          <w:p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1E0800">
              <w:rPr>
                <w:sz w:val="28"/>
                <w:szCs w:val="28"/>
              </w:rPr>
              <w:t>17-0014</w:t>
            </w:r>
          </w:p>
          <w:p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rsidR="00357F4D" w:rsidRPr="00D92F7A" w:rsidRDefault="00357F4D" w:rsidP="00E321C5">
            <w:pPr>
              <w:pStyle w:val="DocumentTitle"/>
              <w:rPr>
                <w:sz w:val="28"/>
                <w:szCs w:val="28"/>
              </w:rPr>
            </w:pPr>
          </w:p>
          <w:p w:rsidR="00357F4D" w:rsidRPr="00D92F7A" w:rsidRDefault="00357F4D" w:rsidP="00E321C5">
            <w:pPr>
              <w:pStyle w:val="Caption"/>
              <w:ind w:left="1512" w:right="115" w:hanging="1253"/>
              <w:rPr>
                <w:sz w:val="28"/>
                <w:szCs w:val="28"/>
              </w:rPr>
            </w:pPr>
          </w:p>
        </w:tc>
      </w:tr>
      <w:bookmarkEnd w:id="1"/>
    </w:tbl>
    <w:p w:rsidR="00587AF1" w:rsidRDefault="00587AF1" w:rsidP="00122201">
      <w:pPr>
        <w:ind w:right="90" w:firstLine="720"/>
        <w:jc w:val="both"/>
        <w:outlineLvl w:val="0"/>
        <w:rPr>
          <w:rFonts w:cstheme="minorHAnsi"/>
          <w:sz w:val="28"/>
          <w:szCs w:val="28"/>
        </w:rPr>
      </w:pPr>
    </w:p>
    <w:p w:rsidR="00727BC6" w:rsidRPr="00515B95" w:rsidRDefault="00727BC6" w:rsidP="00040720">
      <w:pPr>
        <w:spacing w:line="480" w:lineRule="auto"/>
        <w:ind w:right="90"/>
        <w:jc w:val="both"/>
        <w:outlineLvl w:val="0"/>
        <w:rPr>
          <w:rFonts w:cstheme="minorHAnsi"/>
          <w:sz w:val="28"/>
          <w:szCs w:val="28"/>
        </w:rPr>
      </w:pPr>
      <w:r>
        <w:rPr>
          <w:rFonts w:cstheme="minorHAnsi"/>
          <w:sz w:val="28"/>
          <w:szCs w:val="28"/>
        </w:rPr>
        <w:tab/>
        <w:t>The State Bar of Arizona</w:t>
      </w:r>
      <w:r w:rsidR="00040720">
        <w:rPr>
          <w:rFonts w:cstheme="minorHAnsi"/>
          <w:sz w:val="28"/>
          <w:szCs w:val="28"/>
        </w:rPr>
        <w:t xml:space="preserve"> (“State Bar”)</w:t>
      </w:r>
      <w:r>
        <w:rPr>
          <w:rFonts w:cstheme="minorHAnsi"/>
          <w:sz w:val="28"/>
          <w:szCs w:val="28"/>
        </w:rPr>
        <w:t xml:space="preserve"> received a proposed comment in opposition to this Petition from the State Bar’s Criminal Defense Practice &amp; Procedure Committee. After deliberation, the State Bar has decided not to adopt the proposed comment as its own, and instead, to take no position on this Petition. The State Bar submits this Comment only to tender a draft of the Criminal Defense Practice &amp; Procedure Committee’s proposed comment for the Court’s </w:t>
      </w:r>
      <w:proofErr w:type="gramStart"/>
      <w:r>
        <w:rPr>
          <w:rFonts w:cstheme="minorHAnsi"/>
          <w:sz w:val="28"/>
          <w:szCs w:val="28"/>
        </w:rPr>
        <w:t>consideration</w:t>
      </w:r>
      <w:proofErr w:type="gramEnd"/>
      <w:r>
        <w:rPr>
          <w:rFonts w:cstheme="minorHAnsi"/>
          <w:sz w:val="28"/>
          <w:szCs w:val="28"/>
        </w:rPr>
        <w:t xml:space="preserve">, with no further recommendation from the State Bar.  A copy of this </w:t>
      </w:r>
      <w:r>
        <w:rPr>
          <w:rFonts w:cstheme="minorHAnsi"/>
          <w:sz w:val="28"/>
          <w:szCs w:val="28"/>
        </w:rPr>
        <w:lastRenderedPageBreak/>
        <w:t>proposed comment is attached as the Appendix</w:t>
      </w:r>
      <w:r>
        <w:rPr>
          <w:rStyle w:val="FootnoteReference"/>
          <w:rFonts w:cstheme="minorHAnsi"/>
          <w:sz w:val="28"/>
          <w:szCs w:val="28"/>
        </w:rPr>
        <w:footnoteReference w:id="1"/>
      </w:r>
      <w:r>
        <w:rPr>
          <w:rFonts w:cstheme="minorHAnsi"/>
          <w:sz w:val="28"/>
          <w:szCs w:val="28"/>
        </w:rPr>
        <w:t xml:space="preserve"> to this Comment. </w:t>
      </w:r>
      <w:r>
        <w:rPr>
          <w:sz w:val="28"/>
          <w:szCs w:val="28"/>
        </w:rPr>
        <w:t>The Criminal Prosecution Practice &amp; Procedure Committee did not submit a proposed comment, therefore the State Bar does not have a proposed comment from the prosecutors’ committee to tender with this Comment.</w:t>
      </w:r>
    </w:p>
    <w:p w:rsidR="00727BC6" w:rsidRPr="006F63FD" w:rsidRDefault="00727BC6" w:rsidP="00727BC6">
      <w:pPr>
        <w:pStyle w:val="Body"/>
        <w:tabs>
          <w:tab w:val="left" w:pos="720"/>
        </w:tabs>
        <w:ind w:firstLine="0"/>
        <w:rPr>
          <w:sz w:val="28"/>
          <w:szCs w:val="28"/>
        </w:rPr>
      </w:pPr>
      <w:r>
        <w:rPr>
          <w:szCs w:val="26"/>
        </w:rPr>
        <w:t xml:space="preserve">       </w:t>
      </w:r>
      <w:r w:rsidRPr="006F63FD">
        <w:rPr>
          <w:sz w:val="28"/>
          <w:szCs w:val="28"/>
        </w:rPr>
        <w:t>RESPECTFULLY SUBMITTED this ____day of__________________, 201</w:t>
      </w:r>
      <w:r>
        <w:rPr>
          <w:sz w:val="28"/>
          <w:szCs w:val="28"/>
        </w:rPr>
        <w:t>7</w:t>
      </w:r>
      <w:r w:rsidRPr="006F63FD">
        <w:rPr>
          <w:sz w:val="28"/>
          <w:szCs w:val="28"/>
        </w:rPr>
        <w:t>.</w:t>
      </w:r>
    </w:p>
    <w:p w:rsidR="00727BC6" w:rsidRPr="000F7A7F" w:rsidRDefault="00727BC6" w:rsidP="00727BC6">
      <w:pPr>
        <w:pStyle w:val="Body"/>
        <w:tabs>
          <w:tab w:val="left" w:pos="720"/>
        </w:tabs>
        <w:ind w:firstLine="0"/>
        <w:rPr>
          <w:szCs w:val="26"/>
        </w:rPr>
      </w:pPr>
    </w:p>
    <w:p w:rsidR="00727BC6" w:rsidRPr="000F7A7F" w:rsidRDefault="00727BC6" w:rsidP="00727BC6">
      <w:pPr>
        <w:pStyle w:val="Body"/>
        <w:tabs>
          <w:tab w:val="left" w:pos="720"/>
        </w:tabs>
        <w:ind w:firstLine="0"/>
        <w:rPr>
          <w:szCs w:val="26"/>
        </w:rPr>
      </w:pPr>
    </w:p>
    <w:p w:rsidR="00727BC6" w:rsidRPr="006F63FD" w:rsidRDefault="00727BC6" w:rsidP="00727BC6">
      <w:pPr>
        <w:pStyle w:val="PleadingSignature"/>
        <w:keepNext w:val="0"/>
        <w:keepLines w:val="0"/>
        <w:pBdr>
          <w:top w:val="single" w:sz="4" w:space="1" w:color="auto"/>
        </w:pBdr>
        <w:spacing w:line="240" w:lineRule="auto"/>
        <w:ind w:left="5070"/>
        <w:rPr>
          <w:sz w:val="28"/>
          <w:szCs w:val="28"/>
        </w:rPr>
      </w:pPr>
      <w:r>
        <w:rPr>
          <w:sz w:val="28"/>
          <w:szCs w:val="28"/>
        </w:rPr>
        <w:t>Lisa M. Panahi</w:t>
      </w:r>
    </w:p>
    <w:p w:rsidR="00727BC6" w:rsidRPr="006F63FD" w:rsidRDefault="00727BC6" w:rsidP="00727BC6">
      <w:pPr>
        <w:pStyle w:val="PleadingSignature"/>
        <w:keepNext w:val="0"/>
        <w:keepLines w:val="0"/>
        <w:spacing w:line="240" w:lineRule="auto"/>
        <w:ind w:left="5070"/>
        <w:rPr>
          <w:sz w:val="28"/>
          <w:szCs w:val="28"/>
        </w:rPr>
      </w:pPr>
      <w:r w:rsidRPr="006F63FD">
        <w:rPr>
          <w:sz w:val="28"/>
          <w:szCs w:val="28"/>
        </w:rPr>
        <w:t>General Couns</w:t>
      </w:r>
      <w:r>
        <w:rPr>
          <w:sz w:val="28"/>
          <w:szCs w:val="28"/>
        </w:rPr>
        <w:t>e</w:t>
      </w:r>
      <w:r w:rsidRPr="006F63FD">
        <w:rPr>
          <w:sz w:val="28"/>
          <w:szCs w:val="28"/>
        </w:rPr>
        <w:t>l</w:t>
      </w:r>
    </w:p>
    <w:p w:rsidR="00727BC6" w:rsidRPr="000F7A7F" w:rsidRDefault="00727BC6" w:rsidP="00727BC6">
      <w:pPr>
        <w:pStyle w:val="PleadingSignature"/>
        <w:keepNext w:val="0"/>
        <w:keepLines w:val="0"/>
        <w:spacing w:line="240" w:lineRule="auto"/>
        <w:ind w:left="5070"/>
        <w:rPr>
          <w:szCs w:val="26"/>
        </w:rPr>
      </w:pPr>
    </w:p>
    <w:p w:rsidR="00727BC6" w:rsidRPr="00C52E56" w:rsidRDefault="00727BC6" w:rsidP="00727BC6">
      <w:pPr>
        <w:widowControl w:val="0"/>
        <w:spacing w:line="240" w:lineRule="auto"/>
        <w:ind w:right="4140"/>
        <w:rPr>
          <w:sz w:val="28"/>
          <w:szCs w:val="28"/>
        </w:rPr>
      </w:pPr>
      <w:r w:rsidRPr="00C52E56">
        <w:rPr>
          <w:sz w:val="28"/>
          <w:szCs w:val="28"/>
        </w:rPr>
        <w:t>Electronic copy filed with the</w:t>
      </w:r>
    </w:p>
    <w:p w:rsidR="00727BC6" w:rsidRPr="00C52E56" w:rsidRDefault="00727BC6" w:rsidP="00727BC6">
      <w:pPr>
        <w:spacing w:line="240" w:lineRule="auto"/>
        <w:ind w:right="4140"/>
        <w:rPr>
          <w:sz w:val="28"/>
          <w:szCs w:val="28"/>
        </w:rPr>
      </w:pPr>
      <w:r w:rsidRPr="00C52E56">
        <w:rPr>
          <w:sz w:val="28"/>
          <w:szCs w:val="28"/>
        </w:rPr>
        <w:t>Clerk of the Arizona Supreme Court</w:t>
      </w:r>
    </w:p>
    <w:p w:rsidR="00727BC6" w:rsidRPr="00C52E56" w:rsidRDefault="00727BC6" w:rsidP="00727BC6">
      <w:pPr>
        <w:tabs>
          <w:tab w:val="left" w:pos="4836"/>
        </w:tabs>
        <w:spacing w:line="240" w:lineRule="auto"/>
        <w:ind w:right="3870"/>
        <w:rPr>
          <w:sz w:val="28"/>
          <w:szCs w:val="28"/>
        </w:rPr>
      </w:pPr>
      <w:proofErr w:type="gramStart"/>
      <w:r w:rsidRPr="00C52E56">
        <w:rPr>
          <w:sz w:val="28"/>
          <w:szCs w:val="28"/>
        </w:rPr>
        <w:t>this</w:t>
      </w:r>
      <w:proofErr w:type="gramEnd"/>
      <w:r w:rsidRPr="00C52E56">
        <w:rPr>
          <w:sz w:val="28"/>
          <w:szCs w:val="28"/>
        </w:rPr>
        <w:t xml:space="preserve"> _____ day of </w:t>
      </w:r>
      <w:r>
        <w:rPr>
          <w:sz w:val="28"/>
          <w:szCs w:val="28"/>
        </w:rPr>
        <w:t xml:space="preserve">__________________, </w:t>
      </w:r>
      <w:r w:rsidRPr="00C52E56">
        <w:rPr>
          <w:sz w:val="28"/>
          <w:szCs w:val="28"/>
        </w:rPr>
        <w:t>201</w:t>
      </w:r>
      <w:r>
        <w:rPr>
          <w:sz w:val="28"/>
          <w:szCs w:val="28"/>
        </w:rPr>
        <w:t>7</w:t>
      </w:r>
      <w:r w:rsidRPr="00C52E56">
        <w:rPr>
          <w:sz w:val="28"/>
          <w:szCs w:val="28"/>
        </w:rPr>
        <w:t>.</w:t>
      </w:r>
    </w:p>
    <w:p w:rsidR="00727BC6" w:rsidRPr="00C52E56" w:rsidRDefault="00727BC6" w:rsidP="00727BC6">
      <w:pPr>
        <w:spacing w:line="240" w:lineRule="auto"/>
        <w:ind w:right="4572"/>
        <w:rPr>
          <w:sz w:val="28"/>
          <w:szCs w:val="28"/>
        </w:rPr>
      </w:pPr>
    </w:p>
    <w:p w:rsidR="00727BC6" w:rsidRPr="00C52E56" w:rsidRDefault="00727BC6" w:rsidP="00727BC6">
      <w:pPr>
        <w:spacing w:line="240" w:lineRule="auto"/>
        <w:ind w:right="4572"/>
        <w:rPr>
          <w:sz w:val="28"/>
          <w:szCs w:val="28"/>
        </w:rPr>
      </w:pPr>
      <w:proofErr w:type="gramStart"/>
      <w:r>
        <w:rPr>
          <w:sz w:val="28"/>
          <w:szCs w:val="28"/>
        </w:rPr>
        <w:t>by</w:t>
      </w:r>
      <w:proofErr w:type="gramEnd"/>
      <w:r>
        <w:rPr>
          <w:sz w:val="28"/>
          <w:szCs w:val="28"/>
        </w:rPr>
        <w:t>:</w:t>
      </w:r>
      <w:r w:rsidRPr="00C52E56">
        <w:rPr>
          <w:sz w:val="28"/>
          <w:szCs w:val="28"/>
        </w:rPr>
        <w:t xml:space="preserve">_______________________________ </w:t>
      </w:r>
    </w:p>
    <w:p w:rsidR="00727BC6" w:rsidRDefault="00727BC6" w:rsidP="00727BC6">
      <w:pPr>
        <w:ind w:right="9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Pr="005A4E38" w:rsidRDefault="00727BC6" w:rsidP="00727BC6">
      <w:pPr>
        <w:jc w:val="center"/>
        <w:outlineLvl w:val="0"/>
        <w:rPr>
          <w:rFonts w:cstheme="minorHAnsi"/>
          <w:b/>
          <w:sz w:val="28"/>
          <w:szCs w:val="28"/>
        </w:rPr>
      </w:pPr>
      <w:r>
        <w:rPr>
          <w:rFonts w:cstheme="minorHAnsi"/>
          <w:b/>
          <w:sz w:val="28"/>
          <w:szCs w:val="28"/>
        </w:rPr>
        <w:t>APPENDIX</w:t>
      </w: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ind w:right="90" w:firstLine="720"/>
        <w:jc w:val="both"/>
        <w:outlineLvl w:val="0"/>
        <w:rPr>
          <w:rFonts w:cstheme="minorHAnsi"/>
          <w:sz w:val="28"/>
          <w:szCs w:val="28"/>
        </w:rPr>
      </w:pPr>
    </w:p>
    <w:p w:rsidR="00727BC6" w:rsidRDefault="00727BC6" w:rsidP="00727BC6">
      <w:pPr>
        <w:pStyle w:val="Body"/>
        <w:spacing w:line="240" w:lineRule="auto"/>
        <w:rPr>
          <w:rFonts w:cstheme="minorHAnsi"/>
          <w:sz w:val="28"/>
          <w:szCs w:val="28"/>
        </w:rPr>
      </w:pPr>
    </w:p>
    <w:p w:rsidR="00727BC6" w:rsidRDefault="00727BC6" w:rsidP="00727BC6">
      <w:pPr>
        <w:spacing w:line="240" w:lineRule="auto"/>
        <w:jc w:val="center"/>
        <w:outlineLvl w:val="0"/>
        <w:rPr>
          <w:rFonts w:cstheme="minorHAnsi"/>
          <w:b/>
          <w:sz w:val="28"/>
          <w:szCs w:val="28"/>
        </w:rPr>
      </w:pPr>
      <w:r>
        <w:rPr>
          <w:rFonts w:cstheme="minorHAnsi"/>
          <w:b/>
          <w:sz w:val="28"/>
          <w:szCs w:val="28"/>
        </w:rPr>
        <w:lastRenderedPageBreak/>
        <w:t>PROPOSAL SUBMITTED BY CRIMINAL DEFENSE</w:t>
      </w:r>
      <w:r>
        <w:rPr>
          <w:rFonts w:cstheme="minorHAnsi"/>
          <w:b/>
          <w:sz w:val="28"/>
          <w:szCs w:val="28"/>
        </w:rPr>
        <w:br/>
        <w:t>PRACTICE &amp; PROCEDURE COMMITTEE</w:t>
      </w:r>
    </w:p>
    <w:p w:rsidR="00727BC6" w:rsidRDefault="00727BC6" w:rsidP="00727BC6">
      <w:pPr>
        <w:spacing w:line="240" w:lineRule="auto"/>
        <w:jc w:val="center"/>
        <w:outlineLvl w:val="0"/>
        <w:rPr>
          <w:rFonts w:cstheme="minorHAnsi"/>
          <w:b/>
          <w:sz w:val="28"/>
          <w:szCs w:val="28"/>
        </w:rPr>
      </w:pPr>
    </w:p>
    <w:p w:rsidR="00727BC6" w:rsidRPr="005A4E38" w:rsidRDefault="00727BC6" w:rsidP="00727BC6">
      <w:pPr>
        <w:spacing w:line="480" w:lineRule="auto"/>
        <w:outlineLvl w:val="0"/>
        <w:rPr>
          <w:rFonts w:cstheme="minorHAnsi"/>
          <w:b/>
          <w:sz w:val="28"/>
          <w:szCs w:val="28"/>
        </w:rPr>
      </w:pPr>
      <w:r w:rsidRPr="005A4E38">
        <w:rPr>
          <w:rFonts w:cstheme="minorHAnsi"/>
          <w:b/>
          <w:sz w:val="28"/>
          <w:szCs w:val="28"/>
        </w:rPr>
        <w:t>INTRODUCTION</w:t>
      </w:r>
    </w:p>
    <w:p w:rsidR="00727BC6" w:rsidRDefault="00727BC6" w:rsidP="00727BC6">
      <w:pPr>
        <w:spacing w:line="480" w:lineRule="auto"/>
        <w:ind w:right="90"/>
        <w:jc w:val="both"/>
        <w:outlineLvl w:val="0"/>
        <w:rPr>
          <w:rFonts w:cstheme="minorHAnsi"/>
          <w:sz w:val="28"/>
          <w:szCs w:val="28"/>
        </w:rPr>
      </w:pPr>
      <w:r w:rsidRPr="005A4E38">
        <w:rPr>
          <w:rFonts w:cstheme="minorHAnsi"/>
          <w:b/>
          <w:sz w:val="28"/>
          <w:szCs w:val="28"/>
        </w:rPr>
        <w:tab/>
      </w:r>
      <w:r>
        <w:rPr>
          <w:rFonts w:cstheme="minorHAnsi"/>
          <w:sz w:val="28"/>
          <w:szCs w:val="28"/>
        </w:rPr>
        <w:t>Petition R-17-0014</w:t>
      </w:r>
      <w:r w:rsidRPr="005A4E38">
        <w:rPr>
          <w:rFonts w:cstheme="minorHAnsi"/>
          <w:sz w:val="28"/>
          <w:szCs w:val="28"/>
        </w:rPr>
        <w:t xml:space="preserve"> proposes changing</w:t>
      </w:r>
      <w:r>
        <w:rPr>
          <w:rFonts w:cstheme="minorHAnsi"/>
          <w:sz w:val="28"/>
          <w:szCs w:val="28"/>
        </w:rPr>
        <w:t xml:space="preserve"> Rule 23.1 to permit jury forepersons to sign a verdict form with their juror number and initials in lieu of placing a signature on the verdict form.  The stated purpose for the requested change is to protect the identity of jurors from public release.</w:t>
      </w:r>
    </w:p>
    <w:p w:rsidR="00727BC6" w:rsidRDefault="00727BC6" w:rsidP="00727BC6">
      <w:pPr>
        <w:spacing w:line="480" w:lineRule="auto"/>
        <w:ind w:right="90"/>
        <w:jc w:val="both"/>
        <w:outlineLvl w:val="0"/>
        <w:rPr>
          <w:rFonts w:cstheme="minorHAnsi"/>
          <w:b/>
          <w:sz w:val="28"/>
          <w:szCs w:val="28"/>
        </w:rPr>
      </w:pPr>
      <w:r>
        <w:rPr>
          <w:rFonts w:cstheme="minorHAnsi"/>
          <w:b/>
          <w:sz w:val="28"/>
          <w:szCs w:val="28"/>
        </w:rPr>
        <w:t>DISCUSSION AND ANALYSIS</w:t>
      </w: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As pointed out in Petition 17-0014, there are rules in existence already that protect the identity of jurors.  (Petition at 2).  The petition argues that juror privacy is not protected if the public can access the jury verdict form in a criminal case. (</w:t>
      </w:r>
      <w:r>
        <w:rPr>
          <w:rFonts w:cstheme="minorHAnsi"/>
          <w:i/>
          <w:sz w:val="28"/>
          <w:szCs w:val="28"/>
        </w:rPr>
        <w:t>Id.</w:t>
      </w:r>
      <w:r>
        <w:rPr>
          <w:rFonts w:cstheme="minorHAnsi"/>
          <w:sz w:val="28"/>
          <w:szCs w:val="28"/>
        </w:rPr>
        <w:t xml:space="preserve">).  The petition relies on </w:t>
      </w:r>
      <w:r>
        <w:rPr>
          <w:rFonts w:cstheme="minorHAnsi"/>
          <w:i/>
          <w:sz w:val="28"/>
          <w:szCs w:val="28"/>
        </w:rPr>
        <w:t>State v. McIntosh</w:t>
      </w:r>
      <w:r>
        <w:rPr>
          <w:rFonts w:cstheme="minorHAnsi"/>
          <w:sz w:val="28"/>
          <w:szCs w:val="28"/>
        </w:rPr>
        <w:t xml:space="preserve">, 213 Ariz. 579, 146 P.3d 80 (App. 2006). The </w:t>
      </w:r>
      <w:r>
        <w:rPr>
          <w:sz w:val="28"/>
          <w:szCs w:val="28"/>
        </w:rPr>
        <w:t>[Criminal Defense Practice &amp; Procedure Committee, hereinafter “CDPP”]</w:t>
      </w:r>
      <w:r w:rsidRPr="0023316F">
        <w:rPr>
          <w:sz w:val="28"/>
          <w:szCs w:val="28"/>
        </w:rPr>
        <w:t xml:space="preserve"> </w:t>
      </w:r>
      <w:r>
        <w:rPr>
          <w:rFonts w:cstheme="minorHAnsi"/>
          <w:sz w:val="28"/>
          <w:szCs w:val="28"/>
        </w:rPr>
        <w:t xml:space="preserve">agrees that </w:t>
      </w:r>
      <w:r>
        <w:rPr>
          <w:rFonts w:cstheme="minorHAnsi"/>
          <w:i/>
          <w:sz w:val="28"/>
          <w:szCs w:val="28"/>
        </w:rPr>
        <w:t>McIntosh</w:t>
      </w:r>
      <w:r>
        <w:rPr>
          <w:rFonts w:cstheme="minorHAnsi"/>
          <w:sz w:val="28"/>
          <w:szCs w:val="28"/>
        </w:rPr>
        <w:t xml:space="preserve"> ruled that a verdict form may be “signed” if the juror “signs” simply with his number as opposed to his name.  The concern here, however, deals with the common understanding and practice relating to the application of Rule 23.1.</w:t>
      </w: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 xml:space="preserve">The verdict form presented to a jury has a signature line for the foreperson to sign.  The common practice is for an actual signature to be affixed above the line.  </w:t>
      </w:r>
      <w:r>
        <w:rPr>
          <w:rFonts w:cstheme="minorHAnsi"/>
          <w:i/>
          <w:sz w:val="28"/>
          <w:szCs w:val="28"/>
        </w:rPr>
        <w:lastRenderedPageBreak/>
        <w:t>McIntosh</w:t>
      </w:r>
      <w:r>
        <w:rPr>
          <w:rFonts w:cstheme="minorHAnsi"/>
          <w:sz w:val="28"/>
          <w:szCs w:val="28"/>
        </w:rPr>
        <w:t xml:space="preserve"> was an aberration of common usage and understanding associated with Rule 23.1.  While a verdict form may be valid if it is marked with a number as opposed to a </w:t>
      </w:r>
      <w:proofErr w:type="gramStart"/>
      <w:r>
        <w:rPr>
          <w:rFonts w:cstheme="minorHAnsi"/>
          <w:sz w:val="28"/>
          <w:szCs w:val="28"/>
        </w:rPr>
        <w:t>signature, that</w:t>
      </w:r>
      <w:proofErr w:type="gramEnd"/>
      <w:r>
        <w:rPr>
          <w:rFonts w:cstheme="minorHAnsi"/>
          <w:sz w:val="28"/>
          <w:szCs w:val="28"/>
        </w:rPr>
        <w:t xml:space="preserve"> does not mean that </w:t>
      </w:r>
      <w:r>
        <w:rPr>
          <w:rFonts w:cstheme="minorHAnsi"/>
          <w:i/>
          <w:sz w:val="28"/>
          <w:szCs w:val="28"/>
        </w:rPr>
        <w:t>McIntosh</w:t>
      </w:r>
      <w:r>
        <w:rPr>
          <w:rFonts w:cstheme="minorHAnsi"/>
          <w:sz w:val="28"/>
          <w:szCs w:val="28"/>
        </w:rPr>
        <w:t xml:space="preserve"> intended to interpret Rule 23.1 so as to do away with the actual written signature of the foreperson.</w:t>
      </w:r>
    </w:p>
    <w:p w:rsidR="00727BC6" w:rsidRDefault="00727BC6" w:rsidP="00727BC6">
      <w:pPr>
        <w:spacing w:line="240" w:lineRule="auto"/>
        <w:ind w:left="720" w:right="720"/>
        <w:jc w:val="both"/>
        <w:outlineLvl w:val="0"/>
        <w:rPr>
          <w:rFonts w:cstheme="minorHAnsi"/>
          <w:b/>
          <w:sz w:val="28"/>
          <w:szCs w:val="28"/>
        </w:rPr>
      </w:pPr>
      <w:r>
        <w:rPr>
          <w:rFonts w:cstheme="minorHAnsi"/>
          <w:b/>
          <w:sz w:val="28"/>
          <w:szCs w:val="28"/>
        </w:rPr>
        <w:t xml:space="preserve">Amending Rule 23.1 Will Result in Diminishing a Juror’s Sense of Responsibility When Imposing a Death Sentence in a Capital Case. </w:t>
      </w:r>
    </w:p>
    <w:p w:rsidR="00727BC6" w:rsidRDefault="00727BC6" w:rsidP="00727BC6">
      <w:pPr>
        <w:spacing w:line="240" w:lineRule="auto"/>
        <w:ind w:left="720" w:right="720"/>
        <w:jc w:val="both"/>
        <w:outlineLvl w:val="0"/>
        <w:rPr>
          <w:rFonts w:cstheme="minorHAnsi"/>
          <w:b/>
          <w:sz w:val="28"/>
          <w:szCs w:val="28"/>
        </w:rPr>
      </w:pP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 xml:space="preserve">Capital cases are unlike any other criminal case in that the jurors, not the judge, determine whether to impose a sentence of life or a sentence of death.  Death verdicts </w:t>
      </w:r>
      <w:r w:rsidRPr="00900F24">
        <w:rPr>
          <w:sz w:val="28"/>
          <w:szCs w:val="28"/>
        </w:rPr>
        <w:t xml:space="preserve">require a higher degree of reliability to be considered constitutional. </w:t>
      </w:r>
      <w:r w:rsidRPr="00900F24">
        <w:rPr>
          <w:rFonts w:cstheme="minorHAnsi"/>
          <w:i/>
          <w:iCs/>
          <w:color w:val="212121"/>
          <w:sz w:val="28"/>
          <w:szCs w:val="28"/>
        </w:rPr>
        <w:t xml:space="preserve">See, </w:t>
      </w:r>
      <w:hyperlink r:id="rId8" w:anchor="co_pp_sp_780_884" w:history="1">
        <w:proofErr w:type="spellStart"/>
        <w:r w:rsidRPr="00900F24">
          <w:rPr>
            <w:rFonts w:cstheme="minorHAnsi"/>
            <w:i/>
            <w:iCs/>
            <w:sz w:val="28"/>
            <w:szCs w:val="28"/>
          </w:rPr>
          <w:t>Zant</w:t>
        </w:r>
        <w:proofErr w:type="spellEnd"/>
        <w:r w:rsidRPr="00900F24">
          <w:rPr>
            <w:rFonts w:cstheme="minorHAnsi"/>
            <w:i/>
            <w:iCs/>
            <w:sz w:val="28"/>
            <w:szCs w:val="28"/>
          </w:rPr>
          <w:t xml:space="preserve"> v. Stephens,</w:t>
        </w:r>
        <w:r w:rsidRPr="00900F24">
          <w:rPr>
            <w:rFonts w:cstheme="minorHAnsi"/>
            <w:sz w:val="28"/>
            <w:szCs w:val="28"/>
          </w:rPr>
          <w:t xml:space="preserve"> 462 U.S. 862, 884-885 (1983)</w:t>
        </w:r>
      </w:hyperlink>
      <w:r>
        <w:rPr>
          <w:rFonts w:cstheme="minorHAnsi"/>
          <w:sz w:val="28"/>
          <w:szCs w:val="28"/>
        </w:rPr>
        <w:t xml:space="preserve">.  </w:t>
      </w: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Consideration of the realities and the grave consequences of a death verdict is a constitutionally required function of a penalty-phase jury.  Indeed, the United States Supreme Court’s Eighth Amendment jurisprudence “</w:t>
      </w:r>
      <w:r w:rsidRPr="00C01416">
        <w:rPr>
          <w:rFonts w:cstheme="minorHAnsi"/>
          <w:color w:val="212121"/>
          <w:sz w:val="28"/>
          <w:szCs w:val="28"/>
        </w:rPr>
        <w:t xml:space="preserve">has taken as a given that capital </w:t>
      </w:r>
      <w:proofErr w:type="spellStart"/>
      <w:r w:rsidRPr="00C01416">
        <w:rPr>
          <w:rFonts w:cstheme="minorHAnsi"/>
          <w:color w:val="212121"/>
          <w:sz w:val="28"/>
          <w:szCs w:val="28"/>
        </w:rPr>
        <w:t>sentencers</w:t>
      </w:r>
      <w:proofErr w:type="spellEnd"/>
      <w:r w:rsidRPr="00C01416">
        <w:rPr>
          <w:rFonts w:cstheme="minorHAnsi"/>
          <w:color w:val="212121"/>
          <w:sz w:val="28"/>
          <w:szCs w:val="28"/>
        </w:rPr>
        <w:t xml:space="preserve"> would view their task as the serious one of determining whether a specific human being should die at the hands of the State.</w:t>
      </w:r>
      <w:r>
        <w:rPr>
          <w:rFonts w:cstheme="minorHAnsi"/>
          <w:color w:val="212121"/>
          <w:sz w:val="28"/>
          <w:szCs w:val="28"/>
        </w:rPr>
        <w:t>”</w:t>
      </w:r>
      <w:r w:rsidRPr="00C01416">
        <w:rPr>
          <w:rFonts w:cstheme="minorHAnsi"/>
          <w:sz w:val="28"/>
          <w:szCs w:val="28"/>
        </w:rPr>
        <w:t xml:space="preserve"> </w:t>
      </w:r>
      <w:r>
        <w:rPr>
          <w:rFonts w:cstheme="minorHAnsi"/>
          <w:i/>
          <w:sz w:val="28"/>
          <w:szCs w:val="28"/>
        </w:rPr>
        <w:t xml:space="preserve">Caldwell v. Mississippi, </w:t>
      </w:r>
      <w:r>
        <w:rPr>
          <w:rFonts w:cstheme="minorHAnsi"/>
          <w:sz w:val="28"/>
          <w:szCs w:val="28"/>
        </w:rPr>
        <w:t xml:space="preserve">472 U.S. 320, 329 (1985). The belief that jurors do “treat their power to determine the appropriateness of death as an ‘awesome responsibility. . .’ is indispensable to the Eighth Amendment’s ‘need for reliability in the determination that death is the </w:t>
      </w:r>
      <w:r>
        <w:rPr>
          <w:rFonts w:cstheme="minorHAnsi"/>
          <w:sz w:val="28"/>
          <w:szCs w:val="28"/>
        </w:rPr>
        <w:lastRenderedPageBreak/>
        <w:t xml:space="preserve">appropriate punishment in a specific case.” </w:t>
      </w:r>
      <w:r>
        <w:rPr>
          <w:rFonts w:cstheme="minorHAnsi"/>
          <w:i/>
          <w:sz w:val="28"/>
          <w:szCs w:val="28"/>
        </w:rPr>
        <w:t xml:space="preserve">Id. </w:t>
      </w:r>
      <w:r>
        <w:rPr>
          <w:rFonts w:cstheme="minorHAnsi"/>
          <w:sz w:val="28"/>
          <w:szCs w:val="28"/>
        </w:rPr>
        <w:t xml:space="preserve">at 330, quoting </w:t>
      </w:r>
      <w:r>
        <w:rPr>
          <w:rFonts w:cstheme="minorHAnsi"/>
          <w:i/>
          <w:sz w:val="28"/>
          <w:szCs w:val="28"/>
        </w:rPr>
        <w:t xml:space="preserve">Woodson v. North Carolina, </w:t>
      </w:r>
      <w:r>
        <w:rPr>
          <w:rFonts w:cstheme="minorHAnsi"/>
          <w:sz w:val="28"/>
          <w:szCs w:val="28"/>
        </w:rPr>
        <w:t>428 U.S. 280, 305 (1976</w:t>
      </w:r>
      <w:proofErr w:type="gramStart"/>
      <w:r>
        <w:rPr>
          <w:rFonts w:cstheme="minorHAnsi"/>
          <w:sz w:val="28"/>
          <w:szCs w:val="28"/>
        </w:rPr>
        <w:t>)(</w:t>
      </w:r>
      <w:proofErr w:type="gramEnd"/>
      <w:r>
        <w:rPr>
          <w:rFonts w:cstheme="minorHAnsi"/>
          <w:sz w:val="28"/>
          <w:szCs w:val="28"/>
        </w:rPr>
        <w:t>plurality opinion).</w:t>
      </w:r>
    </w:p>
    <w:p w:rsidR="00727BC6" w:rsidRPr="00DE0DF0" w:rsidRDefault="00727BC6" w:rsidP="00727BC6">
      <w:pPr>
        <w:spacing w:line="480" w:lineRule="auto"/>
        <w:ind w:right="90" w:firstLine="720"/>
        <w:jc w:val="both"/>
        <w:outlineLvl w:val="0"/>
        <w:rPr>
          <w:rFonts w:cstheme="minorHAnsi"/>
          <w:sz w:val="28"/>
          <w:szCs w:val="28"/>
        </w:rPr>
      </w:pPr>
      <w:r>
        <w:rPr>
          <w:rFonts w:cstheme="minorHAnsi"/>
          <w:sz w:val="28"/>
          <w:szCs w:val="28"/>
        </w:rPr>
        <w:t xml:space="preserve">It is a standard procedure during </w:t>
      </w:r>
      <w:proofErr w:type="spellStart"/>
      <w:r>
        <w:rPr>
          <w:rFonts w:cstheme="minorHAnsi"/>
          <w:sz w:val="28"/>
          <w:szCs w:val="28"/>
        </w:rPr>
        <w:t>voir</w:t>
      </w:r>
      <w:proofErr w:type="spellEnd"/>
      <w:r>
        <w:rPr>
          <w:rFonts w:cstheme="minorHAnsi"/>
          <w:sz w:val="28"/>
          <w:szCs w:val="28"/>
        </w:rPr>
        <w:t xml:space="preserve"> dire for most capital defense attorneys as well as many capital case prosecutors to use the fact that the jury foreperson is required to sign a death verdict to impress upon the venire the awesome responsibility of condemning a person to death.  </w:t>
      </w:r>
      <w:r>
        <w:rPr>
          <w:rFonts w:cstheme="minorHAnsi"/>
          <w:i/>
          <w:sz w:val="28"/>
          <w:szCs w:val="28"/>
        </w:rPr>
        <w:t xml:space="preserve">See, e.g., People v. Tully, </w:t>
      </w:r>
      <w:r>
        <w:rPr>
          <w:rFonts w:cstheme="minorHAnsi"/>
          <w:sz w:val="28"/>
          <w:szCs w:val="28"/>
        </w:rPr>
        <w:t xml:space="preserve">282 P.3d 173, </w:t>
      </w:r>
      <w:r w:rsidRPr="00900F24">
        <w:rPr>
          <w:rFonts w:cstheme="minorHAnsi"/>
          <w:sz w:val="28"/>
          <w:szCs w:val="28"/>
        </w:rPr>
        <w:t>223-24</w:t>
      </w:r>
      <w:r>
        <w:rPr>
          <w:rFonts w:cstheme="minorHAnsi"/>
          <w:sz w:val="28"/>
          <w:szCs w:val="28"/>
        </w:rPr>
        <w:t xml:space="preserve"> (Cal. 2012), (counsel’s reference during </w:t>
      </w:r>
      <w:proofErr w:type="spellStart"/>
      <w:r>
        <w:rPr>
          <w:rFonts w:cstheme="minorHAnsi"/>
          <w:sz w:val="28"/>
          <w:szCs w:val="28"/>
        </w:rPr>
        <w:t>voir</w:t>
      </w:r>
      <w:proofErr w:type="spellEnd"/>
      <w:r>
        <w:rPr>
          <w:rFonts w:cstheme="minorHAnsi"/>
          <w:sz w:val="28"/>
          <w:szCs w:val="28"/>
        </w:rPr>
        <w:t xml:space="preserve"> dire to a prospective juror’s need to sign a death verdict if elected foreperson “was a way of impressing upon her the gravity of a juror’s role in imposing the death penalty. . . .”).  </w:t>
      </w: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The [CDPP] submits that amending Rule 23.1 as requested will lessen capital jurors’ sense of responsibility in that there is a substantial difference between the requirement to own up to a life and death decision by putting your name on a death verdict as opposed to jotting down an all-but-anonymous number followed by two letters from the alphabet.</w:t>
      </w: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 xml:space="preserve">Consider how capital </w:t>
      </w:r>
      <w:proofErr w:type="spellStart"/>
      <w:r>
        <w:rPr>
          <w:rFonts w:cstheme="minorHAnsi"/>
          <w:sz w:val="28"/>
          <w:szCs w:val="28"/>
        </w:rPr>
        <w:t>voir</w:t>
      </w:r>
      <w:proofErr w:type="spellEnd"/>
      <w:r>
        <w:rPr>
          <w:rFonts w:cstheme="minorHAnsi"/>
          <w:sz w:val="28"/>
          <w:szCs w:val="28"/>
        </w:rPr>
        <w:t xml:space="preserve"> dire might appear following the requested amendment to Rule 23.1:</w:t>
      </w:r>
    </w:p>
    <w:p w:rsidR="00727BC6" w:rsidRDefault="00727BC6" w:rsidP="00727BC6">
      <w:pPr>
        <w:spacing w:line="240" w:lineRule="auto"/>
        <w:ind w:left="1440" w:right="1440"/>
        <w:jc w:val="both"/>
        <w:outlineLvl w:val="0"/>
        <w:rPr>
          <w:rFonts w:cstheme="minorHAnsi"/>
          <w:sz w:val="28"/>
          <w:szCs w:val="28"/>
        </w:rPr>
      </w:pPr>
      <w:r>
        <w:rPr>
          <w:rFonts w:cstheme="minorHAnsi"/>
          <w:sz w:val="28"/>
          <w:szCs w:val="28"/>
        </w:rPr>
        <w:t>Counsel: Juror number 5, having listened to the explanation of how the penalty phase will proceed, if you are elected foreperson will you be able to place your juror number and initials on a death verdict?</w:t>
      </w:r>
    </w:p>
    <w:p w:rsidR="00727BC6" w:rsidRDefault="00727BC6" w:rsidP="00727BC6">
      <w:pPr>
        <w:spacing w:line="240" w:lineRule="auto"/>
        <w:ind w:left="1440" w:right="1440"/>
        <w:jc w:val="both"/>
        <w:outlineLvl w:val="0"/>
        <w:rPr>
          <w:rFonts w:cstheme="minorHAnsi"/>
          <w:sz w:val="28"/>
          <w:szCs w:val="28"/>
        </w:rPr>
      </w:pPr>
    </w:p>
    <w:p w:rsidR="00727BC6" w:rsidRDefault="00727BC6" w:rsidP="00727BC6">
      <w:pPr>
        <w:spacing w:line="240" w:lineRule="auto"/>
        <w:ind w:left="1440" w:right="1440"/>
        <w:jc w:val="both"/>
        <w:outlineLvl w:val="0"/>
        <w:rPr>
          <w:rFonts w:cstheme="minorHAnsi"/>
          <w:sz w:val="28"/>
          <w:szCs w:val="28"/>
        </w:rPr>
      </w:pPr>
      <w:r>
        <w:rPr>
          <w:rFonts w:cstheme="minorHAnsi"/>
          <w:sz w:val="28"/>
          <w:szCs w:val="28"/>
        </w:rPr>
        <w:t>Juror #5:  You mean I don’t have to sign my name if I vote for death?</w:t>
      </w:r>
    </w:p>
    <w:p w:rsidR="00727BC6" w:rsidRDefault="00727BC6" w:rsidP="00727BC6">
      <w:pPr>
        <w:spacing w:line="240" w:lineRule="auto"/>
        <w:ind w:left="1440" w:right="1440"/>
        <w:jc w:val="both"/>
        <w:outlineLvl w:val="0"/>
        <w:rPr>
          <w:rFonts w:cstheme="minorHAnsi"/>
          <w:sz w:val="28"/>
          <w:szCs w:val="28"/>
        </w:rPr>
      </w:pPr>
    </w:p>
    <w:p w:rsidR="00727BC6" w:rsidRDefault="00727BC6" w:rsidP="00727BC6">
      <w:pPr>
        <w:spacing w:line="240" w:lineRule="auto"/>
        <w:ind w:left="1440" w:right="1440"/>
        <w:jc w:val="both"/>
        <w:outlineLvl w:val="0"/>
        <w:rPr>
          <w:rFonts w:cstheme="minorHAnsi"/>
          <w:sz w:val="28"/>
          <w:szCs w:val="28"/>
        </w:rPr>
      </w:pPr>
      <w:r>
        <w:rPr>
          <w:rFonts w:cstheme="minorHAnsi"/>
          <w:sz w:val="28"/>
          <w:szCs w:val="28"/>
        </w:rPr>
        <w:t>Counsel:  No.  If you decide death is the appropriate punishment, all you have to do is put down your juror number and your initials.</w:t>
      </w:r>
    </w:p>
    <w:p w:rsidR="00727BC6" w:rsidRDefault="00727BC6" w:rsidP="00727BC6">
      <w:pPr>
        <w:spacing w:line="240" w:lineRule="auto"/>
        <w:ind w:left="1440" w:right="1440"/>
        <w:jc w:val="both"/>
        <w:outlineLvl w:val="0"/>
        <w:rPr>
          <w:rFonts w:cstheme="minorHAnsi"/>
          <w:sz w:val="28"/>
          <w:szCs w:val="28"/>
        </w:rPr>
      </w:pPr>
    </w:p>
    <w:p w:rsidR="00727BC6" w:rsidRDefault="00727BC6" w:rsidP="00727BC6">
      <w:pPr>
        <w:spacing w:line="480" w:lineRule="auto"/>
        <w:ind w:left="1440" w:right="1440"/>
        <w:jc w:val="both"/>
        <w:outlineLvl w:val="0"/>
        <w:rPr>
          <w:rFonts w:cstheme="minorHAnsi"/>
          <w:sz w:val="28"/>
          <w:szCs w:val="28"/>
        </w:rPr>
      </w:pPr>
      <w:r>
        <w:rPr>
          <w:rFonts w:cstheme="minorHAnsi"/>
          <w:sz w:val="28"/>
          <w:szCs w:val="28"/>
        </w:rPr>
        <w:t>Juror #5: Sure, I can do that.</w:t>
      </w:r>
    </w:p>
    <w:p w:rsidR="00727BC6" w:rsidRDefault="00727BC6" w:rsidP="00727BC6">
      <w:pPr>
        <w:spacing w:line="480" w:lineRule="auto"/>
        <w:ind w:left="1440" w:right="1440"/>
        <w:jc w:val="both"/>
        <w:outlineLvl w:val="0"/>
        <w:rPr>
          <w:rFonts w:cstheme="minorHAnsi"/>
          <w:sz w:val="28"/>
          <w:szCs w:val="28"/>
        </w:rPr>
      </w:pP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 xml:space="preserve">The ability of a capital juror to take refuge behind the anonymity of a number and a couple of letters will distance and insulate the juror from the awesome responsibility of condemning a human being to death.  It de-humanizes the decision to impose death by seeming to remove the individual from the process.  The death decision becomes mechanical:  The defendant is sentenced to death, signed </w:t>
      </w:r>
      <w:r>
        <w:rPr>
          <w:rFonts w:cstheme="minorHAnsi"/>
          <w:sz w:val="28"/>
          <w:szCs w:val="28"/>
          <w:u w:val="single"/>
        </w:rPr>
        <w:t>#11 P.G</w:t>
      </w:r>
      <w:r w:rsidRPr="007977D6">
        <w:rPr>
          <w:rFonts w:cstheme="minorHAnsi"/>
          <w:sz w:val="28"/>
          <w:szCs w:val="28"/>
          <w:u w:val="single"/>
        </w:rPr>
        <w:t>.</w:t>
      </w:r>
      <w:r>
        <w:rPr>
          <w:rFonts w:cstheme="minorHAnsi"/>
          <w:sz w:val="28"/>
          <w:szCs w:val="28"/>
        </w:rPr>
        <w:t xml:space="preserve">    </w:t>
      </w:r>
    </w:p>
    <w:p w:rsidR="00727BC6" w:rsidRDefault="00727BC6" w:rsidP="00727BC6">
      <w:pPr>
        <w:spacing w:line="240" w:lineRule="auto"/>
        <w:ind w:left="720" w:right="720"/>
        <w:jc w:val="both"/>
        <w:outlineLvl w:val="0"/>
        <w:rPr>
          <w:rFonts w:cstheme="minorHAnsi"/>
          <w:b/>
          <w:sz w:val="28"/>
          <w:szCs w:val="28"/>
        </w:rPr>
      </w:pPr>
      <w:r>
        <w:rPr>
          <w:rFonts w:cstheme="minorHAnsi"/>
          <w:b/>
          <w:sz w:val="28"/>
          <w:szCs w:val="28"/>
        </w:rPr>
        <w:t xml:space="preserve">Jurors May Wrongly Perceive that a Defendant is Dangerous When Told that a Signature is </w:t>
      </w:r>
      <w:proofErr w:type="gramStart"/>
      <w:r>
        <w:rPr>
          <w:rFonts w:cstheme="minorHAnsi"/>
          <w:b/>
          <w:sz w:val="28"/>
          <w:szCs w:val="28"/>
        </w:rPr>
        <w:t>Not</w:t>
      </w:r>
      <w:proofErr w:type="gramEnd"/>
      <w:r>
        <w:rPr>
          <w:rFonts w:cstheme="minorHAnsi"/>
          <w:b/>
          <w:sz w:val="28"/>
          <w:szCs w:val="28"/>
        </w:rPr>
        <w:t xml:space="preserve"> Required on a Verdict Form. </w:t>
      </w:r>
    </w:p>
    <w:p w:rsidR="00727BC6" w:rsidRDefault="00727BC6" w:rsidP="00727BC6">
      <w:pPr>
        <w:spacing w:line="480" w:lineRule="auto"/>
        <w:ind w:right="90" w:firstLine="720"/>
        <w:jc w:val="both"/>
        <w:outlineLvl w:val="0"/>
        <w:rPr>
          <w:rFonts w:cstheme="minorHAnsi"/>
          <w:sz w:val="28"/>
          <w:szCs w:val="28"/>
        </w:rPr>
      </w:pP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 xml:space="preserve">With regard to all criminal cases, jurors may consider that the need for juror anonymity arises due to a danger posed by the defendant.  All parties to a criminal case usually go to considerable lengths to avoid having the jury see the accused in jail clothing, or being escorted into the courtroom by the detention officer, or having </w:t>
      </w:r>
      <w:r>
        <w:rPr>
          <w:rFonts w:cstheme="minorHAnsi"/>
          <w:sz w:val="28"/>
          <w:szCs w:val="28"/>
        </w:rPr>
        <w:lastRenderedPageBreak/>
        <w:t>difficulty moving about due to restraints.  The concern is that jurors may believe the defendant is dangerous and might try to harm them in the event he obtained identifying information.</w:t>
      </w: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 xml:space="preserve">The potential prejudice to an accused is so great in those situations that the United States Supreme Court ruled that an accused has a due process right not to appear before a jury in any kind of visible restraints absent a requisite finding by the court. </w:t>
      </w:r>
      <w:r>
        <w:rPr>
          <w:rFonts w:cstheme="minorHAnsi"/>
          <w:i/>
          <w:sz w:val="28"/>
          <w:szCs w:val="28"/>
        </w:rPr>
        <w:t xml:space="preserve">See, Deck v. Missouri, </w:t>
      </w:r>
      <w:r>
        <w:rPr>
          <w:rFonts w:cstheme="minorHAnsi"/>
          <w:sz w:val="28"/>
          <w:szCs w:val="28"/>
        </w:rPr>
        <w:t>544 U.S. 622 (2005).  Many cases have been reversed or mistrials granted when a jury inadvertently viewed a defendant in restraints.</w:t>
      </w: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If Rule 23.1 is amended as requested, there is a danger that jurors may believe a defendant is dangerous when they are told that the foreperson is not required to sign the verdict form, and that a number and initials will suffice.</w:t>
      </w:r>
    </w:p>
    <w:p w:rsidR="00727BC6" w:rsidRDefault="00727BC6" w:rsidP="00727BC6">
      <w:pPr>
        <w:spacing w:line="480" w:lineRule="auto"/>
        <w:ind w:right="90" w:firstLine="720"/>
        <w:jc w:val="both"/>
        <w:outlineLvl w:val="0"/>
        <w:rPr>
          <w:rFonts w:cstheme="minorHAnsi"/>
          <w:sz w:val="28"/>
          <w:szCs w:val="28"/>
        </w:rPr>
      </w:pPr>
      <w:r>
        <w:rPr>
          <w:rFonts w:cstheme="minorHAnsi"/>
          <w:sz w:val="28"/>
          <w:szCs w:val="28"/>
        </w:rPr>
        <w:t>In lieu of amending Rule 23.1, the [CDPP] believes that a simple solution, in cases where it seems necessary, is to simply have the court seal the verdict form after it has been read and reviewed by trial counsel.</w:t>
      </w:r>
    </w:p>
    <w:p w:rsidR="00727BC6" w:rsidRDefault="00727BC6" w:rsidP="00727BC6">
      <w:pPr>
        <w:spacing w:line="480" w:lineRule="auto"/>
        <w:ind w:right="90" w:firstLine="720"/>
        <w:jc w:val="both"/>
        <w:outlineLvl w:val="0"/>
        <w:rPr>
          <w:rFonts w:cstheme="minorHAnsi"/>
          <w:b/>
          <w:sz w:val="28"/>
          <w:szCs w:val="28"/>
        </w:rPr>
      </w:pPr>
      <w:r>
        <w:rPr>
          <w:rFonts w:cstheme="minorHAnsi"/>
          <w:b/>
          <w:sz w:val="28"/>
          <w:szCs w:val="28"/>
        </w:rPr>
        <w:t>Conclusion</w:t>
      </w:r>
    </w:p>
    <w:p w:rsidR="00727BC6" w:rsidRPr="007977D6" w:rsidRDefault="00727BC6" w:rsidP="00727BC6">
      <w:pPr>
        <w:spacing w:line="480" w:lineRule="auto"/>
        <w:ind w:right="90" w:firstLine="720"/>
        <w:jc w:val="both"/>
        <w:outlineLvl w:val="0"/>
        <w:rPr>
          <w:rFonts w:cstheme="minorHAnsi"/>
          <w:sz w:val="28"/>
          <w:szCs w:val="28"/>
        </w:rPr>
      </w:pPr>
      <w:r>
        <w:rPr>
          <w:rFonts w:cstheme="minorHAnsi"/>
          <w:sz w:val="28"/>
          <w:szCs w:val="28"/>
        </w:rPr>
        <w:t>For the foregoing reasons, the [CDPP] opposes amending Rule 23.1 as requested in Petition R-17-0014.</w:t>
      </w:r>
    </w:p>
    <w:p w:rsidR="00494BDF" w:rsidRPr="00D92F7A" w:rsidRDefault="00494BDF" w:rsidP="000C48A9">
      <w:pPr>
        <w:pStyle w:val="Body"/>
        <w:widowControl w:val="0"/>
        <w:ind w:firstLine="0"/>
        <w:jc w:val="both"/>
        <w:rPr>
          <w:sz w:val="28"/>
          <w:szCs w:val="28"/>
        </w:rPr>
      </w:pPr>
    </w:p>
    <w:p w:rsidR="00933EA1" w:rsidRPr="00D92F7A" w:rsidRDefault="00933EA1" w:rsidP="000F7C13">
      <w:pPr>
        <w:spacing w:line="240" w:lineRule="auto"/>
        <w:rPr>
          <w:strike/>
          <w:sz w:val="28"/>
          <w:szCs w:val="28"/>
        </w:rPr>
      </w:pPr>
    </w:p>
    <w:p w:rsidR="00933EA1" w:rsidRPr="00D92F7A" w:rsidRDefault="00933EA1" w:rsidP="00933EA1">
      <w:pPr>
        <w:rPr>
          <w:sz w:val="28"/>
          <w:szCs w:val="28"/>
        </w:rPr>
      </w:pPr>
    </w:p>
    <w:p w:rsidR="00052372" w:rsidRDefault="00052372" w:rsidP="00933EA1">
      <w:pPr>
        <w:tabs>
          <w:tab w:val="left" w:pos="8145"/>
        </w:tabs>
        <w:rPr>
          <w:sz w:val="28"/>
          <w:szCs w:val="28"/>
        </w:rPr>
      </w:pPr>
    </w:p>
    <w:p w:rsidR="00726A59" w:rsidRDefault="00726A59" w:rsidP="00933EA1">
      <w:pPr>
        <w:tabs>
          <w:tab w:val="left" w:pos="8145"/>
        </w:tabs>
        <w:rPr>
          <w:sz w:val="28"/>
          <w:szCs w:val="28"/>
        </w:rPr>
      </w:pPr>
    </w:p>
    <w:p w:rsidR="00726A59" w:rsidRPr="00D92F7A" w:rsidRDefault="00726A59" w:rsidP="00933EA1">
      <w:pPr>
        <w:tabs>
          <w:tab w:val="left" w:pos="8145"/>
        </w:tabs>
        <w:rPr>
          <w:sz w:val="28"/>
          <w:szCs w:val="28"/>
        </w:rPr>
      </w:pPr>
    </w:p>
    <w:sectPr w:rsidR="00726A59" w:rsidRPr="00D92F7A" w:rsidSect="001601CC">
      <w:headerReference w:type="default" r:id="rId9"/>
      <w:footerReference w:type="even" r:id="rId10"/>
      <w:footerReference w:type="default" r:id="rId11"/>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oudyOlSt BT">
    <w:altName w:val="Georgia"/>
    <w:charset w:val="00"/>
    <w:family w:val="roman"/>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p w:rsidR="00447BD7" w:rsidRDefault="00447B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535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1E0800">
          <w:rPr>
            <w:noProof/>
            <w:sz w:val="26"/>
            <w:szCs w:val="26"/>
          </w:rPr>
          <w:t>2</w:t>
        </w:r>
        <w:r w:rsidRPr="006B4F9A">
          <w:rPr>
            <w:noProof/>
            <w:sz w:val="26"/>
            <w:szCs w:val="26"/>
          </w:rPr>
          <w:fldChar w:fldCharType="end"/>
        </w:r>
      </w:p>
    </w:sdtContent>
  </w:sdt>
  <w:p w:rsidR="007D5C49" w:rsidRDefault="007D5C49"/>
  <w:p w:rsidR="00447BD7" w:rsidRDefault="00447B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727BC6" w:rsidRDefault="00727BC6" w:rsidP="00727BC6">
      <w:pPr>
        <w:pStyle w:val="FootnoteText"/>
        <w:jc w:val="both"/>
      </w:pPr>
      <w:r>
        <w:rPr>
          <w:rStyle w:val="FootnoteReference"/>
        </w:rPr>
        <w:footnoteRef/>
      </w:r>
      <w:r>
        <w:t xml:space="preserve"> </w:t>
      </w:r>
      <w:r w:rsidRPr="00FC2552">
        <w:rPr>
          <w:sz w:val="28"/>
          <w:szCs w:val="28"/>
        </w:rPr>
        <w:t>The proposed comment attached as the Appendix has been modified by the State Bar to reflect the true drafter of the proposed comment. As such, the instances where the State Bar of Arizona was referenced</w:t>
      </w:r>
      <w:r>
        <w:rPr>
          <w:sz w:val="28"/>
          <w:szCs w:val="28"/>
        </w:rPr>
        <w:t xml:space="preserve"> as filing the comment were</w:t>
      </w:r>
      <w:r w:rsidRPr="00FC2552">
        <w:rPr>
          <w:sz w:val="28"/>
          <w:szCs w:val="28"/>
        </w:rPr>
        <w:t xml:space="preserve"> modified, in brackets, and replaced with </w:t>
      </w:r>
      <w:r>
        <w:rPr>
          <w:sz w:val="28"/>
          <w:szCs w:val="28"/>
        </w:rPr>
        <w:t>“</w:t>
      </w:r>
      <w:r w:rsidRPr="00FC2552">
        <w:rPr>
          <w:sz w:val="28"/>
          <w:szCs w:val="28"/>
        </w:rPr>
        <w:t xml:space="preserve">Criminal </w:t>
      </w:r>
      <w:r>
        <w:rPr>
          <w:sz w:val="28"/>
          <w:szCs w:val="28"/>
        </w:rPr>
        <w:t>Defense</w:t>
      </w:r>
      <w:r w:rsidRPr="00FC2552">
        <w:rPr>
          <w:sz w:val="28"/>
          <w:szCs w:val="28"/>
        </w:rPr>
        <w:t xml:space="preserve"> Practice &amp; Procedure Committee.</w:t>
      </w:r>
      <w:r>
        <w:rPr>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p w:rsidR="00447BD7" w:rsidRDefault="00447B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33102EE"/>
    <w:multiLevelType w:val="hybridMultilevel"/>
    <w:tmpl w:val="2C2C1160"/>
    <w:lvl w:ilvl="0" w:tplc="1D5EE31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B5F70"/>
    <w:multiLevelType w:val="hybridMultilevel"/>
    <w:tmpl w:val="D466E07E"/>
    <w:lvl w:ilvl="0" w:tplc="3B14BE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E713191"/>
    <w:multiLevelType w:val="hybridMultilevel"/>
    <w:tmpl w:val="E4369E60"/>
    <w:lvl w:ilvl="0" w:tplc="1C0E950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6"/>
  </w:num>
  <w:num w:numId="3">
    <w:abstractNumId w:val="2"/>
  </w:num>
  <w:num w:numId="4">
    <w:abstractNumId w:val="6"/>
  </w:num>
  <w:num w:numId="5">
    <w:abstractNumId w:val="8"/>
  </w:num>
  <w:num w:numId="6">
    <w:abstractNumId w:val="9"/>
  </w:num>
  <w:num w:numId="7">
    <w:abstractNumId w:val="3"/>
  </w:num>
  <w:num w:numId="8">
    <w:abstractNumId w:val="18"/>
  </w:num>
  <w:num w:numId="9">
    <w:abstractNumId w:val="10"/>
  </w:num>
  <w:num w:numId="10">
    <w:abstractNumId w:val="13"/>
  </w:num>
  <w:num w:numId="11">
    <w:abstractNumId w:val="12"/>
  </w:num>
  <w:num w:numId="12">
    <w:abstractNumId w:val="7"/>
  </w:num>
  <w:num w:numId="13">
    <w:abstractNumId w:val="4"/>
  </w:num>
  <w:num w:numId="14">
    <w:abstractNumId w:val="5"/>
  </w:num>
  <w:num w:numId="15">
    <w:abstractNumId w:val="15"/>
  </w:num>
  <w:num w:numId="16">
    <w:abstractNumId w:val="0"/>
  </w:num>
  <w:num w:numId="17">
    <w:abstractNumId w:val="1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0720"/>
    <w:rsid w:val="000410B3"/>
    <w:rsid w:val="00043D4D"/>
    <w:rsid w:val="00052372"/>
    <w:rsid w:val="000666D1"/>
    <w:rsid w:val="000917C0"/>
    <w:rsid w:val="000A1D6B"/>
    <w:rsid w:val="000C48A9"/>
    <w:rsid w:val="000F7A7F"/>
    <w:rsid w:val="000F7C13"/>
    <w:rsid w:val="00122201"/>
    <w:rsid w:val="00135326"/>
    <w:rsid w:val="001601CC"/>
    <w:rsid w:val="001A2520"/>
    <w:rsid w:val="001E0800"/>
    <w:rsid w:val="001F591C"/>
    <w:rsid w:val="00274D6A"/>
    <w:rsid w:val="0031358D"/>
    <w:rsid w:val="00327307"/>
    <w:rsid w:val="00352347"/>
    <w:rsid w:val="003566D6"/>
    <w:rsid w:val="00357F4D"/>
    <w:rsid w:val="003617D1"/>
    <w:rsid w:val="00377199"/>
    <w:rsid w:val="00395092"/>
    <w:rsid w:val="003A28AC"/>
    <w:rsid w:val="00407E2D"/>
    <w:rsid w:val="004331B2"/>
    <w:rsid w:val="00440E4C"/>
    <w:rsid w:val="00447BD7"/>
    <w:rsid w:val="00463734"/>
    <w:rsid w:val="00494BDF"/>
    <w:rsid w:val="004C3AE3"/>
    <w:rsid w:val="004D2185"/>
    <w:rsid w:val="00504E1E"/>
    <w:rsid w:val="00506859"/>
    <w:rsid w:val="00515AEA"/>
    <w:rsid w:val="00520F93"/>
    <w:rsid w:val="00566856"/>
    <w:rsid w:val="00587AF1"/>
    <w:rsid w:val="005A21B0"/>
    <w:rsid w:val="005B5161"/>
    <w:rsid w:val="005D6AD4"/>
    <w:rsid w:val="006338C1"/>
    <w:rsid w:val="00636F5E"/>
    <w:rsid w:val="00665CCF"/>
    <w:rsid w:val="006666D1"/>
    <w:rsid w:val="006721EC"/>
    <w:rsid w:val="006766BF"/>
    <w:rsid w:val="006932BA"/>
    <w:rsid w:val="006B4F9A"/>
    <w:rsid w:val="006F63FD"/>
    <w:rsid w:val="00726A59"/>
    <w:rsid w:val="00727BC6"/>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9830BC"/>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C241B"/>
    <w:rsid w:val="00CD21FB"/>
    <w:rsid w:val="00D35995"/>
    <w:rsid w:val="00D423FE"/>
    <w:rsid w:val="00D442E4"/>
    <w:rsid w:val="00D80EDC"/>
    <w:rsid w:val="00D92F7A"/>
    <w:rsid w:val="00DF4F15"/>
    <w:rsid w:val="00E047D3"/>
    <w:rsid w:val="00E266B7"/>
    <w:rsid w:val="00E321C5"/>
    <w:rsid w:val="00E411A6"/>
    <w:rsid w:val="00E5772B"/>
    <w:rsid w:val="00E67511"/>
    <w:rsid w:val="00E82D0F"/>
    <w:rsid w:val="00E950B5"/>
    <w:rsid w:val="00F05879"/>
    <w:rsid w:val="00F06F5B"/>
    <w:rsid w:val="00F2485D"/>
    <w:rsid w:val="00F33926"/>
    <w:rsid w:val="00F44B56"/>
    <w:rsid w:val="00F60C61"/>
    <w:rsid w:val="00F64B52"/>
    <w:rsid w:val="00F850BE"/>
    <w:rsid w:val="00F96A1A"/>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 w:type="paragraph" w:styleId="NormalWeb">
    <w:name w:val="Normal (Web)"/>
    <w:basedOn w:val="Normal"/>
    <w:uiPriority w:val="99"/>
    <w:unhideWhenUsed/>
    <w:rsid w:val="00122201"/>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3129245&amp;pubNum=780&amp;originatingDoc=I0dc302cd479a11d98915dbcd77ee80bc&amp;refType=RP&amp;fi=co_pp_sp_780_884&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E499-99B1-488D-AE74-4B90236B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9</Pages>
  <Words>1267</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2017-05-22T20:12:00Z</cp:lastPrinted>
  <dcterms:created xsi:type="dcterms:W3CDTF">2017-05-22T20:36:00Z</dcterms:created>
  <dcterms:modified xsi:type="dcterms:W3CDTF">2017-05-23T00:09:00Z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