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D92F7A" w:rsidTr="006F63FD">
        <w:trPr>
          <w:cantSplit/>
          <w:trHeight w:val="1987"/>
        </w:trPr>
        <w:tc>
          <w:tcPr>
            <w:tcW w:w="4836" w:type="dxa"/>
          </w:tcPr>
          <w:p w:rsidR="00000C35" w:rsidRPr="00D92F7A" w:rsidRDefault="00F850BE" w:rsidP="00000C35">
            <w:pPr>
              <w:pStyle w:val="FirmInformation"/>
              <w:spacing w:line="240" w:lineRule="auto"/>
              <w:rPr>
                <w:sz w:val="28"/>
                <w:szCs w:val="28"/>
              </w:rPr>
            </w:pPr>
            <w:bookmarkStart w:id="0" w:name="_zzmpFIXED_CounselTable"/>
            <w:r w:rsidRPr="00D92F7A">
              <w:rPr>
                <w:sz w:val="28"/>
                <w:szCs w:val="28"/>
              </w:rPr>
              <w:t>Lisa M. Panahi</w:t>
            </w:r>
            <w:r w:rsidR="00732169" w:rsidRPr="00D92F7A">
              <w:rPr>
                <w:sz w:val="28"/>
                <w:szCs w:val="28"/>
              </w:rPr>
              <w:t xml:space="preserve">, </w:t>
            </w:r>
            <w:r w:rsidRPr="00D92F7A">
              <w:rPr>
                <w:sz w:val="28"/>
                <w:szCs w:val="28"/>
              </w:rPr>
              <w:t>Bar No. 023421</w:t>
            </w:r>
            <w:r w:rsidR="00732169" w:rsidRPr="00D92F7A">
              <w:rPr>
                <w:sz w:val="28"/>
                <w:szCs w:val="28"/>
              </w:rPr>
              <w:br/>
            </w:r>
            <w:r w:rsidR="006F63FD" w:rsidRPr="00D92F7A">
              <w:rPr>
                <w:sz w:val="28"/>
                <w:szCs w:val="28"/>
              </w:rPr>
              <w:t>General Counsel</w:t>
            </w:r>
          </w:p>
          <w:p w:rsidR="00494BDF" w:rsidRPr="00D92F7A" w:rsidRDefault="00494BDF" w:rsidP="00000C35">
            <w:pPr>
              <w:pStyle w:val="FirmInformation"/>
              <w:spacing w:line="240" w:lineRule="auto"/>
              <w:rPr>
                <w:sz w:val="28"/>
                <w:szCs w:val="28"/>
              </w:rPr>
            </w:pPr>
            <w:r w:rsidRPr="00D92F7A">
              <w:rPr>
                <w:sz w:val="28"/>
                <w:szCs w:val="28"/>
              </w:rPr>
              <w:t>State Bar of Arizona</w:t>
            </w:r>
          </w:p>
          <w:p w:rsidR="00357F4D" w:rsidRPr="00D92F7A" w:rsidRDefault="00357F4D" w:rsidP="00000C35">
            <w:pPr>
              <w:pStyle w:val="FirmInformation"/>
              <w:spacing w:line="240" w:lineRule="auto"/>
              <w:rPr>
                <w:sz w:val="28"/>
                <w:szCs w:val="28"/>
              </w:rPr>
            </w:pPr>
            <w:r w:rsidRPr="00D92F7A">
              <w:rPr>
                <w:sz w:val="28"/>
                <w:szCs w:val="28"/>
              </w:rPr>
              <w:t>4201 N. 24th Street, Suite 100</w:t>
            </w:r>
          </w:p>
          <w:p w:rsidR="00357F4D" w:rsidRPr="00D92F7A" w:rsidRDefault="00357F4D" w:rsidP="00000C35">
            <w:pPr>
              <w:pStyle w:val="FirmInformation"/>
              <w:spacing w:line="240" w:lineRule="auto"/>
              <w:rPr>
                <w:sz w:val="28"/>
                <w:szCs w:val="28"/>
              </w:rPr>
            </w:pPr>
            <w:r w:rsidRPr="00D92F7A">
              <w:rPr>
                <w:sz w:val="28"/>
                <w:szCs w:val="28"/>
              </w:rPr>
              <w:t>Phoenix, AZ  85016-6288</w:t>
            </w:r>
          </w:p>
          <w:p w:rsidR="006F63FD" w:rsidRDefault="00352347" w:rsidP="00735659">
            <w:pPr>
              <w:pStyle w:val="FirmInformation"/>
              <w:spacing w:line="240" w:lineRule="auto"/>
              <w:rPr>
                <w:sz w:val="28"/>
                <w:szCs w:val="28"/>
              </w:rPr>
            </w:pPr>
            <w:r w:rsidRPr="00D92F7A">
              <w:rPr>
                <w:sz w:val="28"/>
                <w:szCs w:val="28"/>
              </w:rPr>
              <w:t>(602) 340-7236</w:t>
            </w:r>
          </w:p>
          <w:p w:rsidR="00587AF1" w:rsidRPr="00D92F7A" w:rsidRDefault="00587AF1" w:rsidP="00735659">
            <w:pPr>
              <w:pStyle w:val="FirmInformation"/>
              <w:spacing w:line="240" w:lineRule="auto"/>
              <w:rPr>
                <w:sz w:val="28"/>
                <w:szCs w:val="28"/>
              </w:rPr>
            </w:pPr>
          </w:p>
        </w:tc>
        <w:tc>
          <w:tcPr>
            <w:tcW w:w="4200" w:type="dxa"/>
          </w:tcPr>
          <w:p w:rsidR="00357F4D" w:rsidRPr="00D92F7A" w:rsidRDefault="00357F4D" w:rsidP="00000C35">
            <w:pPr>
              <w:ind w:left="113" w:right="113"/>
              <w:rPr>
                <w:sz w:val="28"/>
                <w:szCs w:val="28"/>
              </w:rPr>
            </w:pPr>
          </w:p>
        </w:tc>
      </w:tr>
    </w:tbl>
    <w:bookmarkEnd w:id="0"/>
    <w:p w:rsidR="00395092" w:rsidRPr="00D92F7A" w:rsidRDefault="000F7A7F" w:rsidP="00000C35">
      <w:pPr>
        <w:pStyle w:val="Court"/>
        <w:spacing w:line="240" w:lineRule="auto"/>
        <w:rPr>
          <w:b/>
          <w:sz w:val="28"/>
          <w:szCs w:val="28"/>
        </w:rPr>
      </w:pPr>
      <w:r w:rsidRPr="00D92F7A">
        <w:rPr>
          <w:b/>
          <w:sz w:val="28"/>
          <w:szCs w:val="28"/>
        </w:rPr>
        <w:t>IN THE SUPREME COURT</w:t>
      </w:r>
      <w:r w:rsidRPr="00D92F7A">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92F7A" w:rsidTr="004331B2">
        <w:tc>
          <w:tcPr>
            <w:tcW w:w="4680" w:type="dxa"/>
            <w:tcBorders>
              <w:top w:val="nil"/>
              <w:bottom w:val="single" w:sz="4" w:space="0" w:color="auto"/>
              <w:right w:val="single" w:sz="4" w:space="0" w:color="auto"/>
            </w:tcBorders>
            <w:shd w:val="clear" w:color="auto" w:fill="auto"/>
          </w:tcPr>
          <w:p w:rsidR="00357F4D" w:rsidRPr="00D92F7A" w:rsidRDefault="00357F4D" w:rsidP="00E321C5">
            <w:pPr>
              <w:pStyle w:val="Caption"/>
              <w:spacing w:before="240" w:line="260" w:lineRule="exact"/>
              <w:rPr>
                <w:sz w:val="28"/>
                <w:szCs w:val="28"/>
              </w:rPr>
            </w:pPr>
            <w:bookmarkStart w:id="1" w:name="_zzmpFIXED_CaptionTable"/>
            <w:r w:rsidRPr="00D92F7A">
              <w:rPr>
                <w:sz w:val="28"/>
                <w:szCs w:val="28"/>
              </w:rPr>
              <w:t>In the Matter of:</w:t>
            </w:r>
          </w:p>
          <w:p w:rsidR="001601CC" w:rsidRDefault="00E67511" w:rsidP="00D35995">
            <w:pPr>
              <w:pStyle w:val="Caption"/>
              <w:spacing w:before="240" w:line="260" w:lineRule="exact"/>
              <w:rPr>
                <w:b/>
                <w:sz w:val="28"/>
                <w:szCs w:val="28"/>
              </w:rPr>
            </w:pPr>
            <w:r w:rsidRPr="00D92F7A">
              <w:rPr>
                <w:b/>
                <w:sz w:val="28"/>
                <w:szCs w:val="28"/>
              </w:rPr>
              <w:t xml:space="preserve">PETITION </w:t>
            </w:r>
            <w:r w:rsidR="009830BC">
              <w:rPr>
                <w:b/>
                <w:sz w:val="28"/>
                <w:szCs w:val="28"/>
              </w:rPr>
              <w:t>T</w:t>
            </w:r>
            <w:r w:rsidR="00587AF1">
              <w:rPr>
                <w:b/>
                <w:sz w:val="28"/>
                <w:szCs w:val="28"/>
              </w:rPr>
              <w:t xml:space="preserve">O </w:t>
            </w:r>
            <w:r w:rsidR="00D35995">
              <w:rPr>
                <w:b/>
                <w:sz w:val="28"/>
                <w:szCs w:val="28"/>
              </w:rPr>
              <w:t>A</w:t>
            </w:r>
            <w:r w:rsidR="00327307">
              <w:rPr>
                <w:b/>
                <w:sz w:val="28"/>
                <w:szCs w:val="28"/>
              </w:rPr>
              <w:t xml:space="preserve">MEND </w:t>
            </w:r>
            <w:r w:rsidR="00492DD0">
              <w:rPr>
                <w:b/>
                <w:sz w:val="28"/>
                <w:szCs w:val="28"/>
              </w:rPr>
              <w:t>RULES 32(c) AND (d) OF THE ARIZONA RULES OF SUPREME COURT</w:t>
            </w:r>
          </w:p>
          <w:p w:rsidR="00D35995" w:rsidRPr="00D35995" w:rsidRDefault="00D35995" w:rsidP="00D35995"/>
        </w:tc>
        <w:tc>
          <w:tcPr>
            <w:tcW w:w="4524" w:type="dxa"/>
            <w:tcBorders>
              <w:top w:val="nil"/>
              <w:left w:val="single" w:sz="4" w:space="0" w:color="auto"/>
            </w:tcBorders>
            <w:shd w:val="clear" w:color="auto" w:fill="auto"/>
          </w:tcPr>
          <w:p w:rsidR="00357F4D" w:rsidRPr="00D92F7A" w:rsidRDefault="00357F4D" w:rsidP="00E321C5">
            <w:pPr>
              <w:pStyle w:val="Caption"/>
              <w:tabs>
                <w:tab w:val="left" w:pos="1238"/>
              </w:tabs>
              <w:spacing w:before="240" w:after="240"/>
              <w:ind w:left="259" w:right="115"/>
              <w:rPr>
                <w:sz w:val="28"/>
                <w:szCs w:val="28"/>
              </w:rPr>
            </w:pPr>
            <w:r w:rsidRPr="00D92F7A">
              <w:rPr>
                <w:sz w:val="28"/>
                <w:szCs w:val="28"/>
              </w:rPr>
              <w:t>Supreme Court No. R-</w:t>
            </w:r>
            <w:r w:rsidR="00492DD0">
              <w:rPr>
                <w:sz w:val="28"/>
                <w:szCs w:val="28"/>
              </w:rPr>
              <w:t>17-0022</w:t>
            </w:r>
          </w:p>
          <w:p w:rsidR="00357F4D" w:rsidRPr="00D92F7A" w:rsidRDefault="00D92F7A" w:rsidP="000F7A7F">
            <w:pPr>
              <w:pStyle w:val="Caption"/>
              <w:tabs>
                <w:tab w:val="left" w:pos="1238"/>
              </w:tabs>
              <w:spacing w:line="260" w:lineRule="exact"/>
              <w:ind w:right="115"/>
              <w:jc w:val="center"/>
              <w:rPr>
                <w:b/>
                <w:sz w:val="28"/>
                <w:szCs w:val="28"/>
              </w:rPr>
            </w:pPr>
            <w:r w:rsidRPr="00D92F7A">
              <w:rPr>
                <w:b/>
                <w:sz w:val="28"/>
                <w:szCs w:val="28"/>
              </w:rPr>
              <w:t>COMMENT OF</w:t>
            </w:r>
            <w:r w:rsidRPr="00D92F7A">
              <w:rPr>
                <w:b/>
                <w:sz w:val="28"/>
                <w:szCs w:val="28"/>
              </w:rPr>
              <w:br/>
              <w:t>THE STATE BAR OF ARIZONA</w:t>
            </w:r>
          </w:p>
          <w:p w:rsidR="00357F4D" w:rsidRPr="00D92F7A" w:rsidRDefault="00357F4D" w:rsidP="00E321C5">
            <w:pPr>
              <w:pStyle w:val="DocumentTitle"/>
              <w:rPr>
                <w:sz w:val="28"/>
                <w:szCs w:val="28"/>
              </w:rPr>
            </w:pPr>
          </w:p>
          <w:p w:rsidR="00357F4D" w:rsidRPr="00D92F7A" w:rsidRDefault="00357F4D" w:rsidP="00E321C5">
            <w:pPr>
              <w:pStyle w:val="Caption"/>
              <w:ind w:left="1512" w:right="115" w:hanging="1253"/>
              <w:rPr>
                <w:sz w:val="28"/>
                <w:szCs w:val="28"/>
              </w:rPr>
            </w:pPr>
          </w:p>
        </w:tc>
      </w:tr>
      <w:bookmarkEnd w:id="1"/>
    </w:tbl>
    <w:p w:rsidR="00587AF1" w:rsidRDefault="00587AF1" w:rsidP="00122201">
      <w:pPr>
        <w:ind w:right="90" w:firstLine="720"/>
        <w:jc w:val="both"/>
        <w:outlineLvl w:val="0"/>
        <w:rPr>
          <w:rFonts w:cstheme="minorHAnsi"/>
          <w:sz w:val="28"/>
          <w:szCs w:val="28"/>
        </w:rPr>
      </w:pPr>
    </w:p>
    <w:p w:rsidR="00492DD0" w:rsidRDefault="00492DD0" w:rsidP="00492DD0">
      <w:pPr>
        <w:pStyle w:val="Body"/>
        <w:widowControl w:val="0"/>
        <w:spacing w:line="480" w:lineRule="auto"/>
        <w:ind w:firstLine="720"/>
        <w:jc w:val="both"/>
        <w:rPr>
          <w:sz w:val="28"/>
          <w:szCs w:val="28"/>
        </w:rPr>
      </w:pPr>
      <w:r>
        <w:rPr>
          <w:sz w:val="28"/>
          <w:szCs w:val="28"/>
        </w:rPr>
        <w:t>Pursuant to Rule 28(d), Ariz. R. Sup. Ct., the State Bar of Arizona (“State Bar”) hereby submits its Comment in opposition to the Petition in the above-captioned matter.</w:t>
      </w:r>
    </w:p>
    <w:p w:rsidR="00492DD0" w:rsidRDefault="00492DD0" w:rsidP="00492DD0">
      <w:pPr>
        <w:pStyle w:val="Body"/>
        <w:widowControl w:val="0"/>
        <w:spacing w:line="480" w:lineRule="auto"/>
        <w:ind w:firstLine="720"/>
        <w:jc w:val="both"/>
        <w:rPr>
          <w:sz w:val="28"/>
          <w:szCs w:val="28"/>
        </w:rPr>
      </w:pPr>
      <w:r>
        <w:rPr>
          <w:sz w:val="28"/>
          <w:szCs w:val="28"/>
        </w:rPr>
        <w:t xml:space="preserve">The Petition seeks to change the current structure of the integrated State Bar by splitting the functions of the State Bar into two subsets: a mandatory bar and a voluntary bar. Pet. </w:t>
      </w:r>
      <w:r>
        <w:rPr>
          <w:sz w:val="28"/>
          <w:szCs w:val="28"/>
        </w:rPr>
        <w:t>R-</w:t>
      </w:r>
      <w:r>
        <w:rPr>
          <w:sz w:val="28"/>
          <w:szCs w:val="28"/>
        </w:rPr>
        <w:t xml:space="preserve">17-0022 at 2. The Petition proposes to: (1) eliminate mandatory membership dues for what Petitioner deems to be non-regulatory functions; and (2) convert dues to voluntary contributions for all non-regulatory functions, as defined by Petitioner. While the State Bar agrees that this Court is the appropriate body to decide this issue, the State Bar opposes Petitioner’s proposed amendments to Rule 32 and highlights the exhaustive review of Rule 32 recently completed by this Court, as discussed in further detail below. </w:t>
      </w:r>
    </w:p>
    <w:p w:rsidR="00492DD0" w:rsidRPr="00D53E36" w:rsidRDefault="00492DD0" w:rsidP="00492DD0">
      <w:pPr>
        <w:pStyle w:val="Body"/>
        <w:widowControl w:val="0"/>
        <w:spacing w:line="480" w:lineRule="auto"/>
        <w:ind w:firstLine="720"/>
        <w:jc w:val="center"/>
        <w:rPr>
          <w:b/>
          <w:sz w:val="28"/>
          <w:szCs w:val="28"/>
        </w:rPr>
      </w:pPr>
      <w:r>
        <w:rPr>
          <w:b/>
          <w:sz w:val="28"/>
          <w:szCs w:val="28"/>
        </w:rPr>
        <w:t xml:space="preserve">DISCUSSION </w:t>
      </w:r>
    </w:p>
    <w:p w:rsidR="00492DD0" w:rsidRDefault="00492DD0" w:rsidP="00492DD0">
      <w:pPr>
        <w:pStyle w:val="Body"/>
        <w:widowControl w:val="0"/>
        <w:numPr>
          <w:ilvl w:val="0"/>
          <w:numId w:val="20"/>
        </w:numPr>
        <w:spacing w:line="240" w:lineRule="auto"/>
        <w:jc w:val="both"/>
        <w:rPr>
          <w:b/>
          <w:sz w:val="28"/>
          <w:szCs w:val="28"/>
        </w:rPr>
      </w:pPr>
      <w:r>
        <w:rPr>
          <w:b/>
          <w:sz w:val="28"/>
          <w:szCs w:val="28"/>
        </w:rPr>
        <w:t xml:space="preserve">The Task Force on the Review of the Role and Governance Structure of the State Bar of Arizona </w:t>
      </w:r>
    </w:p>
    <w:p w:rsidR="00492DD0" w:rsidRDefault="00492DD0" w:rsidP="00492DD0">
      <w:pPr>
        <w:pStyle w:val="Body"/>
        <w:widowControl w:val="0"/>
        <w:spacing w:line="240" w:lineRule="auto"/>
        <w:ind w:firstLine="720"/>
        <w:jc w:val="center"/>
        <w:rPr>
          <w:b/>
          <w:sz w:val="28"/>
          <w:szCs w:val="28"/>
        </w:rPr>
      </w:pPr>
    </w:p>
    <w:p w:rsidR="00492DD0" w:rsidRDefault="00492DD0" w:rsidP="00492DD0">
      <w:pPr>
        <w:pStyle w:val="Body"/>
        <w:widowControl w:val="0"/>
        <w:numPr>
          <w:ilvl w:val="0"/>
          <w:numId w:val="21"/>
        </w:numPr>
        <w:spacing w:line="240" w:lineRule="auto"/>
        <w:jc w:val="both"/>
        <w:rPr>
          <w:b/>
          <w:sz w:val="28"/>
          <w:szCs w:val="28"/>
        </w:rPr>
      </w:pPr>
      <w:r>
        <w:rPr>
          <w:b/>
          <w:sz w:val="28"/>
          <w:szCs w:val="28"/>
        </w:rPr>
        <w:t xml:space="preserve">Background of the Task Force. </w:t>
      </w:r>
    </w:p>
    <w:p w:rsidR="00492DD0" w:rsidRPr="00D53E36" w:rsidRDefault="00492DD0" w:rsidP="00492DD0">
      <w:pPr>
        <w:pStyle w:val="Body"/>
        <w:widowControl w:val="0"/>
        <w:spacing w:line="240" w:lineRule="auto"/>
        <w:ind w:left="1800" w:firstLine="0"/>
        <w:jc w:val="both"/>
        <w:rPr>
          <w:b/>
          <w:sz w:val="28"/>
          <w:szCs w:val="28"/>
        </w:rPr>
      </w:pPr>
    </w:p>
    <w:p w:rsidR="00492DD0" w:rsidRDefault="00492DD0" w:rsidP="00492DD0">
      <w:pPr>
        <w:pStyle w:val="Body"/>
        <w:widowControl w:val="0"/>
        <w:spacing w:line="480" w:lineRule="auto"/>
        <w:ind w:firstLine="720"/>
        <w:jc w:val="both"/>
        <w:rPr>
          <w:sz w:val="28"/>
          <w:szCs w:val="28"/>
        </w:rPr>
      </w:pPr>
      <w:r>
        <w:rPr>
          <w:sz w:val="28"/>
          <w:szCs w:val="28"/>
        </w:rPr>
        <w:t xml:space="preserve">The Arizona Supreme Court regulates the practice of law in Arizona and oversees the State Bar. On July 29, 2014, by Administrative Order No. 2014-79, the Supreme Court established the Task Force on the Review of the Role and Governance Structure of the State Bar of Arizona (“Task Force”). The Task Force was charged with the duty of examining the Rules of the Supreme Court on the mission and governance structure of the State Bar. </w:t>
      </w:r>
    </w:p>
    <w:p w:rsidR="00492DD0" w:rsidRDefault="00492DD0" w:rsidP="00492DD0">
      <w:pPr>
        <w:pStyle w:val="Body"/>
        <w:widowControl w:val="0"/>
        <w:spacing w:line="480" w:lineRule="auto"/>
        <w:ind w:firstLine="720"/>
        <w:jc w:val="both"/>
        <w:rPr>
          <w:sz w:val="28"/>
          <w:szCs w:val="28"/>
        </w:rPr>
      </w:pPr>
      <w:r>
        <w:rPr>
          <w:sz w:val="28"/>
          <w:szCs w:val="28"/>
        </w:rPr>
        <w:t xml:space="preserve">The Task Force worked extensively between August 2014 and July 2015, reviewing the State Bar’s structure and, </w:t>
      </w:r>
      <w:r w:rsidRPr="00504DA4">
        <w:rPr>
          <w:i/>
          <w:sz w:val="28"/>
          <w:szCs w:val="28"/>
        </w:rPr>
        <w:t>inter alia</w:t>
      </w:r>
      <w:r>
        <w:rPr>
          <w:sz w:val="28"/>
          <w:szCs w:val="28"/>
        </w:rPr>
        <w:t xml:space="preserve">, the mission of the State Bar and its composition as an integrated bar. </w:t>
      </w:r>
      <w:r w:rsidRPr="00223EA3">
        <w:rPr>
          <w:sz w:val="28"/>
          <w:szCs w:val="28"/>
        </w:rPr>
        <w:t>On September 1, 2015, nearly a year after the establishment of the Task Force, the Task Force submitted its final report to the Court, entitled Report of the Task Force on the Review of the Role and Governance Structure of the State Bar of Arizona (th</w:t>
      </w:r>
      <w:r>
        <w:rPr>
          <w:sz w:val="28"/>
          <w:szCs w:val="28"/>
        </w:rPr>
        <w:t xml:space="preserve">e “Report”). </w:t>
      </w:r>
    </w:p>
    <w:p w:rsidR="00492DD0" w:rsidRDefault="00492DD0" w:rsidP="00492DD0">
      <w:pPr>
        <w:pStyle w:val="Body"/>
        <w:widowControl w:val="0"/>
        <w:spacing w:line="480" w:lineRule="auto"/>
        <w:ind w:firstLine="720"/>
        <w:jc w:val="both"/>
        <w:rPr>
          <w:sz w:val="28"/>
          <w:szCs w:val="28"/>
        </w:rPr>
      </w:pPr>
      <w:r>
        <w:rPr>
          <w:sz w:val="28"/>
          <w:szCs w:val="28"/>
        </w:rPr>
        <w:t>The Report was made</w:t>
      </w:r>
      <w:r w:rsidRPr="00223EA3">
        <w:rPr>
          <w:sz w:val="28"/>
          <w:szCs w:val="28"/>
        </w:rPr>
        <w:t xml:space="preserve"> readily accessible to interested stakeholders</w:t>
      </w:r>
      <w:r>
        <w:rPr>
          <w:sz w:val="28"/>
          <w:szCs w:val="28"/>
        </w:rPr>
        <w:t>, who were given the opportunity to</w:t>
      </w:r>
      <w:r w:rsidRPr="00223EA3">
        <w:rPr>
          <w:sz w:val="28"/>
          <w:szCs w:val="28"/>
        </w:rPr>
        <w:t xml:space="preserve"> comment</w:t>
      </w:r>
      <w:r>
        <w:rPr>
          <w:sz w:val="28"/>
          <w:szCs w:val="28"/>
        </w:rPr>
        <w:t xml:space="preserve"> on the findings in the Report</w:t>
      </w:r>
      <w:r w:rsidRPr="00223EA3">
        <w:rPr>
          <w:sz w:val="28"/>
          <w:szCs w:val="28"/>
        </w:rPr>
        <w:t>.</w:t>
      </w:r>
      <w:r>
        <w:rPr>
          <w:sz w:val="28"/>
          <w:szCs w:val="28"/>
        </w:rPr>
        <w:t xml:space="preserve"> Because many of the issues raised in the Petition were considered by the Task Force and this Court so recently, the State Bar takes this opportunity to highlight the arguments set forth in the Petition before this Court. </w:t>
      </w:r>
    </w:p>
    <w:p w:rsidR="00492DD0" w:rsidRPr="000A0591" w:rsidRDefault="00492DD0" w:rsidP="00492DD0">
      <w:pPr>
        <w:pStyle w:val="Body"/>
        <w:widowControl w:val="0"/>
        <w:numPr>
          <w:ilvl w:val="0"/>
          <w:numId w:val="21"/>
        </w:numPr>
        <w:spacing w:line="480" w:lineRule="auto"/>
        <w:jc w:val="both"/>
        <w:rPr>
          <w:b/>
          <w:sz w:val="28"/>
          <w:szCs w:val="28"/>
        </w:rPr>
      </w:pPr>
      <w:r>
        <w:rPr>
          <w:b/>
          <w:sz w:val="28"/>
          <w:szCs w:val="28"/>
        </w:rPr>
        <w:t xml:space="preserve">The Task Force espoused the necessity of an integrated bar. </w:t>
      </w:r>
    </w:p>
    <w:p w:rsidR="00492DD0" w:rsidRDefault="00492DD0" w:rsidP="00492DD0">
      <w:pPr>
        <w:pStyle w:val="Body"/>
        <w:widowControl w:val="0"/>
        <w:spacing w:line="480" w:lineRule="auto"/>
        <w:ind w:firstLine="720"/>
        <w:jc w:val="both"/>
        <w:rPr>
          <w:sz w:val="28"/>
          <w:szCs w:val="28"/>
        </w:rPr>
      </w:pPr>
      <w:r>
        <w:rPr>
          <w:sz w:val="28"/>
          <w:szCs w:val="28"/>
        </w:rPr>
        <w:t xml:space="preserve">In the Report, the Task Force explained how an integrated bar assists the Court by enforcing the ethical rules adopted by the Court – traditional regulatory functions. But the State Bar’s mission goes further than assisting the Court by fulfilling regulatory functions; the State Bar exists to protect the public with respect to the provision of legal services and access to justice. </w:t>
      </w:r>
    </w:p>
    <w:p w:rsidR="00492DD0" w:rsidRDefault="00492DD0" w:rsidP="00492DD0">
      <w:pPr>
        <w:pStyle w:val="Body"/>
        <w:widowControl w:val="0"/>
        <w:spacing w:line="480" w:lineRule="auto"/>
        <w:ind w:firstLine="720"/>
        <w:jc w:val="both"/>
        <w:rPr>
          <w:sz w:val="28"/>
          <w:szCs w:val="28"/>
        </w:rPr>
      </w:pPr>
      <w:r>
        <w:rPr>
          <w:sz w:val="28"/>
          <w:szCs w:val="28"/>
        </w:rPr>
        <w:t>Petitioner’s argument that only traditional regulatory functions should be funded by mandated dues disregards the mission set forth in Rule 32. An integrated bar is structured to fulfill this mission in a way that cannot be accomplished by the bifurcated system proposed by Petitioner. The important interplay between the services the State Bar provides as an integrated bar and protection of the public was set forth in the Report as follows:</w:t>
      </w:r>
    </w:p>
    <w:p w:rsidR="00492DD0" w:rsidRDefault="00492DD0" w:rsidP="00492DD0">
      <w:pPr>
        <w:pStyle w:val="Body"/>
        <w:widowControl w:val="0"/>
        <w:spacing w:line="240" w:lineRule="auto"/>
        <w:ind w:left="720" w:right="720" w:firstLine="0"/>
        <w:jc w:val="both"/>
        <w:rPr>
          <w:sz w:val="28"/>
          <w:szCs w:val="28"/>
        </w:rPr>
      </w:pPr>
      <w:r>
        <w:rPr>
          <w:sz w:val="28"/>
          <w:szCs w:val="28"/>
        </w:rPr>
        <w:t xml:space="preserve">An integrated bar benefits not only the Court and the bar, but the public as well.  The Court has adopted ethical rules for the protection of the public, and the bar’s regulatory function assists the Court in enforcing those rules. But what is equally important is that the bar works proactively to assure that its attorney members comply with the rules. The bar educates it [sic] members on professionalism and ethics and provides an ethics hotline so that attorneys may receive advice on specific ethics questions. It assists attorneys with trust account regulations and law office management. It promotes the competence of its members by establishing sections in specific areas of practice and by educating members in substantive matters of law. The bar is not required to provide these services to fulfill its regulatory function, yet these services promote attorney competence, and they therefore play an important role in consumer protection and serving public interest. </w:t>
      </w:r>
    </w:p>
    <w:p w:rsidR="00492DD0" w:rsidRDefault="00492DD0" w:rsidP="00492DD0">
      <w:pPr>
        <w:pStyle w:val="Body"/>
        <w:widowControl w:val="0"/>
        <w:spacing w:line="360" w:lineRule="auto"/>
        <w:ind w:firstLine="720"/>
        <w:jc w:val="both"/>
        <w:rPr>
          <w:sz w:val="28"/>
          <w:szCs w:val="28"/>
        </w:rPr>
      </w:pPr>
    </w:p>
    <w:p w:rsidR="00492DD0" w:rsidRDefault="00492DD0" w:rsidP="00492DD0">
      <w:pPr>
        <w:pStyle w:val="Body"/>
        <w:widowControl w:val="0"/>
        <w:spacing w:line="480" w:lineRule="auto"/>
        <w:ind w:firstLine="720"/>
        <w:jc w:val="both"/>
        <w:rPr>
          <w:sz w:val="28"/>
          <w:szCs w:val="28"/>
        </w:rPr>
      </w:pPr>
      <w:r>
        <w:rPr>
          <w:sz w:val="28"/>
          <w:szCs w:val="28"/>
        </w:rPr>
        <w:t>Report at 7. Pages 4-9 of the Report, analyzing the organization of the State Bar as an integrated bar, are attached as Appendix A.</w:t>
      </w:r>
    </w:p>
    <w:p w:rsidR="00492DD0" w:rsidRDefault="00492DD0" w:rsidP="00492DD0">
      <w:pPr>
        <w:pStyle w:val="Body"/>
        <w:widowControl w:val="0"/>
        <w:spacing w:line="480" w:lineRule="auto"/>
        <w:ind w:firstLine="720"/>
        <w:jc w:val="both"/>
        <w:rPr>
          <w:sz w:val="28"/>
          <w:szCs w:val="28"/>
        </w:rPr>
      </w:pPr>
      <w:r>
        <w:rPr>
          <w:sz w:val="28"/>
          <w:szCs w:val="28"/>
        </w:rPr>
        <w:t xml:space="preserve">All attorneys bear the responsibility to protect the public. The integrated bar assures that all attorneys share the costs equally in furtherance of this objective. As such, the Task Force recommended that the bar remain integrated. Report at 9. </w:t>
      </w:r>
    </w:p>
    <w:p w:rsidR="00492DD0" w:rsidRDefault="00492DD0" w:rsidP="00492DD0">
      <w:pPr>
        <w:pStyle w:val="Body"/>
        <w:widowControl w:val="0"/>
        <w:numPr>
          <w:ilvl w:val="0"/>
          <w:numId w:val="21"/>
        </w:numPr>
        <w:spacing w:line="240" w:lineRule="auto"/>
        <w:jc w:val="both"/>
        <w:rPr>
          <w:b/>
          <w:sz w:val="28"/>
          <w:szCs w:val="28"/>
        </w:rPr>
      </w:pPr>
      <w:r>
        <w:rPr>
          <w:b/>
          <w:sz w:val="28"/>
          <w:szCs w:val="28"/>
        </w:rPr>
        <w:t xml:space="preserve">The Task Force analyzed and rebutted the comparison of the State Bar to a union or labor organization. </w:t>
      </w:r>
    </w:p>
    <w:p w:rsidR="00492DD0" w:rsidRPr="00894827" w:rsidRDefault="00492DD0" w:rsidP="00492DD0">
      <w:pPr>
        <w:pStyle w:val="Body"/>
        <w:widowControl w:val="0"/>
        <w:spacing w:line="240" w:lineRule="auto"/>
        <w:ind w:left="1800" w:firstLine="0"/>
        <w:jc w:val="both"/>
        <w:rPr>
          <w:b/>
          <w:sz w:val="28"/>
          <w:szCs w:val="28"/>
        </w:rPr>
      </w:pPr>
    </w:p>
    <w:p w:rsidR="00492DD0" w:rsidRDefault="00492DD0" w:rsidP="00492DD0">
      <w:pPr>
        <w:pStyle w:val="Body"/>
        <w:widowControl w:val="0"/>
        <w:spacing w:line="480" w:lineRule="auto"/>
        <w:ind w:firstLine="720"/>
        <w:jc w:val="both"/>
        <w:rPr>
          <w:sz w:val="28"/>
          <w:szCs w:val="28"/>
        </w:rPr>
      </w:pPr>
      <w:r>
        <w:rPr>
          <w:sz w:val="28"/>
          <w:szCs w:val="28"/>
        </w:rPr>
        <w:t xml:space="preserve">The Task Force also addressed arguments which liken the State Bar to a union or labor organization, such as those set forth by Petitioner in the Petition. As delineated by the Task Force, the State Bar is </w:t>
      </w:r>
      <w:r w:rsidRPr="00504DA4">
        <w:rPr>
          <w:i/>
          <w:sz w:val="28"/>
          <w:szCs w:val="28"/>
        </w:rPr>
        <w:t>sui generis</w:t>
      </w:r>
      <w:r>
        <w:rPr>
          <w:sz w:val="28"/>
          <w:szCs w:val="28"/>
        </w:rPr>
        <w:t xml:space="preserve"> and serves a different purpose than a union or labor organization – it serves the public by upholding and enforcing members’ ethical and professional obligations, and in turn, advancing our justice system. </w:t>
      </w:r>
    </w:p>
    <w:p w:rsidR="00492DD0" w:rsidRDefault="00492DD0" w:rsidP="00492DD0">
      <w:pPr>
        <w:pStyle w:val="Body"/>
        <w:widowControl w:val="0"/>
        <w:spacing w:line="480" w:lineRule="auto"/>
        <w:ind w:firstLine="720"/>
        <w:jc w:val="both"/>
        <w:rPr>
          <w:sz w:val="28"/>
          <w:szCs w:val="28"/>
        </w:rPr>
      </w:pPr>
      <w:r>
        <w:rPr>
          <w:sz w:val="28"/>
          <w:szCs w:val="28"/>
        </w:rPr>
        <w:t xml:space="preserve">The State Bar is not like a labor organization that exists primarily to bargain with employers for the benefit of the organization’s members; the State Bar does not exist to speak in a unified voice on behalf of our membership. Petitioner’s argument that the State Bar “does not and cannot reasonably be expected to speak for all lawyers on all matters” (Pet. at 4) misconstrues the very mission set forth by this Court in Rule 32, which is to protect the public with respect to the provision of legal services and access to justice. Rule 32(a)(2). </w:t>
      </w:r>
    </w:p>
    <w:p w:rsidR="00492DD0" w:rsidRDefault="00492DD0" w:rsidP="00492DD0">
      <w:pPr>
        <w:pStyle w:val="Body"/>
        <w:widowControl w:val="0"/>
        <w:spacing w:line="480" w:lineRule="auto"/>
        <w:ind w:firstLine="720"/>
        <w:jc w:val="both"/>
        <w:rPr>
          <w:sz w:val="28"/>
          <w:szCs w:val="28"/>
        </w:rPr>
      </w:pPr>
      <w:r>
        <w:rPr>
          <w:sz w:val="28"/>
          <w:szCs w:val="28"/>
        </w:rPr>
        <w:t xml:space="preserve">The State Bar is empowered by this Court to organize and promote activities that fulfill the responsibilities of the legal profession; to promote access to justice; to aid in the administration of justice; to assist in the regulation and discipline of attorneys; to conduct educational programs; and to provide forums for the discussion of subjects pertaining to the practice of law. </w:t>
      </w:r>
      <w:r>
        <w:rPr>
          <w:i/>
          <w:sz w:val="28"/>
          <w:szCs w:val="28"/>
        </w:rPr>
        <w:t>Id</w:t>
      </w:r>
      <w:r>
        <w:rPr>
          <w:sz w:val="28"/>
          <w:szCs w:val="28"/>
        </w:rPr>
        <w:t>. The charges from the Court to the State Bar, as spelled out in Rule 32, do not require the State Bar to heed the political or ideological dispositions of our members or to speak as a voice for our members.  Instead, the State Bar’s functions are performed under the guiding centerpiece of protection of the public, in conformity with Rule 32.</w:t>
      </w:r>
    </w:p>
    <w:p w:rsidR="00492DD0" w:rsidRDefault="00492DD0" w:rsidP="00492DD0">
      <w:pPr>
        <w:pStyle w:val="Body"/>
        <w:widowControl w:val="0"/>
        <w:spacing w:line="480" w:lineRule="auto"/>
        <w:ind w:firstLine="720"/>
        <w:jc w:val="both"/>
        <w:rPr>
          <w:sz w:val="28"/>
          <w:szCs w:val="28"/>
        </w:rPr>
      </w:pPr>
      <w:r>
        <w:rPr>
          <w:sz w:val="28"/>
          <w:szCs w:val="28"/>
        </w:rPr>
        <w:t xml:space="preserve"> </w:t>
      </w:r>
    </w:p>
    <w:p w:rsidR="00492DD0" w:rsidRDefault="00492DD0" w:rsidP="00492DD0">
      <w:pPr>
        <w:pStyle w:val="Body"/>
        <w:widowControl w:val="0"/>
        <w:numPr>
          <w:ilvl w:val="0"/>
          <w:numId w:val="21"/>
        </w:numPr>
        <w:spacing w:line="240" w:lineRule="auto"/>
        <w:jc w:val="both"/>
        <w:rPr>
          <w:b/>
          <w:sz w:val="28"/>
          <w:szCs w:val="28"/>
        </w:rPr>
      </w:pPr>
      <w:r>
        <w:rPr>
          <w:b/>
          <w:sz w:val="28"/>
          <w:szCs w:val="28"/>
        </w:rPr>
        <w:t xml:space="preserve">Opponents of the integrated bar were given notice and a full opportunity to be heard; their opinions were considered by the Task Force and this Court.  </w:t>
      </w:r>
    </w:p>
    <w:p w:rsidR="00492DD0" w:rsidRPr="0000245A" w:rsidRDefault="00492DD0" w:rsidP="00492DD0">
      <w:pPr>
        <w:pStyle w:val="Body"/>
        <w:widowControl w:val="0"/>
        <w:spacing w:line="240" w:lineRule="auto"/>
        <w:ind w:left="1800" w:firstLine="0"/>
        <w:jc w:val="both"/>
        <w:rPr>
          <w:b/>
          <w:sz w:val="28"/>
          <w:szCs w:val="28"/>
        </w:rPr>
      </w:pPr>
    </w:p>
    <w:p w:rsidR="00492DD0" w:rsidRDefault="00492DD0" w:rsidP="00492DD0">
      <w:pPr>
        <w:pStyle w:val="Body"/>
        <w:widowControl w:val="0"/>
        <w:spacing w:line="480" w:lineRule="auto"/>
        <w:ind w:firstLine="720"/>
        <w:jc w:val="both"/>
        <w:rPr>
          <w:sz w:val="28"/>
          <w:szCs w:val="28"/>
        </w:rPr>
      </w:pPr>
      <w:r>
        <w:rPr>
          <w:sz w:val="28"/>
          <w:szCs w:val="28"/>
        </w:rPr>
        <w:t xml:space="preserve">The initial draft of the Report and the Final Report were posted on the Arizona Judicial Branch website, along with a video summarizing the Task Force’s work. The Court also established an Outlook mailbox for comments. The webpage can still be found at: </w:t>
      </w:r>
      <w:hyperlink r:id="rId8" w:history="1">
        <w:r w:rsidRPr="00B3764E">
          <w:rPr>
            <w:rStyle w:val="Hyperlink"/>
            <w:sz w:val="28"/>
            <w:szCs w:val="28"/>
          </w:rPr>
          <w:t>https://www.azcourts.gov/cscommittees/Task-Force-to-Review-the-State-Bars-Role-and-Governance</w:t>
        </w:r>
      </w:hyperlink>
      <w:r>
        <w:rPr>
          <w:sz w:val="28"/>
          <w:szCs w:val="28"/>
        </w:rPr>
        <w:t xml:space="preserve">. Following the Report, the Task Force submitted its Petition to amend Rule 32 on January 8, 2016, proposing substantial amendments to Rule 32, yet leaving undisturbed the State Bar’s composition as an integrated bar, consistent with the recommendation of the Task Force. </w:t>
      </w:r>
    </w:p>
    <w:p w:rsidR="00492DD0" w:rsidRDefault="00492DD0" w:rsidP="00492DD0">
      <w:pPr>
        <w:pStyle w:val="Body"/>
        <w:widowControl w:val="0"/>
        <w:spacing w:line="480" w:lineRule="auto"/>
        <w:ind w:firstLine="720"/>
        <w:jc w:val="both"/>
        <w:rPr>
          <w:sz w:val="28"/>
          <w:szCs w:val="28"/>
        </w:rPr>
      </w:pPr>
      <w:r>
        <w:rPr>
          <w:sz w:val="28"/>
          <w:szCs w:val="28"/>
        </w:rPr>
        <w:t>Following the Petition, this Court set an April 1, 2016 initial comment deadline; a May 13, 2016 amended petition deadline; and a June 10, 2016 second round of comments deadline. During both the initial comment period and the second comment period, comments were filed asserting opposition to the State Bar as an integrated bar.</w:t>
      </w:r>
      <w:r>
        <w:rPr>
          <w:rStyle w:val="FootnoteReference"/>
          <w:sz w:val="28"/>
          <w:szCs w:val="28"/>
        </w:rPr>
        <w:footnoteReference w:id="1"/>
      </w:r>
      <w:r>
        <w:rPr>
          <w:sz w:val="28"/>
          <w:szCs w:val="28"/>
        </w:rPr>
        <w:t xml:space="preserve"> Those in opposition to an integrated bar argued their positions to this Court </w:t>
      </w:r>
      <w:r w:rsidRPr="000962E0">
        <w:rPr>
          <w:i/>
          <w:sz w:val="28"/>
          <w:szCs w:val="28"/>
        </w:rPr>
        <w:t>just last year</w:t>
      </w:r>
      <w:r>
        <w:rPr>
          <w:sz w:val="28"/>
          <w:szCs w:val="28"/>
        </w:rPr>
        <w:t xml:space="preserve">. This Court had the benefit of receiving the Task Force’s thoughtful recommendations, and those by commenters seeking to amend Rule 32 to eradicate the integrated bar. </w:t>
      </w:r>
    </w:p>
    <w:p w:rsidR="00492DD0" w:rsidRPr="002C37A9" w:rsidRDefault="00492DD0" w:rsidP="00492DD0">
      <w:pPr>
        <w:pStyle w:val="Body"/>
        <w:widowControl w:val="0"/>
        <w:spacing w:line="480" w:lineRule="auto"/>
        <w:ind w:firstLine="720"/>
        <w:jc w:val="both"/>
        <w:rPr>
          <w:sz w:val="28"/>
          <w:szCs w:val="28"/>
        </w:rPr>
      </w:pPr>
      <w:r>
        <w:rPr>
          <w:sz w:val="28"/>
          <w:szCs w:val="28"/>
        </w:rPr>
        <w:t xml:space="preserve">The State Bar is confident that this Court gave contemplative consideration to all positions presented to the Court in the process of drastically amending Rule 32, yet leaving the composition of the State Bar as an integrated bar undisturbed. The Petition revisits an issue that the Court fully vetted over the last two years with the assistance of a well-rounded and dynamic Task Force, and the comments that followed. </w:t>
      </w:r>
    </w:p>
    <w:p w:rsidR="00492DD0" w:rsidRDefault="00492DD0" w:rsidP="00492DD0">
      <w:pPr>
        <w:pStyle w:val="Body"/>
        <w:widowControl w:val="0"/>
        <w:numPr>
          <w:ilvl w:val="0"/>
          <w:numId w:val="20"/>
        </w:numPr>
        <w:spacing w:line="240" w:lineRule="auto"/>
        <w:jc w:val="both"/>
        <w:rPr>
          <w:b/>
          <w:sz w:val="28"/>
          <w:szCs w:val="28"/>
        </w:rPr>
      </w:pPr>
      <w:r>
        <w:rPr>
          <w:b/>
          <w:sz w:val="28"/>
          <w:szCs w:val="28"/>
        </w:rPr>
        <w:t>Recently Amended Rule 32</w:t>
      </w:r>
    </w:p>
    <w:p w:rsidR="00492DD0" w:rsidRDefault="00492DD0" w:rsidP="00492DD0">
      <w:pPr>
        <w:pStyle w:val="Body"/>
        <w:widowControl w:val="0"/>
        <w:spacing w:line="240" w:lineRule="auto"/>
        <w:ind w:left="1440" w:firstLine="0"/>
        <w:jc w:val="both"/>
        <w:rPr>
          <w:b/>
          <w:sz w:val="28"/>
          <w:szCs w:val="28"/>
        </w:rPr>
      </w:pPr>
    </w:p>
    <w:p w:rsidR="00492DD0" w:rsidRDefault="00492DD0" w:rsidP="00492DD0">
      <w:pPr>
        <w:pStyle w:val="Body"/>
        <w:widowControl w:val="0"/>
        <w:numPr>
          <w:ilvl w:val="0"/>
          <w:numId w:val="22"/>
        </w:numPr>
        <w:spacing w:line="240" w:lineRule="auto"/>
        <w:jc w:val="both"/>
        <w:rPr>
          <w:b/>
          <w:sz w:val="28"/>
          <w:szCs w:val="28"/>
        </w:rPr>
      </w:pPr>
      <w:r>
        <w:rPr>
          <w:b/>
          <w:sz w:val="28"/>
          <w:szCs w:val="28"/>
        </w:rPr>
        <w:t xml:space="preserve">A bifurcated bar will not support the amended mission and empowerments of the State Bar, as set forth in revised Rule 32. </w:t>
      </w:r>
    </w:p>
    <w:p w:rsidR="00492DD0" w:rsidRDefault="00492DD0" w:rsidP="00492DD0">
      <w:pPr>
        <w:pStyle w:val="Body"/>
        <w:widowControl w:val="0"/>
        <w:spacing w:line="240" w:lineRule="auto"/>
        <w:ind w:left="1440" w:firstLine="0"/>
        <w:jc w:val="both"/>
        <w:rPr>
          <w:b/>
          <w:sz w:val="28"/>
          <w:szCs w:val="28"/>
        </w:rPr>
      </w:pPr>
    </w:p>
    <w:p w:rsidR="00492DD0" w:rsidRDefault="00492DD0" w:rsidP="00492DD0">
      <w:pPr>
        <w:pStyle w:val="Body"/>
        <w:widowControl w:val="0"/>
        <w:spacing w:line="480" w:lineRule="auto"/>
        <w:ind w:firstLine="0"/>
        <w:jc w:val="both"/>
        <w:rPr>
          <w:sz w:val="28"/>
          <w:szCs w:val="28"/>
        </w:rPr>
      </w:pPr>
      <w:r>
        <w:rPr>
          <w:sz w:val="28"/>
          <w:szCs w:val="28"/>
        </w:rPr>
        <w:tab/>
        <w:t>Effective January 1, 2017, amended Rule 32 set forth a revised State Bar mission; the State Bar “</w:t>
      </w:r>
      <w:r w:rsidRPr="00F4265D">
        <w:rPr>
          <w:i/>
          <w:sz w:val="28"/>
          <w:szCs w:val="28"/>
        </w:rPr>
        <w:t>exists to serve and protect the public with respect to the provision of legal services and access to justice.</w:t>
      </w:r>
      <w:r>
        <w:rPr>
          <w:sz w:val="28"/>
          <w:szCs w:val="28"/>
        </w:rPr>
        <w:t xml:space="preserve">” Rule 32(a)(2) (emphasis added). The Task Force’s Report artfully articulates that all attorneys bear the responsibility to protect the public. </w:t>
      </w:r>
    </w:p>
    <w:p w:rsidR="00492DD0" w:rsidRDefault="00492DD0" w:rsidP="00492DD0">
      <w:pPr>
        <w:pStyle w:val="Body"/>
        <w:widowControl w:val="0"/>
        <w:spacing w:line="480" w:lineRule="auto"/>
        <w:ind w:firstLine="720"/>
        <w:jc w:val="both"/>
        <w:rPr>
          <w:sz w:val="28"/>
          <w:szCs w:val="28"/>
        </w:rPr>
      </w:pPr>
      <w:r>
        <w:rPr>
          <w:sz w:val="28"/>
          <w:szCs w:val="28"/>
        </w:rPr>
        <w:t xml:space="preserve">Programs like the conservatorship program, member assistance and law office management programs, and educational publications and programs all exist to help State Bar members, and in turn, protect the public. Every attorney shares the cost of that responsibility. Eliminating the integrated bar will eviscerate funding for these programs that protect the public. The integrated bar assures that every lawyer – not just a percentage of lawyers – pays a fair share to support the fundamentals of serving and protecting the public. </w:t>
      </w:r>
      <w:r w:rsidRPr="00F63578">
        <w:rPr>
          <w:i/>
          <w:sz w:val="28"/>
          <w:szCs w:val="28"/>
        </w:rPr>
        <w:t>See</w:t>
      </w:r>
      <w:r>
        <w:rPr>
          <w:sz w:val="28"/>
          <w:szCs w:val="28"/>
        </w:rPr>
        <w:t xml:space="preserve"> Report at 9. </w:t>
      </w:r>
    </w:p>
    <w:p w:rsidR="00492DD0" w:rsidRDefault="00492DD0" w:rsidP="00492DD0">
      <w:pPr>
        <w:pStyle w:val="Body"/>
        <w:widowControl w:val="0"/>
        <w:numPr>
          <w:ilvl w:val="0"/>
          <w:numId w:val="22"/>
        </w:numPr>
        <w:spacing w:line="240" w:lineRule="auto"/>
        <w:jc w:val="both"/>
        <w:rPr>
          <w:b/>
          <w:sz w:val="28"/>
          <w:szCs w:val="28"/>
        </w:rPr>
      </w:pPr>
      <w:r>
        <w:rPr>
          <w:b/>
          <w:sz w:val="28"/>
          <w:szCs w:val="28"/>
        </w:rPr>
        <w:t xml:space="preserve">The Nebraska State Bar Association’s deunification resulted in an immediate slash to pro bono programs and other programs that serve the court and the public.  </w:t>
      </w:r>
    </w:p>
    <w:p w:rsidR="00492DD0" w:rsidRDefault="00492DD0" w:rsidP="00492DD0">
      <w:pPr>
        <w:pStyle w:val="Body"/>
        <w:widowControl w:val="0"/>
        <w:spacing w:line="240" w:lineRule="auto"/>
        <w:jc w:val="both"/>
        <w:rPr>
          <w:b/>
          <w:sz w:val="28"/>
          <w:szCs w:val="28"/>
        </w:rPr>
      </w:pPr>
    </w:p>
    <w:p w:rsidR="00492DD0" w:rsidRDefault="00492DD0" w:rsidP="00492DD0">
      <w:pPr>
        <w:pStyle w:val="Body"/>
        <w:widowControl w:val="0"/>
        <w:spacing w:line="480" w:lineRule="auto"/>
        <w:ind w:firstLine="720"/>
        <w:jc w:val="both"/>
        <w:rPr>
          <w:sz w:val="28"/>
          <w:szCs w:val="28"/>
        </w:rPr>
      </w:pPr>
      <w:r>
        <w:rPr>
          <w:sz w:val="28"/>
          <w:szCs w:val="28"/>
        </w:rPr>
        <w:t>The hybrid system proposed by Petitioner is based on Nebraska’s recently deunified State Bar Association. Pet. at 7. Nebraska’s State Bar was deunified in 2013. Contrary to Petitioner’s assertion that this model can be achieved without “undue adverse effect” on the State Bar, the very organization that Petitioner seeks to replicate suffered immediate undue adverse effect following deunification. As explained by Liz Neeley, Executive Director of the Nebraska State Bar Association, “the impact on the bar has been considerable  . . . much of the reduction was in programs such as pro bono efforts and the bar’s minority justice commission.”</w:t>
      </w:r>
      <w:r>
        <w:rPr>
          <w:rStyle w:val="FootnoteReference"/>
          <w:sz w:val="28"/>
          <w:szCs w:val="28"/>
        </w:rPr>
        <w:footnoteReference w:id="2"/>
      </w:r>
      <w:r>
        <w:rPr>
          <w:sz w:val="28"/>
          <w:szCs w:val="28"/>
        </w:rPr>
        <w:t xml:space="preserve">  The Nebraska Bar was hit with a 25 percent reduction to its budget in the first year of implementation of this hybrid system.</w:t>
      </w:r>
      <w:r w:rsidRPr="00BD165E">
        <w:rPr>
          <w:rFonts w:ascii="Arial" w:hAnsi="Arial" w:cs="Arial"/>
          <w:color w:val="333333"/>
          <w:sz w:val="18"/>
          <w:szCs w:val="18"/>
        </w:rPr>
        <w:t xml:space="preserve"> </w:t>
      </w:r>
      <w:r w:rsidRPr="00BD165E">
        <w:rPr>
          <w:sz w:val="28"/>
          <w:szCs w:val="28"/>
        </w:rPr>
        <w:t>“So the programs that we were forced to reduce or cut because of our new budget reality were those that</w:t>
      </w:r>
      <w:r>
        <w:rPr>
          <w:sz w:val="28"/>
          <w:szCs w:val="28"/>
        </w:rPr>
        <w:t xml:space="preserve"> serve the court and the public,</w:t>
      </w:r>
      <w:r w:rsidRPr="00BD165E">
        <w:rPr>
          <w:sz w:val="28"/>
          <w:szCs w:val="28"/>
        </w:rPr>
        <w:t>”</w:t>
      </w:r>
      <w:r>
        <w:rPr>
          <w:sz w:val="28"/>
          <w:szCs w:val="28"/>
        </w:rPr>
        <w:t xml:space="preserve"> explained Neeley.</w:t>
      </w:r>
      <w:r>
        <w:rPr>
          <w:rStyle w:val="FootnoteReference"/>
          <w:sz w:val="28"/>
          <w:szCs w:val="28"/>
        </w:rPr>
        <w:footnoteReference w:id="3"/>
      </w:r>
      <w:r>
        <w:rPr>
          <w:sz w:val="28"/>
          <w:szCs w:val="28"/>
        </w:rPr>
        <w:t xml:space="preserve"> It is reasonable to surmise that over the last two years, the Nebraska Bar has made further cuts to programs that directly benefit the court and the public. </w:t>
      </w:r>
    </w:p>
    <w:p w:rsidR="00492DD0" w:rsidRPr="00FA1EB5" w:rsidRDefault="00492DD0" w:rsidP="00492DD0">
      <w:pPr>
        <w:pStyle w:val="Body"/>
        <w:widowControl w:val="0"/>
        <w:spacing w:line="480" w:lineRule="auto"/>
        <w:ind w:firstLine="720"/>
        <w:jc w:val="both"/>
        <w:rPr>
          <w:sz w:val="28"/>
          <w:szCs w:val="28"/>
        </w:rPr>
      </w:pPr>
      <w:r>
        <w:rPr>
          <w:sz w:val="28"/>
          <w:szCs w:val="28"/>
        </w:rPr>
        <w:t xml:space="preserve">Modeling our State Bar after Nebraska’s hybrid-system warrants a complete evaluation of the benefits and consequences associated with such a system. Shortly after deunification, Nebraska was forced to cut programs that protect the public and advance access to justice initiatives. Cuts to programs like these undermine the programs that further the State Bar’s mission pursuant to Rule 32. Such realities must be considered in determining what State Bar models best serves the Arizona public, courts, and legal professionals. </w:t>
      </w:r>
    </w:p>
    <w:p w:rsidR="00492DD0" w:rsidRDefault="00492DD0" w:rsidP="00492DD0">
      <w:pPr>
        <w:pStyle w:val="Body"/>
        <w:widowControl w:val="0"/>
        <w:numPr>
          <w:ilvl w:val="0"/>
          <w:numId w:val="22"/>
        </w:numPr>
        <w:spacing w:line="240" w:lineRule="auto"/>
        <w:jc w:val="both"/>
        <w:rPr>
          <w:b/>
          <w:sz w:val="28"/>
          <w:szCs w:val="28"/>
        </w:rPr>
      </w:pPr>
      <w:r>
        <w:rPr>
          <w:b/>
          <w:sz w:val="28"/>
          <w:szCs w:val="28"/>
        </w:rPr>
        <w:t xml:space="preserve">The State Bar carries out its mission and activities in conformity with </w:t>
      </w:r>
      <w:r>
        <w:rPr>
          <w:b/>
          <w:i/>
          <w:sz w:val="28"/>
          <w:szCs w:val="28"/>
        </w:rPr>
        <w:t>Keller</w:t>
      </w:r>
      <w:r>
        <w:rPr>
          <w:b/>
          <w:sz w:val="28"/>
          <w:szCs w:val="28"/>
        </w:rPr>
        <w:t xml:space="preserve">, with a focus on protection of the public. </w:t>
      </w:r>
    </w:p>
    <w:p w:rsidR="00492DD0" w:rsidRPr="008E42E3" w:rsidRDefault="00492DD0" w:rsidP="00492DD0">
      <w:pPr>
        <w:pStyle w:val="Body"/>
        <w:widowControl w:val="0"/>
        <w:spacing w:line="240" w:lineRule="auto"/>
        <w:ind w:left="1800" w:firstLine="0"/>
        <w:jc w:val="both"/>
        <w:rPr>
          <w:b/>
          <w:sz w:val="28"/>
          <w:szCs w:val="28"/>
        </w:rPr>
      </w:pPr>
    </w:p>
    <w:p w:rsidR="00492DD0" w:rsidRDefault="00492DD0" w:rsidP="00492DD0">
      <w:pPr>
        <w:pStyle w:val="Body"/>
        <w:widowControl w:val="0"/>
        <w:spacing w:line="480" w:lineRule="auto"/>
        <w:ind w:firstLine="720"/>
        <w:jc w:val="both"/>
        <w:rPr>
          <w:sz w:val="28"/>
          <w:szCs w:val="28"/>
        </w:rPr>
      </w:pPr>
      <w:r>
        <w:rPr>
          <w:sz w:val="28"/>
          <w:szCs w:val="28"/>
        </w:rPr>
        <w:t>As a mandatory bar, the State Bar follows a “</w:t>
      </w:r>
      <w:r w:rsidRPr="00E36428">
        <w:rPr>
          <w:i/>
          <w:sz w:val="28"/>
          <w:szCs w:val="28"/>
        </w:rPr>
        <w:t>Keller</w:t>
      </w:r>
      <w:r>
        <w:rPr>
          <w:sz w:val="28"/>
          <w:szCs w:val="28"/>
        </w:rPr>
        <w:t>-pure” policy and does not use membership dues to fund activities of a political or ideological nature that are not reasonably related to the State Bar’s core functions. This is now explicitly set forth in amended Rule 32(c)(8).</w:t>
      </w:r>
    </w:p>
    <w:p w:rsidR="00492DD0" w:rsidRDefault="00492DD0" w:rsidP="00492DD0">
      <w:pPr>
        <w:pStyle w:val="Body"/>
        <w:widowControl w:val="0"/>
        <w:spacing w:line="480" w:lineRule="auto"/>
        <w:ind w:firstLine="720"/>
        <w:jc w:val="both"/>
        <w:rPr>
          <w:sz w:val="28"/>
          <w:szCs w:val="28"/>
        </w:rPr>
      </w:pPr>
      <w:r>
        <w:rPr>
          <w:sz w:val="28"/>
          <w:szCs w:val="28"/>
        </w:rPr>
        <w:t xml:space="preserve">However, the State Bar has followed the Supreme Court’s </w:t>
      </w:r>
      <w:r w:rsidRPr="00E36428">
        <w:rPr>
          <w:i/>
          <w:sz w:val="28"/>
          <w:szCs w:val="28"/>
        </w:rPr>
        <w:t>Keller</w:t>
      </w:r>
      <w:r>
        <w:rPr>
          <w:sz w:val="28"/>
          <w:szCs w:val="28"/>
        </w:rPr>
        <w:t xml:space="preserve">-pure mandate long before the incorporation of the explicit reference in Rule 32. The State Bar observes </w:t>
      </w:r>
      <w:r w:rsidRPr="004E2AF9">
        <w:rPr>
          <w:i/>
          <w:sz w:val="28"/>
          <w:szCs w:val="28"/>
        </w:rPr>
        <w:t>Keller</w:t>
      </w:r>
      <w:r>
        <w:rPr>
          <w:sz w:val="28"/>
          <w:szCs w:val="28"/>
        </w:rPr>
        <w:t xml:space="preserve"> by ensuring that </w:t>
      </w:r>
      <w:r w:rsidRPr="004E2AF9">
        <w:rPr>
          <w:sz w:val="28"/>
          <w:szCs w:val="28"/>
        </w:rPr>
        <w:t>mandatory</w:t>
      </w:r>
      <w:r>
        <w:rPr>
          <w:sz w:val="28"/>
          <w:szCs w:val="28"/>
        </w:rPr>
        <w:t xml:space="preserve"> bar dues are expended for</w:t>
      </w:r>
      <w:r w:rsidRPr="004E2AF9">
        <w:rPr>
          <w:sz w:val="28"/>
          <w:szCs w:val="28"/>
        </w:rPr>
        <w:t xml:space="preserve"> activities </w:t>
      </w:r>
      <w:r>
        <w:rPr>
          <w:sz w:val="28"/>
          <w:szCs w:val="28"/>
        </w:rPr>
        <w:t xml:space="preserve">that </w:t>
      </w:r>
      <w:r w:rsidRPr="004E2AF9">
        <w:rPr>
          <w:sz w:val="28"/>
          <w:szCs w:val="28"/>
        </w:rPr>
        <w:t xml:space="preserve">are germane to the goals of regulating the legal profession and improving the quality of legal services. </w:t>
      </w:r>
      <w:r w:rsidRPr="00E36428">
        <w:rPr>
          <w:i/>
          <w:sz w:val="28"/>
          <w:szCs w:val="28"/>
        </w:rPr>
        <w:t>Keller v. State Bar of California</w:t>
      </w:r>
      <w:r w:rsidRPr="004E2AF9">
        <w:rPr>
          <w:sz w:val="28"/>
          <w:szCs w:val="28"/>
        </w:rPr>
        <w:t>, 496 U.S. 1 (1990).</w:t>
      </w:r>
      <w:r>
        <w:rPr>
          <w:sz w:val="28"/>
          <w:szCs w:val="28"/>
        </w:rPr>
        <w:t xml:space="preserve"> Even though the State Bar uses mandatory dues only for </w:t>
      </w:r>
      <w:r w:rsidRPr="002F2369">
        <w:rPr>
          <w:i/>
          <w:sz w:val="28"/>
          <w:szCs w:val="28"/>
        </w:rPr>
        <w:t>Keller</w:t>
      </w:r>
      <w:r>
        <w:rPr>
          <w:sz w:val="28"/>
          <w:szCs w:val="28"/>
        </w:rPr>
        <w:t xml:space="preserve">-pure lobbying activities, under amended Rule 32 a member may still object to and receive a refund of the annual fee allocable to those activities. </w:t>
      </w:r>
      <w:r w:rsidRPr="002F2369">
        <w:rPr>
          <w:i/>
          <w:sz w:val="28"/>
          <w:szCs w:val="28"/>
        </w:rPr>
        <w:t>See</w:t>
      </w:r>
      <w:r>
        <w:rPr>
          <w:sz w:val="28"/>
          <w:szCs w:val="28"/>
        </w:rPr>
        <w:t xml:space="preserve"> Rule 32(c)(8). Petitioner’s citation to case law regarding union loans from union members to compare to Rule 32’s opt-out provision is misplaced, since the State Bar is not a union and does not function as a union.  </w:t>
      </w:r>
    </w:p>
    <w:p w:rsidR="00492DD0" w:rsidRDefault="00492DD0" w:rsidP="00492DD0">
      <w:pPr>
        <w:pStyle w:val="Body"/>
        <w:widowControl w:val="0"/>
        <w:spacing w:line="480" w:lineRule="auto"/>
        <w:ind w:firstLine="720"/>
        <w:jc w:val="both"/>
        <w:rPr>
          <w:sz w:val="28"/>
          <w:szCs w:val="28"/>
        </w:rPr>
      </w:pPr>
      <w:r>
        <w:rPr>
          <w:sz w:val="28"/>
          <w:szCs w:val="28"/>
        </w:rPr>
        <w:t xml:space="preserve">The integrated bar allows the State Bar to carry out the mission and empowerments of Rule 32 in a nonpartisan manner. Because the State Bar must comply with </w:t>
      </w:r>
      <w:r>
        <w:rPr>
          <w:i/>
          <w:sz w:val="28"/>
          <w:szCs w:val="28"/>
        </w:rPr>
        <w:t>Keller</w:t>
      </w:r>
      <w:r>
        <w:rPr>
          <w:sz w:val="28"/>
          <w:szCs w:val="28"/>
        </w:rPr>
        <w:t xml:space="preserve">, the State Bar must focus its programs and activities on protection of the public – setting aside political or ideological deliberations that distract from our core endeavors to advance our members’ competency, ethics and professionalism, and promote access to justice. </w:t>
      </w:r>
    </w:p>
    <w:p w:rsidR="00492DD0" w:rsidRDefault="00492DD0" w:rsidP="00492DD0">
      <w:pPr>
        <w:pStyle w:val="Body"/>
        <w:widowControl w:val="0"/>
        <w:spacing w:line="480" w:lineRule="auto"/>
        <w:ind w:firstLine="720"/>
        <w:jc w:val="both"/>
        <w:rPr>
          <w:sz w:val="28"/>
          <w:szCs w:val="28"/>
        </w:rPr>
      </w:pPr>
      <w:r>
        <w:rPr>
          <w:sz w:val="28"/>
          <w:szCs w:val="28"/>
        </w:rPr>
        <w:t>Placing these programs and services under the umbrella of a voluntary bar not only dilutes the efficacy of these well established and constructive programs, but also undermines the Bar’s mission statement. Protection of the public should not depend on how “attractive” (e.g., “low”) membership dues are.</w:t>
      </w:r>
      <w:r w:rsidRPr="00053C1A">
        <w:rPr>
          <w:sz w:val="28"/>
          <w:szCs w:val="28"/>
        </w:rPr>
        <w:t xml:space="preserve"> </w:t>
      </w:r>
      <w:r>
        <w:rPr>
          <w:sz w:val="28"/>
          <w:szCs w:val="28"/>
        </w:rPr>
        <w:t>An integrated bar benefits from economies of scale to provide quality services to members and the public in the most economically efficient manner. Placing some of the most valuable community-oriented programs under a “voluntary” budget will diminish funds for them, and detract from the value and purpose of the legal profession as a whole.</w:t>
      </w:r>
    </w:p>
    <w:p w:rsidR="00492DD0" w:rsidRPr="00D85028" w:rsidRDefault="00492DD0" w:rsidP="00492DD0">
      <w:pPr>
        <w:pStyle w:val="Body"/>
        <w:widowControl w:val="0"/>
        <w:spacing w:line="480" w:lineRule="auto"/>
        <w:ind w:firstLine="720"/>
        <w:jc w:val="both"/>
        <w:rPr>
          <w:sz w:val="28"/>
          <w:szCs w:val="28"/>
        </w:rPr>
      </w:pPr>
      <w:r>
        <w:rPr>
          <w:sz w:val="28"/>
          <w:szCs w:val="28"/>
        </w:rPr>
        <w:t xml:space="preserve">A voluntary bar may also position the State Bar outside the obligations of </w:t>
      </w:r>
      <w:r>
        <w:rPr>
          <w:i/>
          <w:sz w:val="28"/>
          <w:szCs w:val="28"/>
        </w:rPr>
        <w:t>Keller</w:t>
      </w:r>
      <w:r>
        <w:rPr>
          <w:sz w:val="28"/>
          <w:szCs w:val="28"/>
        </w:rPr>
        <w:t>. Like other voluntary bars that must heed the political and ideological inclinations of their membership to retain members, the “voluntary” portion of the Arizona State Bar would have to shift focus from protection of the public to membership retention.  Making services available for those who need it the most and are the least able to afford it is a burden all members of the profession should bear, or these services will become more and more unavailable.</w:t>
      </w:r>
    </w:p>
    <w:p w:rsidR="00492DD0" w:rsidRDefault="00492DD0" w:rsidP="00492DD0">
      <w:pPr>
        <w:pStyle w:val="Body"/>
        <w:widowControl w:val="0"/>
        <w:numPr>
          <w:ilvl w:val="0"/>
          <w:numId w:val="22"/>
        </w:numPr>
        <w:spacing w:line="240" w:lineRule="auto"/>
        <w:jc w:val="both"/>
        <w:rPr>
          <w:b/>
          <w:sz w:val="28"/>
          <w:szCs w:val="28"/>
        </w:rPr>
      </w:pPr>
      <w:r>
        <w:rPr>
          <w:b/>
          <w:sz w:val="28"/>
          <w:szCs w:val="28"/>
        </w:rPr>
        <w:t>The State Bar and the Arizona Supreme Court are substantially into the process of implementing the changes to Rule 32 approved after diligent deliberation.</w:t>
      </w:r>
    </w:p>
    <w:p w:rsidR="00492DD0" w:rsidRPr="00B75B48" w:rsidRDefault="00492DD0" w:rsidP="00492DD0">
      <w:pPr>
        <w:pStyle w:val="Body"/>
        <w:widowControl w:val="0"/>
        <w:spacing w:line="240" w:lineRule="auto"/>
        <w:ind w:left="1800" w:firstLine="0"/>
        <w:jc w:val="both"/>
        <w:rPr>
          <w:b/>
          <w:sz w:val="28"/>
          <w:szCs w:val="28"/>
        </w:rPr>
      </w:pPr>
    </w:p>
    <w:p w:rsidR="00AB2931" w:rsidRDefault="00492DD0" w:rsidP="00492DD0">
      <w:pPr>
        <w:pStyle w:val="Body"/>
        <w:widowControl w:val="0"/>
        <w:spacing w:line="480" w:lineRule="auto"/>
        <w:ind w:firstLine="0"/>
        <w:jc w:val="both"/>
        <w:rPr>
          <w:sz w:val="28"/>
          <w:szCs w:val="28"/>
        </w:rPr>
      </w:pPr>
      <w:r>
        <w:rPr>
          <w:sz w:val="28"/>
          <w:szCs w:val="28"/>
        </w:rPr>
        <w:tab/>
        <w:t xml:space="preserve"> In addition to a revised State Bar mission, Rule 32 was otherwise substantially revised, the details of which are outside the scope of the Petition and this Comment. However, these amendments require considerable changes to the State Bar’s operations and policies. The State Bar and the Court are working cooperatively to ensure that the State Bar implements the necessary changes to the State Bar governance and operations in a timely manner. Implementation of the changes pursuant to revised Rule 32 are ongoing and continue to be conducted with the reasonable expectation that the newly defined “core” obligations of the State Bar cannot be amply achieved or adequately funded under a bifurcated structure. </w:t>
      </w:r>
    </w:p>
    <w:p w:rsidR="00492DD0" w:rsidRDefault="00492DD0" w:rsidP="00492DD0">
      <w:pPr>
        <w:pStyle w:val="Body"/>
        <w:widowControl w:val="0"/>
        <w:spacing w:line="480" w:lineRule="auto"/>
        <w:ind w:firstLine="0"/>
        <w:jc w:val="both"/>
        <w:rPr>
          <w:sz w:val="28"/>
          <w:szCs w:val="28"/>
        </w:rPr>
      </w:pPr>
      <w:bookmarkStart w:id="2" w:name="_GoBack"/>
      <w:bookmarkEnd w:id="2"/>
      <w:r>
        <w:rPr>
          <w:sz w:val="28"/>
          <w:szCs w:val="28"/>
        </w:rPr>
        <w:t xml:space="preserve"> </w:t>
      </w:r>
    </w:p>
    <w:p w:rsidR="00492DD0" w:rsidRPr="000325E1" w:rsidRDefault="00492DD0" w:rsidP="00492DD0">
      <w:pPr>
        <w:pStyle w:val="Body"/>
        <w:widowControl w:val="0"/>
        <w:spacing w:line="480" w:lineRule="auto"/>
        <w:ind w:firstLine="0"/>
        <w:jc w:val="center"/>
        <w:rPr>
          <w:b/>
          <w:sz w:val="28"/>
          <w:szCs w:val="28"/>
        </w:rPr>
      </w:pPr>
      <w:r w:rsidRPr="006F63FD">
        <w:rPr>
          <w:rStyle w:val="BodyTextChar"/>
          <w:b/>
          <w:sz w:val="28"/>
          <w:szCs w:val="28"/>
        </w:rPr>
        <w:t>CONCLUSIO</w:t>
      </w:r>
      <w:r>
        <w:rPr>
          <w:rStyle w:val="BodyTextChar"/>
          <w:b/>
          <w:sz w:val="28"/>
          <w:szCs w:val="28"/>
        </w:rPr>
        <w:t>N</w:t>
      </w:r>
      <w:r>
        <w:rPr>
          <w:sz w:val="28"/>
          <w:szCs w:val="28"/>
        </w:rPr>
        <w:t xml:space="preserve"> </w:t>
      </w:r>
    </w:p>
    <w:p w:rsidR="00492DD0" w:rsidRPr="006F63FD" w:rsidRDefault="00492DD0" w:rsidP="00492DD0">
      <w:pPr>
        <w:pStyle w:val="Body"/>
        <w:widowControl w:val="0"/>
        <w:tabs>
          <w:tab w:val="left" w:pos="720"/>
        </w:tabs>
        <w:spacing w:line="480" w:lineRule="auto"/>
        <w:ind w:firstLine="0"/>
        <w:jc w:val="both"/>
        <w:rPr>
          <w:spacing w:val="-3"/>
          <w:sz w:val="28"/>
          <w:szCs w:val="28"/>
        </w:rPr>
      </w:pPr>
      <w:r>
        <w:rPr>
          <w:sz w:val="28"/>
          <w:szCs w:val="28"/>
        </w:rPr>
        <w:tab/>
        <w:t xml:space="preserve">The State Bar agrees with Petitioner that moving any part of the regulation of the practice of law to the Legislature is a bad idea. However, the State Bar disagrees with Petitioner’s recommendation in all other respects.  For the reasons stated in this Comment, the State Bar opposes the proposed Rule 32 amendments requested by Petitioner and respectfully requests that the Court deny the Petition. </w:t>
      </w:r>
    </w:p>
    <w:p w:rsidR="00727BC6" w:rsidRPr="006F63FD" w:rsidRDefault="00727BC6" w:rsidP="00727BC6">
      <w:pPr>
        <w:pStyle w:val="Body"/>
        <w:tabs>
          <w:tab w:val="left" w:pos="720"/>
        </w:tabs>
        <w:ind w:firstLine="0"/>
        <w:rPr>
          <w:sz w:val="28"/>
          <w:szCs w:val="28"/>
        </w:rPr>
      </w:pPr>
      <w:r>
        <w:rPr>
          <w:szCs w:val="26"/>
        </w:rPr>
        <w:t xml:space="preserve">       </w:t>
      </w:r>
      <w:r w:rsidRPr="006F63FD">
        <w:rPr>
          <w:sz w:val="28"/>
          <w:szCs w:val="28"/>
        </w:rPr>
        <w:t>RESPECTFULLY SUBMITTED this ____day of__________________, 201</w:t>
      </w:r>
      <w:r>
        <w:rPr>
          <w:sz w:val="28"/>
          <w:szCs w:val="28"/>
        </w:rPr>
        <w:t>7</w:t>
      </w:r>
      <w:r w:rsidRPr="006F63FD">
        <w:rPr>
          <w:sz w:val="28"/>
          <w:szCs w:val="28"/>
        </w:rPr>
        <w:t>.</w:t>
      </w:r>
    </w:p>
    <w:p w:rsidR="00727BC6" w:rsidRPr="000F7A7F" w:rsidRDefault="00727BC6" w:rsidP="00727BC6">
      <w:pPr>
        <w:pStyle w:val="Body"/>
        <w:tabs>
          <w:tab w:val="left" w:pos="720"/>
        </w:tabs>
        <w:ind w:firstLine="0"/>
        <w:rPr>
          <w:szCs w:val="26"/>
        </w:rPr>
      </w:pPr>
    </w:p>
    <w:p w:rsidR="00727BC6" w:rsidRPr="000F7A7F" w:rsidRDefault="00727BC6" w:rsidP="00727BC6">
      <w:pPr>
        <w:pStyle w:val="Body"/>
        <w:tabs>
          <w:tab w:val="left" w:pos="720"/>
        </w:tabs>
        <w:ind w:firstLine="0"/>
        <w:rPr>
          <w:szCs w:val="26"/>
        </w:rPr>
      </w:pPr>
    </w:p>
    <w:p w:rsidR="00727BC6" w:rsidRPr="006F63FD" w:rsidRDefault="00727BC6" w:rsidP="00727BC6">
      <w:pPr>
        <w:pStyle w:val="PleadingSignature"/>
        <w:keepNext w:val="0"/>
        <w:keepLines w:val="0"/>
        <w:pBdr>
          <w:top w:val="single" w:sz="4" w:space="1" w:color="auto"/>
        </w:pBdr>
        <w:spacing w:line="240" w:lineRule="auto"/>
        <w:ind w:left="5070"/>
        <w:rPr>
          <w:sz w:val="28"/>
          <w:szCs w:val="28"/>
        </w:rPr>
      </w:pPr>
      <w:r>
        <w:rPr>
          <w:sz w:val="28"/>
          <w:szCs w:val="28"/>
        </w:rPr>
        <w:t>Lisa M. Panahi</w:t>
      </w:r>
    </w:p>
    <w:p w:rsidR="00727BC6" w:rsidRPr="006F63FD" w:rsidRDefault="00727BC6" w:rsidP="00727BC6">
      <w:pPr>
        <w:pStyle w:val="PleadingSignature"/>
        <w:keepNext w:val="0"/>
        <w:keepLines w:val="0"/>
        <w:spacing w:line="240" w:lineRule="auto"/>
        <w:ind w:left="5070"/>
        <w:rPr>
          <w:sz w:val="28"/>
          <w:szCs w:val="28"/>
        </w:rPr>
      </w:pPr>
      <w:r w:rsidRPr="006F63FD">
        <w:rPr>
          <w:sz w:val="28"/>
          <w:szCs w:val="28"/>
        </w:rPr>
        <w:t>General Couns</w:t>
      </w:r>
      <w:r>
        <w:rPr>
          <w:sz w:val="28"/>
          <w:szCs w:val="28"/>
        </w:rPr>
        <w:t>e</w:t>
      </w:r>
      <w:r w:rsidRPr="006F63FD">
        <w:rPr>
          <w:sz w:val="28"/>
          <w:szCs w:val="28"/>
        </w:rPr>
        <w:t>l</w:t>
      </w:r>
    </w:p>
    <w:p w:rsidR="00727BC6" w:rsidRPr="000F7A7F" w:rsidRDefault="00727BC6" w:rsidP="00727BC6">
      <w:pPr>
        <w:pStyle w:val="PleadingSignature"/>
        <w:keepNext w:val="0"/>
        <w:keepLines w:val="0"/>
        <w:spacing w:line="240" w:lineRule="auto"/>
        <w:ind w:left="5070"/>
        <w:rPr>
          <w:szCs w:val="26"/>
        </w:rPr>
      </w:pPr>
    </w:p>
    <w:p w:rsidR="00727BC6" w:rsidRPr="00C52E56" w:rsidRDefault="00727BC6" w:rsidP="00727BC6">
      <w:pPr>
        <w:widowControl w:val="0"/>
        <w:spacing w:line="240" w:lineRule="auto"/>
        <w:ind w:right="4140"/>
        <w:rPr>
          <w:sz w:val="28"/>
          <w:szCs w:val="28"/>
        </w:rPr>
      </w:pPr>
      <w:r w:rsidRPr="00C52E56">
        <w:rPr>
          <w:sz w:val="28"/>
          <w:szCs w:val="28"/>
        </w:rPr>
        <w:t>Electronic copy filed with the</w:t>
      </w:r>
    </w:p>
    <w:p w:rsidR="00727BC6" w:rsidRPr="00C52E56" w:rsidRDefault="00727BC6" w:rsidP="00727BC6">
      <w:pPr>
        <w:spacing w:line="240" w:lineRule="auto"/>
        <w:ind w:right="4140"/>
        <w:rPr>
          <w:sz w:val="28"/>
          <w:szCs w:val="28"/>
        </w:rPr>
      </w:pPr>
      <w:r w:rsidRPr="00C52E56">
        <w:rPr>
          <w:sz w:val="28"/>
          <w:szCs w:val="28"/>
        </w:rPr>
        <w:t>Clerk of the Arizona Supreme Court</w:t>
      </w:r>
    </w:p>
    <w:p w:rsidR="00727BC6" w:rsidRDefault="00727BC6" w:rsidP="00727BC6">
      <w:pPr>
        <w:tabs>
          <w:tab w:val="left" w:pos="4836"/>
        </w:tabs>
        <w:spacing w:line="240" w:lineRule="auto"/>
        <w:ind w:right="3870"/>
        <w:rPr>
          <w:sz w:val="28"/>
          <w:szCs w:val="28"/>
        </w:rPr>
      </w:pPr>
      <w:r w:rsidRPr="00C52E56">
        <w:rPr>
          <w:sz w:val="28"/>
          <w:szCs w:val="28"/>
        </w:rPr>
        <w:t xml:space="preserve">this _____ day of </w:t>
      </w:r>
      <w:r>
        <w:rPr>
          <w:sz w:val="28"/>
          <w:szCs w:val="28"/>
        </w:rPr>
        <w:t xml:space="preserve">__________________, </w:t>
      </w:r>
      <w:r w:rsidRPr="00C52E56">
        <w:rPr>
          <w:sz w:val="28"/>
          <w:szCs w:val="28"/>
        </w:rPr>
        <w:t>201</w:t>
      </w:r>
      <w:r>
        <w:rPr>
          <w:sz w:val="28"/>
          <w:szCs w:val="28"/>
        </w:rPr>
        <w:t>7</w:t>
      </w:r>
      <w:r w:rsidRPr="00C52E56">
        <w:rPr>
          <w:sz w:val="28"/>
          <w:szCs w:val="28"/>
        </w:rPr>
        <w:t>.</w:t>
      </w:r>
    </w:p>
    <w:p w:rsidR="00492DD0" w:rsidRPr="00C52E56" w:rsidRDefault="00492DD0" w:rsidP="00727BC6">
      <w:pPr>
        <w:tabs>
          <w:tab w:val="left" w:pos="4836"/>
        </w:tabs>
        <w:spacing w:line="240" w:lineRule="auto"/>
        <w:ind w:right="3870"/>
        <w:rPr>
          <w:sz w:val="28"/>
          <w:szCs w:val="28"/>
        </w:rPr>
      </w:pPr>
    </w:p>
    <w:p w:rsidR="00727BC6" w:rsidRPr="00C52E56" w:rsidRDefault="00727BC6" w:rsidP="00727BC6">
      <w:pPr>
        <w:spacing w:line="240" w:lineRule="auto"/>
        <w:ind w:right="4572"/>
        <w:rPr>
          <w:sz w:val="28"/>
          <w:szCs w:val="28"/>
        </w:rPr>
      </w:pPr>
    </w:p>
    <w:p w:rsidR="00727BC6" w:rsidRPr="00C52E56" w:rsidRDefault="00727BC6" w:rsidP="00727BC6">
      <w:pPr>
        <w:spacing w:line="240" w:lineRule="auto"/>
        <w:ind w:right="4572"/>
        <w:rPr>
          <w:sz w:val="28"/>
          <w:szCs w:val="28"/>
        </w:rPr>
      </w:pPr>
      <w:r>
        <w:rPr>
          <w:sz w:val="28"/>
          <w:szCs w:val="28"/>
        </w:rPr>
        <w:t>by:</w:t>
      </w:r>
      <w:r w:rsidRPr="00C52E56">
        <w:rPr>
          <w:sz w:val="28"/>
          <w:szCs w:val="28"/>
        </w:rPr>
        <w:t xml:space="preserve">_______________________________ </w:t>
      </w:r>
    </w:p>
    <w:p w:rsidR="00727BC6" w:rsidRDefault="00727BC6" w:rsidP="00727BC6">
      <w:pPr>
        <w:ind w:right="9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sectPr w:rsidR="00727BC6" w:rsidSect="001601CC">
      <w:headerReference w:type="default" r:id="rId9"/>
      <w:footerReference w:type="even" r:id="rId10"/>
      <w:footerReference w:type="default" r:id="rId11"/>
      <w:pgSz w:w="12240" w:h="15840" w:code="1"/>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OlSt BT">
    <w:altName w:val="Georgia"/>
    <w:charset w:val="00"/>
    <w:family w:val="roman"/>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p w:rsidR="00000000" w:rsidRDefault="00AB29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96535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AB2931">
          <w:rPr>
            <w:noProof/>
            <w:sz w:val="26"/>
            <w:szCs w:val="26"/>
          </w:rPr>
          <w:t>5</w:t>
        </w:r>
        <w:r w:rsidRPr="006B4F9A">
          <w:rPr>
            <w:noProof/>
            <w:sz w:val="26"/>
            <w:szCs w:val="26"/>
          </w:rPr>
          <w:fldChar w:fldCharType="end"/>
        </w:r>
      </w:p>
    </w:sdtContent>
  </w:sdt>
  <w:p w:rsidR="007D5C49" w:rsidRDefault="007D5C49"/>
  <w:p w:rsidR="00000000" w:rsidRDefault="00AB29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492DD0" w:rsidRDefault="00492DD0" w:rsidP="00492DD0">
      <w:pPr>
        <w:pStyle w:val="FootnoteText"/>
        <w:jc w:val="both"/>
      </w:pPr>
      <w:r w:rsidRPr="009E63CD">
        <w:rPr>
          <w:rStyle w:val="FootnoteReference"/>
          <w:sz w:val="28"/>
          <w:szCs w:val="28"/>
        </w:rPr>
        <w:footnoteRef/>
      </w:r>
      <w:r w:rsidRPr="009E63CD">
        <w:rPr>
          <w:sz w:val="28"/>
          <w:szCs w:val="28"/>
        </w:rPr>
        <w:t xml:space="preserve"> 04-01-16 Mauricio R. Hernandez argued in favor of abolishing the mandatory Bar; 04-01-16 Paul V. Avelar argued against mandatory and integrated Bar; 04-01-16 Karyl Krug argued against integrated Bar; 05-17-16 Richard W. Morris agreed with arguments against an integrated Bar; 05-19-16 Karyl Krug argued against integrated Bar; 06-10-16 James M. Manley argued against integrated Bar; 06-10-16 Mauricio Hernandez argued against integrated Bar</w:t>
      </w:r>
      <w:r>
        <w:t>.</w:t>
      </w:r>
    </w:p>
  </w:footnote>
  <w:footnote w:id="2">
    <w:p w:rsidR="00AB2931" w:rsidRPr="00492DD0" w:rsidRDefault="00492DD0" w:rsidP="00492DD0">
      <w:pPr>
        <w:pStyle w:val="FootnoteText"/>
        <w:rPr>
          <w:sz w:val="28"/>
          <w:szCs w:val="28"/>
        </w:rPr>
      </w:pPr>
      <w:r w:rsidRPr="00492DD0">
        <w:rPr>
          <w:rStyle w:val="FootnoteReference"/>
          <w:sz w:val="28"/>
          <w:szCs w:val="28"/>
        </w:rPr>
        <w:footnoteRef/>
      </w:r>
      <w:r w:rsidRPr="00492DD0">
        <w:rPr>
          <w:sz w:val="28"/>
          <w:szCs w:val="28"/>
        </w:rPr>
        <w:t xml:space="preserve"> Dan Kittay, </w:t>
      </w:r>
      <w:r w:rsidRPr="00492DD0">
        <w:rPr>
          <w:i/>
          <w:sz w:val="28"/>
          <w:szCs w:val="28"/>
        </w:rPr>
        <w:t>Deunification challenge in Michigan, big changes in Nebraska: Part of a trend?</w:t>
      </w:r>
      <w:r w:rsidRPr="00492DD0">
        <w:rPr>
          <w:sz w:val="28"/>
          <w:szCs w:val="28"/>
        </w:rPr>
        <w:t xml:space="preserve"> </w:t>
      </w:r>
      <w:r w:rsidRPr="00492DD0">
        <w:rPr>
          <w:smallCaps/>
          <w:sz w:val="28"/>
          <w:szCs w:val="28"/>
        </w:rPr>
        <w:t>Bar Leader</w:t>
      </w:r>
      <w:r w:rsidRPr="00492DD0">
        <w:rPr>
          <w:sz w:val="28"/>
          <w:szCs w:val="28"/>
        </w:rPr>
        <w:t xml:space="preserve">, May-June 2014, </w:t>
      </w:r>
      <w:hyperlink r:id="rId1" w:history="1">
        <w:r w:rsidR="00AB2931" w:rsidRPr="00F236B0">
          <w:rPr>
            <w:rStyle w:val="Hyperlink"/>
            <w:sz w:val="28"/>
            <w:szCs w:val="28"/>
          </w:rPr>
          <w:t>http://www.americanbar.org/publications/bar_leader/2013-14/may_june/deunification_challenge_michigan_big_changes_nebraska_part_trend.html</w:t>
        </w:r>
      </w:hyperlink>
    </w:p>
  </w:footnote>
  <w:footnote w:id="3">
    <w:p w:rsidR="00492DD0" w:rsidRDefault="00492DD0" w:rsidP="00492DD0">
      <w:pPr>
        <w:pStyle w:val="FootnoteText"/>
      </w:pPr>
      <w:r w:rsidRPr="00492DD0">
        <w:rPr>
          <w:rStyle w:val="FootnoteReference"/>
          <w:sz w:val="28"/>
          <w:szCs w:val="28"/>
        </w:rPr>
        <w:footnoteRef/>
      </w:r>
      <w:r w:rsidRPr="00492DD0">
        <w:rPr>
          <w:sz w:val="28"/>
          <w:szCs w:val="28"/>
        </w:rPr>
        <w:t xml:space="preserve"> </w:t>
      </w:r>
      <w:r w:rsidRPr="00492DD0">
        <w:rPr>
          <w:i/>
          <w:sz w:val="28"/>
          <w:szCs w:val="28"/>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p w:rsidR="00000000" w:rsidRDefault="00AB29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20903"/>
    <w:multiLevelType w:val="hybridMultilevel"/>
    <w:tmpl w:val="2698F8CE"/>
    <w:lvl w:ilvl="0" w:tplc="20BE975C">
      <w:start w:val="1"/>
      <w:numFmt w:val="upperRoman"/>
      <w:lvlText w:val="%1."/>
      <w:lvlJc w:val="left"/>
      <w:pPr>
        <w:ind w:left="1440" w:hanging="720"/>
      </w:pPr>
      <w:rPr>
        <w:rFonts w:hint="default"/>
      </w:rPr>
    </w:lvl>
    <w:lvl w:ilvl="1" w:tplc="131688C0" w:tentative="1">
      <w:start w:val="1"/>
      <w:numFmt w:val="lowerLetter"/>
      <w:lvlText w:val="%2."/>
      <w:lvlJc w:val="left"/>
      <w:pPr>
        <w:ind w:left="1800" w:hanging="360"/>
      </w:pPr>
    </w:lvl>
    <w:lvl w:ilvl="2" w:tplc="D2AA8108" w:tentative="1">
      <w:start w:val="1"/>
      <w:numFmt w:val="lowerRoman"/>
      <w:lvlText w:val="%3."/>
      <w:lvlJc w:val="right"/>
      <w:pPr>
        <w:ind w:left="2520" w:hanging="180"/>
      </w:pPr>
    </w:lvl>
    <w:lvl w:ilvl="3" w:tplc="708C0FC0" w:tentative="1">
      <w:start w:val="1"/>
      <w:numFmt w:val="decimal"/>
      <w:lvlText w:val="%4."/>
      <w:lvlJc w:val="left"/>
      <w:pPr>
        <w:ind w:left="3240" w:hanging="360"/>
      </w:pPr>
    </w:lvl>
    <w:lvl w:ilvl="4" w:tplc="A998BCE0" w:tentative="1">
      <w:start w:val="1"/>
      <w:numFmt w:val="lowerLetter"/>
      <w:lvlText w:val="%5."/>
      <w:lvlJc w:val="left"/>
      <w:pPr>
        <w:ind w:left="3960" w:hanging="360"/>
      </w:pPr>
    </w:lvl>
    <w:lvl w:ilvl="5" w:tplc="5226F086" w:tentative="1">
      <w:start w:val="1"/>
      <w:numFmt w:val="lowerRoman"/>
      <w:lvlText w:val="%6."/>
      <w:lvlJc w:val="right"/>
      <w:pPr>
        <w:ind w:left="4680" w:hanging="180"/>
      </w:pPr>
    </w:lvl>
    <w:lvl w:ilvl="6" w:tplc="C902F15A" w:tentative="1">
      <w:start w:val="1"/>
      <w:numFmt w:val="decimal"/>
      <w:lvlText w:val="%7."/>
      <w:lvlJc w:val="left"/>
      <w:pPr>
        <w:ind w:left="5400" w:hanging="360"/>
      </w:pPr>
    </w:lvl>
    <w:lvl w:ilvl="7" w:tplc="A738A6AE" w:tentative="1">
      <w:start w:val="1"/>
      <w:numFmt w:val="lowerLetter"/>
      <w:lvlText w:val="%8."/>
      <w:lvlJc w:val="left"/>
      <w:pPr>
        <w:ind w:left="6120" w:hanging="360"/>
      </w:pPr>
    </w:lvl>
    <w:lvl w:ilvl="8" w:tplc="FCF6F2F6" w:tentative="1">
      <w:start w:val="1"/>
      <w:numFmt w:val="lowerRoman"/>
      <w:lvlText w:val="%9."/>
      <w:lvlJc w:val="right"/>
      <w:pPr>
        <w:ind w:left="6840" w:hanging="180"/>
      </w:pPr>
    </w:lvl>
  </w:abstractNum>
  <w:abstractNum w:abstractNumId="1" w15:restartNumberingAfterBreak="0">
    <w:nsid w:val="133102EE"/>
    <w:multiLevelType w:val="hybridMultilevel"/>
    <w:tmpl w:val="2C2C1160"/>
    <w:lvl w:ilvl="0" w:tplc="1D5EE31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E4F11"/>
    <w:multiLevelType w:val="hybridMultilevel"/>
    <w:tmpl w:val="05807056"/>
    <w:lvl w:ilvl="0" w:tplc="935461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C651E"/>
    <w:multiLevelType w:val="hybridMultilevel"/>
    <w:tmpl w:val="C35049D0"/>
    <w:lvl w:ilvl="0" w:tplc="5D0AA3C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EB5F70"/>
    <w:multiLevelType w:val="hybridMultilevel"/>
    <w:tmpl w:val="D466E07E"/>
    <w:lvl w:ilvl="0" w:tplc="3B14BE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902158"/>
    <w:multiLevelType w:val="hybridMultilevel"/>
    <w:tmpl w:val="758CE96C"/>
    <w:lvl w:ilvl="0" w:tplc="CD3E60E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A813699"/>
    <w:multiLevelType w:val="hybridMultilevel"/>
    <w:tmpl w:val="78AA7E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E713191"/>
    <w:multiLevelType w:val="hybridMultilevel"/>
    <w:tmpl w:val="E4369E60"/>
    <w:lvl w:ilvl="0" w:tplc="1C0E9502">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9"/>
  </w:num>
  <w:num w:numId="3">
    <w:abstractNumId w:val="2"/>
  </w:num>
  <w:num w:numId="4">
    <w:abstractNumId w:val="7"/>
  </w:num>
  <w:num w:numId="5">
    <w:abstractNumId w:val="10"/>
  </w:num>
  <w:num w:numId="6">
    <w:abstractNumId w:val="11"/>
  </w:num>
  <w:num w:numId="7">
    <w:abstractNumId w:val="3"/>
  </w:num>
  <w:num w:numId="8">
    <w:abstractNumId w:val="21"/>
  </w:num>
  <w:num w:numId="9">
    <w:abstractNumId w:val="12"/>
  </w:num>
  <w:num w:numId="10">
    <w:abstractNumId w:val="16"/>
  </w:num>
  <w:num w:numId="11">
    <w:abstractNumId w:val="15"/>
  </w:num>
  <w:num w:numId="12">
    <w:abstractNumId w:val="8"/>
  </w:num>
  <w:num w:numId="13">
    <w:abstractNumId w:val="4"/>
  </w:num>
  <w:num w:numId="14">
    <w:abstractNumId w:val="6"/>
  </w:num>
  <w:num w:numId="15">
    <w:abstractNumId w:val="18"/>
  </w:num>
  <w:num w:numId="16">
    <w:abstractNumId w:val="0"/>
  </w:num>
  <w:num w:numId="17">
    <w:abstractNumId w:val="13"/>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253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0720"/>
    <w:rsid w:val="000410B3"/>
    <w:rsid w:val="00043D4D"/>
    <w:rsid w:val="00052372"/>
    <w:rsid w:val="000666D1"/>
    <w:rsid w:val="000917C0"/>
    <w:rsid w:val="000A1D6B"/>
    <w:rsid w:val="000C48A9"/>
    <w:rsid w:val="000F7A7F"/>
    <w:rsid w:val="000F7C13"/>
    <w:rsid w:val="00122201"/>
    <w:rsid w:val="00135326"/>
    <w:rsid w:val="001601CC"/>
    <w:rsid w:val="001A2520"/>
    <w:rsid w:val="001F591C"/>
    <w:rsid w:val="00274D6A"/>
    <w:rsid w:val="0031358D"/>
    <w:rsid w:val="00327307"/>
    <w:rsid w:val="00352347"/>
    <w:rsid w:val="003566D6"/>
    <w:rsid w:val="00357F4D"/>
    <w:rsid w:val="003617D1"/>
    <w:rsid w:val="00377199"/>
    <w:rsid w:val="00395092"/>
    <w:rsid w:val="003A28AC"/>
    <w:rsid w:val="00407E2D"/>
    <w:rsid w:val="004331B2"/>
    <w:rsid w:val="00440E4C"/>
    <w:rsid w:val="00463734"/>
    <w:rsid w:val="00492DD0"/>
    <w:rsid w:val="00494BDF"/>
    <w:rsid w:val="004C3AE3"/>
    <w:rsid w:val="004D2185"/>
    <w:rsid w:val="00504E1E"/>
    <w:rsid w:val="00506859"/>
    <w:rsid w:val="00515AEA"/>
    <w:rsid w:val="00520F93"/>
    <w:rsid w:val="00566856"/>
    <w:rsid w:val="00587AF1"/>
    <w:rsid w:val="005A21B0"/>
    <w:rsid w:val="005B5161"/>
    <w:rsid w:val="005D6AD4"/>
    <w:rsid w:val="006338C1"/>
    <w:rsid w:val="00636F5E"/>
    <w:rsid w:val="00665CCF"/>
    <w:rsid w:val="006666D1"/>
    <w:rsid w:val="006721EC"/>
    <w:rsid w:val="006766BF"/>
    <w:rsid w:val="006932BA"/>
    <w:rsid w:val="006B4F9A"/>
    <w:rsid w:val="006F63FD"/>
    <w:rsid w:val="00726A59"/>
    <w:rsid w:val="00727BC6"/>
    <w:rsid w:val="00732169"/>
    <w:rsid w:val="00735659"/>
    <w:rsid w:val="007427C6"/>
    <w:rsid w:val="0077110E"/>
    <w:rsid w:val="007870CB"/>
    <w:rsid w:val="007A3F0F"/>
    <w:rsid w:val="007D5C49"/>
    <w:rsid w:val="007D73FF"/>
    <w:rsid w:val="008006ED"/>
    <w:rsid w:val="00822598"/>
    <w:rsid w:val="008360A1"/>
    <w:rsid w:val="00861563"/>
    <w:rsid w:val="00871AAA"/>
    <w:rsid w:val="00876F57"/>
    <w:rsid w:val="00891AAA"/>
    <w:rsid w:val="00933EA1"/>
    <w:rsid w:val="00951416"/>
    <w:rsid w:val="00960D21"/>
    <w:rsid w:val="00981D29"/>
    <w:rsid w:val="00981E11"/>
    <w:rsid w:val="009830BC"/>
    <w:rsid w:val="00A1564B"/>
    <w:rsid w:val="00A5194F"/>
    <w:rsid w:val="00A871D6"/>
    <w:rsid w:val="00A93A7C"/>
    <w:rsid w:val="00AB2931"/>
    <w:rsid w:val="00AF282C"/>
    <w:rsid w:val="00AF3FF7"/>
    <w:rsid w:val="00B1491D"/>
    <w:rsid w:val="00B47B7D"/>
    <w:rsid w:val="00C03E0F"/>
    <w:rsid w:val="00C52E56"/>
    <w:rsid w:val="00C5407A"/>
    <w:rsid w:val="00C662B0"/>
    <w:rsid w:val="00C84FD4"/>
    <w:rsid w:val="00C958EE"/>
    <w:rsid w:val="00CC241B"/>
    <w:rsid w:val="00CD21FB"/>
    <w:rsid w:val="00D35995"/>
    <w:rsid w:val="00D423FE"/>
    <w:rsid w:val="00D442E4"/>
    <w:rsid w:val="00D80EDC"/>
    <w:rsid w:val="00D92F7A"/>
    <w:rsid w:val="00DF4F15"/>
    <w:rsid w:val="00E047D3"/>
    <w:rsid w:val="00E266B7"/>
    <w:rsid w:val="00E321C5"/>
    <w:rsid w:val="00E411A6"/>
    <w:rsid w:val="00E5772B"/>
    <w:rsid w:val="00E67511"/>
    <w:rsid w:val="00E82D0F"/>
    <w:rsid w:val="00E950B5"/>
    <w:rsid w:val="00F05879"/>
    <w:rsid w:val="00F06F5B"/>
    <w:rsid w:val="00F2485D"/>
    <w:rsid w:val="00F33926"/>
    <w:rsid w:val="00F44B56"/>
    <w:rsid w:val="00F60C61"/>
    <w:rsid w:val="00F64B52"/>
    <w:rsid w:val="00F850BE"/>
    <w:rsid w:val="00F96A1A"/>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3"/>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Text">
    <w:name w:val="Plead Text"/>
    <w:basedOn w:val="Normal"/>
    <w:rsid w:val="004D2185"/>
    <w:pPr>
      <w:widowControl w:val="0"/>
      <w:spacing w:line="480" w:lineRule="exact"/>
      <w:ind w:firstLine="720"/>
      <w:jc w:val="both"/>
    </w:pPr>
    <w:rPr>
      <w:sz w:val="26"/>
    </w:rPr>
  </w:style>
  <w:style w:type="paragraph" w:customStyle="1" w:styleId="ListNoBodyGoudy12">
    <w:name w:val="List No Body Goudy 12"/>
    <w:basedOn w:val="Normal"/>
    <w:rsid w:val="009830BC"/>
    <w:pPr>
      <w:widowControl w:val="0"/>
      <w:tabs>
        <w:tab w:val="left" w:pos="432"/>
        <w:tab w:val="left" w:pos="1872"/>
      </w:tabs>
      <w:autoSpaceDE w:val="0"/>
      <w:autoSpaceDN w:val="0"/>
      <w:adjustRightInd w:val="0"/>
      <w:spacing w:after="120" w:line="360" w:lineRule="auto"/>
      <w:jc w:val="both"/>
    </w:pPr>
    <w:rPr>
      <w:rFonts w:ascii="GoudyOlSt BT" w:hAnsi="GoudyOlSt BT"/>
      <w:sz w:val="24"/>
      <w:szCs w:val="26"/>
    </w:rPr>
  </w:style>
  <w:style w:type="paragraph" w:styleId="ListParagraph">
    <w:name w:val="List Paragraph"/>
    <w:basedOn w:val="Normal"/>
    <w:uiPriority w:val="34"/>
    <w:qFormat/>
    <w:rsid w:val="009830BC"/>
    <w:pPr>
      <w:spacing w:line="240" w:lineRule="auto"/>
      <w:ind w:left="720"/>
      <w:contextualSpacing/>
    </w:pPr>
    <w:rPr>
      <w:sz w:val="24"/>
      <w:szCs w:val="24"/>
    </w:rPr>
  </w:style>
  <w:style w:type="paragraph" w:styleId="NormalWeb">
    <w:name w:val="Normal (Web)"/>
    <w:basedOn w:val="Normal"/>
    <w:uiPriority w:val="99"/>
    <w:unhideWhenUsed/>
    <w:rsid w:val="00122201"/>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zcourts.gov/cscommittees/Task-Force-to-Review-the-State-Bars-Role-and-Govern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americanbar.org/publications/bar_leader/2013-14/may_june/deunification_challenge_michigan_big_changes_nebraska_part_tren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299B8-ADA0-4F8D-88BB-DD5A7290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0</TotalTime>
  <Pages>14</Pages>
  <Words>2533</Words>
  <Characters>13279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2017-05-22T20:36:00Z</cp:lastPrinted>
  <dcterms:created xsi:type="dcterms:W3CDTF">2017-05-22T21:22:00Z</dcterms:created>
  <dcterms:modified xsi:type="dcterms:W3CDTF">2017-05-22T21:22:00Z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