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240AD0"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0A5238">
              <w:rPr>
                <w:b/>
                <w:smallCaps/>
                <w:kern w:val="2"/>
                <w:sz w:val="28"/>
                <w:szCs w:val="28"/>
              </w:rPr>
              <w:t>In Re:</w:t>
            </w:r>
            <w:r w:rsidR="00240AD0" w:rsidRPr="000A5238">
              <w:rPr>
                <w:b/>
                <w:sz w:val="28"/>
                <w:szCs w:val="28"/>
              </w:rPr>
              <w:t xml:space="preserve"> </w:t>
            </w:r>
            <w:r w:rsidR="00B02B57">
              <w:rPr>
                <w:b/>
                <w:sz w:val="28"/>
                <w:szCs w:val="28"/>
              </w:rPr>
              <w:t>PETITION TO AMEND</w:t>
            </w:r>
            <w:r w:rsidR="004E25D4">
              <w:rPr>
                <w:b/>
                <w:sz w:val="28"/>
                <w:szCs w:val="28"/>
              </w:rPr>
              <w:t xml:space="preserve"> CRIMINAL RULES 4.2, 5.1, 5.4, 7.2, 7.4, 26.12 AND 27.8</w:t>
            </w:r>
            <w:r w:rsidR="00B02B57">
              <w:rPr>
                <w:b/>
                <w:sz w:val="28"/>
                <w:szCs w:val="28"/>
              </w:rPr>
              <w:t xml:space="preserve"> </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bookmarkStart w:id="0" w:name="_GoBack"/>
            <w:r w:rsidRPr="00240AD0">
              <w:rPr>
                <w:smallCaps/>
                <w:kern w:val="2"/>
                <w:sz w:val="28"/>
                <w:szCs w:val="28"/>
              </w:rPr>
              <w:t>R</w:t>
            </w:r>
            <w:r w:rsidR="00264DAB">
              <w:rPr>
                <w:smallCaps/>
                <w:kern w:val="2"/>
                <w:sz w:val="28"/>
                <w:szCs w:val="28"/>
              </w:rPr>
              <w:t>-1</w:t>
            </w:r>
            <w:r w:rsidR="00AD4953">
              <w:rPr>
                <w:smallCaps/>
                <w:kern w:val="2"/>
                <w:sz w:val="28"/>
                <w:szCs w:val="28"/>
              </w:rPr>
              <w:t>7</w:t>
            </w:r>
            <w:r w:rsidR="00264DAB">
              <w:rPr>
                <w:smallCaps/>
                <w:kern w:val="2"/>
                <w:sz w:val="28"/>
                <w:szCs w:val="28"/>
              </w:rPr>
              <w:t>-00</w:t>
            </w:r>
            <w:r w:rsidR="004E25D4">
              <w:rPr>
                <w:smallCaps/>
                <w:kern w:val="2"/>
                <w:sz w:val="28"/>
                <w:szCs w:val="28"/>
              </w:rPr>
              <w:t>15</w:t>
            </w:r>
          </w:p>
          <w:p w:rsidR="007E0F6A" w:rsidRPr="00240AD0" w:rsidRDefault="007E0F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 xml:space="preserve">ition to Amend </w:t>
            </w:r>
            <w:r w:rsidR="00E22BC8">
              <w:rPr>
                <w:smallCaps/>
                <w:kern w:val="2"/>
                <w:sz w:val="28"/>
                <w:szCs w:val="28"/>
              </w:rPr>
              <w:t>Criminal Rules 4.2, 5.1, 5.4, 7.2, 7.4, 26.12 and 27.8</w:t>
            </w:r>
            <w:bookmarkEnd w:id="0"/>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6F1A7C"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sz w:val="28"/>
          <w:szCs w:val="28"/>
        </w:rPr>
        <w:t xml:space="preserve">The Maricopa County Attorney </w:t>
      </w:r>
      <w:r w:rsidR="00C35878">
        <w:rPr>
          <w:sz w:val="28"/>
          <w:szCs w:val="28"/>
        </w:rPr>
        <w:t xml:space="preserve">hereby </w:t>
      </w:r>
      <w:r w:rsidR="006027C0">
        <w:rPr>
          <w:sz w:val="28"/>
          <w:szCs w:val="28"/>
        </w:rPr>
        <w:t>responds</w:t>
      </w:r>
      <w:r w:rsidR="00C35878">
        <w:rPr>
          <w:sz w:val="28"/>
          <w:szCs w:val="28"/>
        </w:rPr>
        <w:t xml:space="preserve"> to the Petition </w:t>
      </w:r>
      <w:r w:rsidR="00E22BC8">
        <w:rPr>
          <w:sz w:val="28"/>
          <w:szCs w:val="28"/>
        </w:rPr>
        <w:t xml:space="preserve">submitted by the Fair Justice Task Force </w:t>
      </w:r>
      <w:r w:rsidR="00B604A9">
        <w:rPr>
          <w:sz w:val="28"/>
          <w:szCs w:val="28"/>
        </w:rPr>
        <w:t xml:space="preserve">and asks this Court to </w:t>
      </w:r>
      <w:r w:rsidR="00E22BC8">
        <w:rPr>
          <w:sz w:val="28"/>
          <w:szCs w:val="28"/>
        </w:rPr>
        <w:t xml:space="preserve">return this rule proposal to the Task Force for reconsideration in light of the legislative decision regarding their proposed statutory changes, and, if this Court is to adopt any of these proposed changes, that it make substantial revisions to the proposed rules to comply with Arizona law.  </w:t>
      </w:r>
      <w:r w:rsidR="00264DAB">
        <w:rPr>
          <w:sz w:val="28"/>
          <w:szCs w:val="28"/>
        </w:rPr>
        <w:t xml:space="preserve">  </w:t>
      </w:r>
    </w:p>
    <w:p w:rsidR="006D3B9E" w:rsidRDefault="006D3B9E"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 xml:space="preserve">Respectfully submitted this </w:t>
      </w:r>
      <w:r w:rsidR="00DD1447">
        <w:rPr>
          <w:kern w:val="2"/>
          <w:sz w:val="28"/>
          <w:szCs w:val="28"/>
        </w:rPr>
        <w:t>22</w:t>
      </w:r>
      <w:r w:rsidR="00DD1447" w:rsidRPr="00DD1447">
        <w:rPr>
          <w:kern w:val="2"/>
          <w:sz w:val="28"/>
          <w:szCs w:val="28"/>
          <w:vertAlign w:val="superscript"/>
        </w:rPr>
        <w:t>nd</w:t>
      </w:r>
      <w:r w:rsidR="00DD1447">
        <w:rPr>
          <w:kern w:val="2"/>
          <w:sz w:val="28"/>
          <w:szCs w:val="28"/>
        </w:rPr>
        <w:t xml:space="preserve"> </w:t>
      </w:r>
      <w:r w:rsidRPr="00240AD0">
        <w:rPr>
          <w:kern w:val="2"/>
          <w:sz w:val="28"/>
          <w:szCs w:val="28"/>
        </w:rPr>
        <w:t>day of</w:t>
      </w:r>
      <w:r w:rsidR="00C83859">
        <w:rPr>
          <w:kern w:val="2"/>
          <w:sz w:val="28"/>
          <w:szCs w:val="28"/>
        </w:rPr>
        <w:t xml:space="preserve"> </w:t>
      </w:r>
      <w:r w:rsidR="00642713">
        <w:rPr>
          <w:kern w:val="2"/>
          <w:sz w:val="28"/>
          <w:szCs w:val="28"/>
        </w:rPr>
        <w:t>May</w:t>
      </w:r>
      <w:r w:rsidRPr="00240AD0">
        <w:rPr>
          <w:kern w:val="2"/>
          <w:sz w:val="28"/>
          <w:szCs w:val="28"/>
        </w:rPr>
        <w:t>, 20</w:t>
      </w:r>
      <w:r w:rsidR="00642713">
        <w:rPr>
          <w:kern w:val="2"/>
          <w:sz w:val="28"/>
          <w:szCs w:val="28"/>
        </w:rPr>
        <w:t>1</w:t>
      </w:r>
      <w:r w:rsidR="00AD4953">
        <w:rPr>
          <w:kern w:val="2"/>
          <w:sz w:val="28"/>
          <w:szCs w:val="28"/>
        </w:rPr>
        <w:t>7</w:t>
      </w:r>
      <w:r w:rsidRPr="00240AD0">
        <w:rPr>
          <w:kern w:val="2"/>
          <w:sz w:val="28"/>
          <w:szCs w:val="28"/>
        </w:rPr>
        <w:t>.</w:t>
      </w:r>
    </w:p>
    <w:p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 FAULL</w:t>
      </w:r>
    </w:p>
    <w:p w:rsidR="004E25D4"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p w:rsidR="004E25D4" w:rsidRDefault="004E25D4">
      <w:pPr>
        <w:widowControl/>
        <w:rPr>
          <w:smallCaps/>
          <w:kern w:val="2"/>
          <w:sz w:val="28"/>
          <w:szCs w:val="28"/>
        </w:rPr>
      </w:pPr>
      <w:r>
        <w:rPr>
          <w:smallCaps/>
          <w:kern w:val="2"/>
          <w:sz w:val="28"/>
          <w:szCs w:val="28"/>
        </w:rPr>
        <w:br w:type="page"/>
      </w:r>
    </w:p>
    <w:p w:rsidR="004E25D4" w:rsidRDefault="004E25D4"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b/>
          <w:kern w:val="2"/>
          <w:sz w:val="28"/>
          <w:szCs w:val="28"/>
          <w:u w:val="single"/>
        </w:rPr>
      </w:pPr>
      <w:r>
        <w:rPr>
          <w:b/>
          <w:kern w:val="2"/>
          <w:sz w:val="28"/>
          <w:szCs w:val="28"/>
        </w:rPr>
        <w:lastRenderedPageBreak/>
        <w:t>I.</w:t>
      </w:r>
      <w:r>
        <w:rPr>
          <w:b/>
          <w:kern w:val="2"/>
          <w:sz w:val="28"/>
          <w:szCs w:val="28"/>
        </w:rPr>
        <w:tab/>
      </w:r>
      <w:r w:rsidR="008C0F15">
        <w:rPr>
          <w:b/>
          <w:kern w:val="2"/>
          <w:sz w:val="28"/>
          <w:szCs w:val="28"/>
          <w:u w:val="single"/>
        </w:rPr>
        <w:t>Discussion</w:t>
      </w:r>
    </w:p>
    <w:p w:rsidR="004E25D4" w:rsidRDefault="004E25D4"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b/>
          <w:kern w:val="2"/>
          <w:sz w:val="28"/>
          <w:szCs w:val="28"/>
          <w:u w:val="single"/>
        </w:rPr>
      </w:pPr>
    </w:p>
    <w:p w:rsidR="004E25D4" w:rsidRDefault="004E25D4" w:rsidP="00142943">
      <w:pPr>
        <w:widowControl/>
        <w:tabs>
          <w:tab w:val="left" w:pos="90"/>
          <w:tab w:val="left" w:pos="4608"/>
          <w:tab w:val="left" w:pos="5184"/>
          <w:tab w:val="left" w:pos="5760"/>
          <w:tab w:val="left" w:pos="6336"/>
          <w:tab w:val="left" w:pos="6912"/>
          <w:tab w:val="left" w:pos="7488"/>
          <w:tab w:val="left" w:pos="8064"/>
          <w:tab w:val="left" w:pos="8640"/>
          <w:tab w:val="left" w:pos="9216"/>
          <w:tab w:val="left" w:pos="9792"/>
        </w:tabs>
        <w:ind w:left="1170" w:hanging="450"/>
        <w:jc w:val="both"/>
        <w:rPr>
          <w:b/>
          <w:kern w:val="2"/>
          <w:sz w:val="28"/>
          <w:szCs w:val="28"/>
        </w:rPr>
      </w:pPr>
      <w:r>
        <w:rPr>
          <w:b/>
          <w:kern w:val="2"/>
          <w:sz w:val="28"/>
          <w:szCs w:val="28"/>
        </w:rPr>
        <w:t xml:space="preserve">A. </w:t>
      </w:r>
      <w:r w:rsidR="00142943">
        <w:rPr>
          <w:b/>
          <w:kern w:val="2"/>
          <w:sz w:val="28"/>
          <w:szCs w:val="28"/>
        </w:rPr>
        <w:t>If t</w:t>
      </w:r>
      <w:r>
        <w:rPr>
          <w:b/>
          <w:kern w:val="2"/>
          <w:sz w:val="28"/>
          <w:szCs w:val="28"/>
        </w:rPr>
        <w:t xml:space="preserve">his Court </w:t>
      </w:r>
      <w:r w:rsidR="00142943">
        <w:rPr>
          <w:b/>
          <w:kern w:val="2"/>
          <w:sz w:val="28"/>
          <w:szCs w:val="28"/>
        </w:rPr>
        <w:t>adopts the proposed changes</w:t>
      </w:r>
      <w:r w:rsidR="00207086">
        <w:rPr>
          <w:b/>
          <w:kern w:val="2"/>
          <w:sz w:val="28"/>
          <w:szCs w:val="28"/>
        </w:rPr>
        <w:t xml:space="preserve"> substantial modifications should be made to </w:t>
      </w:r>
      <w:r w:rsidR="00142943">
        <w:rPr>
          <w:b/>
          <w:kern w:val="2"/>
          <w:sz w:val="28"/>
          <w:szCs w:val="28"/>
        </w:rPr>
        <w:t xml:space="preserve">comply with </w:t>
      </w:r>
      <w:r>
        <w:rPr>
          <w:b/>
          <w:kern w:val="2"/>
          <w:sz w:val="28"/>
          <w:szCs w:val="28"/>
        </w:rPr>
        <w:t xml:space="preserve">Arizona law.  </w:t>
      </w:r>
    </w:p>
    <w:p w:rsidR="004E25D4" w:rsidRDefault="004E25D4" w:rsidP="0061060B">
      <w:pPr>
        <w:widowControl/>
        <w:tabs>
          <w:tab w:val="left" w:pos="90"/>
          <w:tab w:val="left" w:pos="1170"/>
          <w:tab w:val="left" w:pos="4608"/>
          <w:tab w:val="left" w:pos="5184"/>
          <w:tab w:val="left" w:pos="5760"/>
          <w:tab w:val="left" w:pos="6336"/>
          <w:tab w:val="left" w:pos="6912"/>
          <w:tab w:val="left" w:pos="7488"/>
          <w:tab w:val="left" w:pos="8064"/>
          <w:tab w:val="left" w:pos="8640"/>
          <w:tab w:val="left" w:pos="9216"/>
          <w:tab w:val="left" w:pos="9792"/>
        </w:tabs>
        <w:ind w:left="1170" w:hanging="450"/>
        <w:jc w:val="both"/>
        <w:rPr>
          <w:b/>
          <w:kern w:val="2"/>
          <w:sz w:val="28"/>
          <w:szCs w:val="28"/>
        </w:rPr>
      </w:pPr>
    </w:p>
    <w:p w:rsidR="005A782A" w:rsidRDefault="004E25D4" w:rsidP="0061060B">
      <w:pPr>
        <w:widowControl/>
        <w:tabs>
          <w:tab w:val="left" w:pos="-4230"/>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As the </w:t>
      </w:r>
      <w:r w:rsidR="00E22BC8">
        <w:rPr>
          <w:kern w:val="2"/>
          <w:sz w:val="28"/>
          <w:szCs w:val="28"/>
        </w:rPr>
        <w:t>P</w:t>
      </w:r>
      <w:r>
        <w:rPr>
          <w:kern w:val="2"/>
          <w:sz w:val="28"/>
          <w:szCs w:val="28"/>
        </w:rPr>
        <w:t>etition notes</w:t>
      </w:r>
      <w:r w:rsidR="005A782A">
        <w:rPr>
          <w:kern w:val="2"/>
          <w:sz w:val="28"/>
          <w:szCs w:val="28"/>
        </w:rPr>
        <w:t xml:space="preserve">, some of the proposed </w:t>
      </w:r>
      <w:r w:rsidR="008C0F15">
        <w:rPr>
          <w:kern w:val="2"/>
          <w:sz w:val="28"/>
          <w:szCs w:val="28"/>
        </w:rPr>
        <w:t xml:space="preserve">rule </w:t>
      </w:r>
      <w:r w:rsidR="005A782A">
        <w:rPr>
          <w:kern w:val="2"/>
          <w:sz w:val="28"/>
          <w:szCs w:val="28"/>
        </w:rPr>
        <w:t xml:space="preserve">changes conflict with current Arizona law.  Specifically the </w:t>
      </w:r>
      <w:r w:rsidR="00E22BC8">
        <w:rPr>
          <w:kern w:val="2"/>
          <w:sz w:val="28"/>
          <w:szCs w:val="28"/>
        </w:rPr>
        <w:t>P</w:t>
      </w:r>
      <w:r w:rsidR="005A782A">
        <w:rPr>
          <w:kern w:val="2"/>
          <w:sz w:val="28"/>
          <w:szCs w:val="28"/>
        </w:rPr>
        <w:t>etition notes,</w:t>
      </w:r>
    </w:p>
    <w:p w:rsidR="004E25D4" w:rsidRDefault="005A782A" w:rsidP="0061060B">
      <w:pPr>
        <w:widowControl/>
        <w:tabs>
          <w:tab w:val="left" w:pos="-4230"/>
          <w:tab w:val="left" w:pos="0"/>
          <w:tab w:val="left" w:pos="720"/>
          <w:tab w:val="left" w:pos="1440"/>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8"/>
          <w:szCs w:val="28"/>
        </w:rPr>
      </w:pPr>
      <w:r>
        <w:rPr>
          <w:kern w:val="2"/>
          <w:sz w:val="28"/>
          <w:szCs w:val="28"/>
        </w:rPr>
        <w:t>These amendments contain procedural differences from the current statutory language in that determination of whether the defendant is not bailable is required to be initiated by the magistrate rather than solely by the prosecutor, and a bail hearing is required to be set within seven days rather than 24 hours after the Initial Appearance.</w:t>
      </w:r>
    </w:p>
    <w:p w:rsidR="005A782A" w:rsidRDefault="005A782A" w:rsidP="0061060B">
      <w:pPr>
        <w:widowControl/>
        <w:tabs>
          <w:tab w:val="left" w:pos="-4230"/>
          <w:tab w:val="left" w:pos="0"/>
          <w:tab w:val="left" w:pos="720"/>
          <w:tab w:val="left" w:pos="1440"/>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8"/>
          <w:szCs w:val="28"/>
        </w:rPr>
      </w:pPr>
    </w:p>
    <w:p w:rsidR="005A782A" w:rsidRDefault="005A782A"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 xml:space="preserve">[Petition at 6].  The </w:t>
      </w:r>
      <w:r w:rsidR="00E22BC8">
        <w:rPr>
          <w:kern w:val="2"/>
          <w:sz w:val="28"/>
          <w:szCs w:val="28"/>
        </w:rPr>
        <w:t>Petition</w:t>
      </w:r>
      <w:r>
        <w:rPr>
          <w:kern w:val="2"/>
          <w:sz w:val="28"/>
          <w:szCs w:val="28"/>
        </w:rPr>
        <w:t xml:space="preserve"> further explains that conforming legislative changes would be pursued in the 2017 legislative session.  Those changes were introduced in Senate Bill 1</w:t>
      </w:r>
      <w:r w:rsidR="008C0F15">
        <w:rPr>
          <w:kern w:val="2"/>
          <w:sz w:val="28"/>
          <w:szCs w:val="28"/>
        </w:rPr>
        <w:t xml:space="preserve">163 and they were not adopted.  </w:t>
      </w:r>
      <w:r>
        <w:rPr>
          <w:kern w:val="2"/>
          <w:sz w:val="28"/>
          <w:szCs w:val="28"/>
        </w:rPr>
        <w:t>Thus some of the proposed rules cannot be adopted because they violate Arizona law.</w:t>
      </w:r>
      <w:r w:rsidR="008C0F15">
        <w:rPr>
          <w:kern w:val="2"/>
          <w:sz w:val="28"/>
          <w:szCs w:val="28"/>
        </w:rPr>
        <w:t xml:space="preserve">  </w:t>
      </w:r>
      <w:r>
        <w:rPr>
          <w:kern w:val="2"/>
          <w:sz w:val="28"/>
          <w:szCs w:val="28"/>
        </w:rPr>
        <w:t xml:space="preserve">Additionally, this Court’s decision in </w:t>
      </w:r>
      <w:r>
        <w:rPr>
          <w:i/>
          <w:kern w:val="2"/>
          <w:sz w:val="28"/>
          <w:szCs w:val="28"/>
        </w:rPr>
        <w:t>Simpson</w:t>
      </w:r>
      <w:r w:rsidR="0061060B">
        <w:rPr>
          <w:i/>
          <w:kern w:val="2"/>
          <w:sz w:val="28"/>
          <w:szCs w:val="28"/>
        </w:rPr>
        <w:t xml:space="preserve"> v. Miller</w:t>
      </w:r>
      <w:r w:rsidR="0061060B">
        <w:rPr>
          <w:kern w:val="2"/>
          <w:sz w:val="28"/>
          <w:szCs w:val="28"/>
        </w:rPr>
        <w:t xml:space="preserve">, 241 Ariz. 341, 387 P.3d 1270 (2017) </w:t>
      </w:r>
      <w:r>
        <w:rPr>
          <w:kern w:val="2"/>
          <w:sz w:val="28"/>
          <w:szCs w:val="28"/>
        </w:rPr>
        <w:t xml:space="preserve">also requires modifications to the requested rule changes.  </w:t>
      </w:r>
      <w:r w:rsidR="0061060B">
        <w:rPr>
          <w:kern w:val="2"/>
          <w:sz w:val="28"/>
          <w:szCs w:val="28"/>
        </w:rPr>
        <w:t xml:space="preserve">Although this comment will address both issues as if this Court will adopt some changes to this rule, due to these legislative and legal developments, the best course of action would be to deny the </w:t>
      </w:r>
      <w:r w:rsidR="00E22BC8">
        <w:rPr>
          <w:kern w:val="2"/>
          <w:sz w:val="28"/>
          <w:szCs w:val="28"/>
        </w:rPr>
        <w:t>Petition</w:t>
      </w:r>
      <w:r w:rsidR="0061060B">
        <w:rPr>
          <w:kern w:val="2"/>
          <w:sz w:val="28"/>
          <w:szCs w:val="28"/>
        </w:rPr>
        <w:t xml:space="preserve"> at this time and return it to the </w:t>
      </w:r>
      <w:r w:rsidR="008C0F15">
        <w:rPr>
          <w:kern w:val="2"/>
          <w:sz w:val="28"/>
          <w:szCs w:val="28"/>
        </w:rPr>
        <w:t>T</w:t>
      </w:r>
      <w:r w:rsidR="0061060B">
        <w:rPr>
          <w:kern w:val="2"/>
          <w:sz w:val="28"/>
          <w:szCs w:val="28"/>
        </w:rPr>
        <w:t xml:space="preserve">ask </w:t>
      </w:r>
      <w:r w:rsidR="008C0F15">
        <w:rPr>
          <w:kern w:val="2"/>
          <w:sz w:val="28"/>
          <w:szCs w:val="28"/>
        </w:rPr>
        <w:t>F</w:t>
      </w:r>
      <w:r w:rsidR="0061060B">
        <w:rPr>
          <w:kern w:val="2"/>
          <w:sz w:val="28"/>
          <w:szCs w:val="28"/>
        </w:rPr>
        <w:t>orce for further consideration and presentation in next year’s rules cycle.</w:t>
      </w:r>
    </w:p>
    <w:p w:rsidR="00126081" w:rsidRDefault="0061060B"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E22BC8">
        <w:rPr>
          <w:kern w:val="2"/>
          <w:sz w:val="28"/>
          <w:szCs w:val="28"/>
        </w:rPr>
        <w:t>S</w:t>
      </w:r>
      <w:r>
        <w:rPr>
          <w:kern w:val="2"/>
          <w:sz w:val="28"/>
          <w:szCs w:val="28"/>
        </w:rPr>
        <w:t xml:space="preserve">everal portions of the </w:t>
      </w:r>
      <w:r w:rsidR="00E22BC8">
        <w:rPr>
          <w:kern w:val="2"/>
          <w:sz w:val="28"/>
          <w:szCs w:val="28"/>
        </w:rPr>
        <w:t>Petition</w:t>
      </w:r>
      <w:r>
        <w:rPr>
          <w:kern w:val="2"/>
          <w:sz w:val="28"/>
          <w:szCs w:val="28"/>
        </w:rPr>
        <w:t xml:space="preserve"> </w:t>
      </w:r>
      <w:r w:rsidR="0087042E">
        <w:rPr>
          <w:kern w:val="2"/>
          <w:sz w:val="28"/>
          <w:szCs w:val="28"/>
        </w:rPr>
        <w:t>are</w:t>
      </w:r>
      <w:r>
        <w:rPr>
          <w:kern w:val="2"/>
          <w:sz w:val="28"/>
          <w:szCs w:val="28"/>
        </w:rPr>
        <w:t xml:space="preserve"> inconsistent with Arizona statutory law.  </w:t>
      </w:r>
      <w:r w:rsidR="0078443E">
        <w:rPr>
          <w:kern w:val="2"/>
          <w:sz w:val="28"/>
          <w:szCs w:val="28"/>
        </w:rPr>
        <w:t>Proposed Rule 7.2(b)(2)</w:t>
      </w:r>
      <w:r w:rsidR="00126081">
        <w:rPr>
          <w:kern w:val="2"/>
          <w:sz w:val="28"/>
          <w:szCs w:val="28"/>
        </w:rPr>
        <w:t>(C)</w:t>
      </w:r>
      <w:r w:rsidR="0078443E">
        <w:rPr>
          <w:kern w:val="2"/>
          <w:sz w:val="28"/>
          <w:szCs w:val="28"/>
        </w:rPr>
        <w:t xml:space="preserve"> adds a burden of proof that </w:t>
      </w:r>
      <w:r w:rsidR="0087042E">
        <w:rPr>
          <w:kern w:val="2"/>
          <w:sz w:val="28"/>
          <w:szCs w:val="28"/>
        </w:rPr>
        <w:t>is</w:t>
      </w:r>
      <w:r w:rsidR="0078443E">
        <w:rPr>
          <w:kern w:val="2"/>
          <w:sz w:val="28"/>
          <w:szCs w:val="28"/>
        </w:rPr>
        <w:t xml:space="preserve"> not in the constitution or the applicable statutes.  Specifically, the proposed rule requires that the court must </w:t>
      </w:r>
      <w:r w:rsidR="0078443E">
        <w:rPr>
          <w:kern w:val="2"/>
          <w:sz w:val="28"/>
          <w:szCs w:val="28"/>
        </w:rPr>
        <w:lastRenderedPageBreak/>
        <w:t>find by “clear and convincing evidence” that no condition of release will assure the safety of the community.  Although the statute that implements the constitutional provision, A.R.S. § 13-3961</w:t>
      </w:r>
      <w:r w:rsidR="00177463">
        <w:rPr>
          <w:kern w:val="2"/>
          <w:sz w:val="28"/>
          <w:szCs w:val="28"/>
        </w:rPr>
        <w:t xml:space="preserve">, includes the “clear and convincing” standard for the finding that the person poses a substantial danger or </w:t>
      </w:r>
      <w:r w:rsidR="0087042E">
        <w:rPr>
          <w:kern w:val="2"/>
          <w:sz w:val="28"/>
          <w:szCs w:val="28"/>
        </w:rPr>
        <w:t>engaged in</w:t>
      </w:r>
      <w:r w:rsidR="00177463">
        <w:rPr>
          <w:kern w:val="2"/>
          <w:sz w:val="28"/>
          <w:szCs w:val="28"/>
        </w:rPr>
        <w:t xml:space="preserve"> a violent offense, </w:t>
      </w:r>
      <w:r w:rsidR="0087042E">
        <w:rPr>
          <w:kern w:val="2"/>
          <w:sz w:val="28"/>
          <w:szCs w:val="28"/>
        </w:rPr>
        <w:t xml:space="preserve">the clear and convincing </w:t>
      </w:r>
      <w:r w:rsidR="00177463">
        <w:rPr>
          <w:kern w:val="2"/>
          <w:sz w:val="28"/>
          <w:szCs w:val="28"/>
        </w:rPr>
        <w:t>standard is not part of the determination that no conditions will reasonably assure the safety of others.  SB 1163 sought to add that language to the statu</w:t>
      </w:r>
      <w:r w:rsidR="0087042E">
        <w:rPr>
          <w:kern w:val="2"/>
          <w:sz w:val="28"/>
          <w:szCs w:val="28"/>
        </w:rPr>
        <w:t xml:space="preserve">te, </w:t>
      </w:r>
      <w:r w:rsidR="00126081">
        <w:rPr>
          <w:kern w:val="2"/>
          <w:sz w:val="28"/>
          <w:szCs w:val="28"/>
        </w:rPr>
        <w:t>but that bill did not pass.</w:t>
      </w:r>
    </w:p>
    <w:p w:rsidR="0078443E" w:rsidRDefault="00126081"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Proposed Rule 7.2(b)(2)(B) is inconsistent with A.R.S. § 13-3961 in a way that was not discussed in the </w:t>
      </w:r>
      <w:r w:rsidR="00E22BC8">
        <w:rPr>
          <w:kern w:val="2"/>
          <w:sz w:val="28"/>
          <w:szCs w:val="28"/>
        </w:rPr>
        <w:t>Petition</w:t>
      </w:r>
      <w:r>
        <w:rPr>
          <w:kern w:val="2"/>
          <w:sz w:val="28"/>
          <w:szCs w:val="28"/>
        </w:rPr>
        <w:t xml:space="preserve"> or included as a change in SB 1163.  </w:t>
      </w:r>
      <w:r w:rsidR="007B686A">
        <w:rPr>
          <w:kern w:val="2"/>
          <w:sz w:val="28"/>
          <w:szCs w:val="28"/>
        </w:rPr>
        <w:t>A.R.S. § 13-3961(D) provides that person is nonbondable when charged with a felony offense and the court finds by clear and convincing evidence that 1) the person poses a substantial danger to other</w:t>
      </w:r>
      <w:r w:rsidR="0087042E">
        <w:rPr>
          <w:kern w:val="2"/>
          <w:sz w:val="28"/>
          <w:szCs w:val="28"/>
        </w:rPr>
        <w:t>s</w:t>
      </w:r>
      <w:r w:rsidR="007B686A">
        <w:rPr>
          <w:kern w:val="2"/>
          <w:sz w:val="28"/>
          <w:szCs w:val="28"/>
        </w:rPr>
        <w:t xml:space="preserve"> or 2) the person committed a violent offense.  The “violent offense” portion of the statute is omitted from the proposed rule.  The </w:t>
      </w:r>
      <w:r w:rsidR="00E22BC8">
        <w:rPr>
          <w:kern w:val="2"/>
          <w:sz w:val="28"/>
          <w:szCs w:val="28"/>
        </w:rPr>
        <w:t>Petition</w:t>
      </w:r>
      <w:r w:rsidR="007B686A">
        <w:rPr>
          <w:kern w:val="2"/>
          <w:sz w:val="28"/>
          <w:szCs w:val="28"/>
        </w:rPr>
        <w:t xml:space="preserve"> discusses why “dangerousness” as defined in A.R.S. § 13-105 was included as a proposed consideration under Rule 7.2(b)(3), but it does not discuss why this second basis for denying bail in the statute was omitted.  </w:t>
      </w:r>
      <w:r w:rsidR="0087042E">
        <w:rPr>
          <w:kern w:val="2"/>
          <w:sz w:val="28"/>
          <w:szCs w:val="28"/>
        </w:rPr>
        <w:t>“</w:t>
      </w:r>
      <w:r w:rsidR="007B686A">
        <w:rPr>
          <w:kern w:val="2"/>
          <w:sz w:val="28"/>
          <w:szCs w:val="28"/>
        </w:rPr>
        <w:t>Violent offense</w:t>
      </w:r>
      <w:r w:rsidR="0087042E">
        <w:rPr>
          <w:kern w:val="2"/>
          <w:sz w:val="28"/>
          <w:szCs w:val="28"/>
        </w:rPr>
        <w:t>”</w:t>
      </w:r>
      <w:r w:rsidR="0008623F">
        <w:rPr>
          <w:kern w:val="2"/>
          <w:sz w:val="28"/>
          <w:szCs w:val="28"/>
        </w:rPr>
        <w:t xml:space="preserve"> is defined in A.R.S. § 13-3961 as a dangerous crime against children or terrorism.  </w:t>
      </w:r>
      <w:r w:rsidR="007B686A">
        <w:rPr>
          <w:kern w:val="2"/>
          <w:sz w:val="28"/>
          <w:szCs w:val="28"/>
        </w:rPr>
        <w:t>This portion of the statute has been complete</w:t>
      </w:r>
      <w:r w:rsidR="0008623F">
        <w:rPr>
          <w:kern w:val="2"/>
          <w:sz w:val="28"/>
          <w:szCs w:val="28"/>
        </w:rPr>
        <w:t>ly</w:t>
      </w:r>
      <w:r w:rsidR="007B686A">
        <w:rPr>
          <w:kern w:val="2"/>
          <w:sz w:val="28"/>
          <w:szCs w:val="28"/>
        </w:rPr>
        <w:t xml:space="preserve"> omitted from the proposed rule.  If any change to Rule 7.2 is made, </w:t>
      </w:r>
      <w:r w:rsidR="0008623F">
        <w:rPr>
          <w:kern w:val="2"/>
          <w:sz w:val="28"/>
          <w:szCs w:val="28"/>
        </w:rPr>
        <w:t xml:space="preserve">proposed </w:t>
      </w:r>
      <w:r w:rsidR="007B686A">
        <w:rPr>
          <w:kern w:val="2"/>
          <w:sz w:val="28"/>
          <w:szCs w:val="28"/>
        </w:rPr>
        <w:t xml:space="preserve">Rule 7.2(b)(2) should </w:t>
      </w:r>
      <w:r w:rsidR="0008623F">
        <w:rPr>
          <w:kern w:val="2"/>
          <w:sz w:val="28"/>
          <w:szCs w:val="28"/>
        </w:rPr>
        <w:t xml:space="preserve">be amended to </w:t>
      </w:r>
      <w:r w:rsidR="007B686A">
        <w:rPr>
          <w:kern w:val="2"/>
          <w:sz w:val="28"/>
          <w:szCs w:val="28"/>
        </w:rPr>
        <w:t>read as follows:</w:t>
      </w:r>
    </w:p>
    <w:p w:rsidR="007B686A" w:rsidRDefault="007B686A" w:rsidP="00CA0BEA">
      <w:pPr>
        <w:pStyle w:val="Default"/>
        <w:ind w:left="1170" w:right="720" w:hanging="450"/>
        <w:jc w:val="both"/>
        <w:rPr>
          <w:rFonts w:ascii="Times New Roman" w:hAnsi="Times New Roman" w:cs="Times New Roman"/>
          <w:sz w:val="28"/>
          <w:szCs w:val="28"/>
        </w:rPr>
      </w:pPr>
      <w:r w:rsidRPr="007B686A">
        <w:rPr>
          <w:rFonts w:ascii="Times New Roman" w:hAnsi="Times New Roman" w:cs="Times New Roman"/>
          <w:sz w:val="28"/>
          <w:szCs w:val="28"/>
        </w:rPr>
        <w:t xml:space="preserve">(2) </w:t>
      </w:r>
      <w:r w:rsidRPr="007B686A">
        <w:rPr>
          <w:rFonts w:ascii="Times New Roman" w:hAnsi="Times New Roman" w:cs="Times New Roman"/>
          <w:i/>
          <w:iCs/>
          <w:sz w:val="28"/>
          <w:szCs w:val="28"/>
        </w:rPr>
        <w:t xml:space="preserve">Other Felonies Not Bailable. </w:t>
      </w:r>
      <w:r w:rsidRPr="007B686A">
        <w:rPr>
          <w:rFonts w:ascii="Times New Roman" w:hAnsi="Times New Roman" w:cs="Times New Roman"/>
          <w:sz w:val="28"/>
          <w:szCs w:val="28"/>
        </w:rPr>
        <w:t>A perso</w:t>
      </w:r>
      <w:r w:rsidR="00CA0BEA">
        <w:rPr>
          <w:rFonts w:ascii="Times New Roman" w:hAnsi="Times New Roman" w:cs="Times New Roman"/>
          <w:sz w:val="28"/>
          <w:szCs w:val="28"/>
        </w:rPr>
        <w:t xml:space="preserve">n charged with any other felony </w:t>
      </w:r>
      <w:r w:rsidRPr="007B686A">
        <w:rPr>
          <w:rFonts w:ascii="Times New Roman" w:hAnsi="Times New Roman" w:cs="Times New Roman"/>
          <w:sz w:val="28"/>
          <w:szCs w:val="28"/>
        </w:rPr>
        <w:t xml:space="preserve">offense must not be released on bail if the court finds all of the following: </w:t>
      </w:r>
    </w:p>
    <w:p w:rsidR="0008623F" w:rsidRPr="007B686A" w:rsidRDefault="0008623F" w:rsidP="00CA0BEA">
      <w:pPr>
        <w:pStyle w:val="Default"/>
        <w:ind w:right="720"/>
        <w:jc w:val="both"/>
        <w:rPr>
          <w:rFonts w:ascii="Times New Roman" w:hAnsi="Times New Roman" w:cs="Times New Roman"/>
          <w:sz w:val="28"/>
          <w:szCs w:val="28"/>
        </w:rPr>
      </w:pPr>
    </w:p>
    <w:p w:rsidR="0008623F" w:rsidRDefault="007B686A" w:rsidP="00CA0BEA">
      <w:pPr>
        <w:pStyle w:val="Default"/>
        <w:ind w:left="1620" w:right="720" w:hanging="450"/>
        <w:jc w:val="both"/>
        <w:rPr>
          <w:rFonts w:ascii="Times New Roman" w:hAnsi="Times New Roman" w:cs="Times New Roman"/>
          <w:sz w:val="28"/>
          <w:szCs w:val="28"/>
        </w:rPr>
      </w:pPr>
      <w:r w:rsidRPr="007B686A">
        <w:rPr>
          <w:rFonts w:ascii="Times New Roman" w:hAnsi="Times New Roman" w:cs="Times New Roman"/>
          <w:sz w:val="28"/>
          <w:szCs w:val="28"/>
        </w:rPr>
        <w:t xml:space="preserve">(A) Proof is evident or the presumption great that the person committed a felony offense with which the person is charged; </w:t>
      </w:r>
    </w:p>
    <w:p w:rsidR="0008623F" w:rsidRDefault="0008623F" w:rsidP="00CA0BEA">
      <w:pPr>
        <w:pStyle w:val="Default"/>
        <w:ind w:left="1620" w:right="720" w:hanging="450"/>
        <w:jc w:val="both"/>
        <w:rPr>
          <w:rFonts w:ascii="Times New Roman" w:hAnsi="Times New Roman" w:cs="Times New Roman"/>
          <w:sz w:val="28"/>
          <w:szCs w:val="28"/>
        </w:rPr>
      </w:pPr>
    </w:p>
    <w:p w:rsidR="0008623F" w:rsidRDefault="0008623F" w:rsidP="00CA0BEA">
      <w:pPr>
        <w:pStyle w:val="Default"/>
        <w:ind w:left="1620" w:right="720" w:hanging="450"/>
        <w:jc w:val="both"/>
        <w:rPr>
          <w:rFonts w:ascii="Times New Roman" w:hAnsi="Times New Roman" w:cs="Times New Roman"/>
          <w:sz w:val="28"/>
          <w:szCs w:val="28"/>
        </w:rPr>
      </w:pPr>
      <w:r>
        <w:rPr>
          <w:rFonts w:ascii="Times New Roman" w:hAnsi="Times New Roman" w:cs="Times New Roman"/>
          <w:sz w:val="28"/>
          <w:szCs w:val="28"/>
        </w:rPr>
        <w:t>(</w:t>
      </w:r>
      <w:r w:rsidR="007B686A" w:rsidRPr="007B686A">
        <w:rPr>
          <w:rFonts w:ascii="Times New Roman" w:hAnsi="Times New Roman" w:cs="Times New Roman"/>
          <w:sz w:val="28"/>
          <w:szCs w:val="28"/>
        </w:rPr>
        <w:t xml:space="preserve">B) Clear and convincing evidence that </w:t>
      </w:r>
      <w:r>
        <w:rPr>
          <w:rFonts w:ascii="Times New Roman" w:hAnsi="Times New Roman" w:cs="Times New Roman"/>
          <w:sz w:val="28"/>
          <w:szCs w:val="28"/>
          <w:u w:val="single"/>
        </w:rPr>
        <w:t xml:space="preserve">EITHER </w:t>
      </w:r>
      <w:r w:rsidR="007B686A" w:rsidRPr="007B686A">
        <w:rPr>
          <w:rFonts w:ascii="Times New Roman" w:hAnsi="Times New Roman" w:cs="Times New Roman"/>
          <w:sz w:val="28"/>
          <w:szCs w:val="28"/>
        </w:rPr>
        <w:t>the person poses a substantial danger to another person or the community</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OR THE PERSON ENGANGED IN CONDUCT CONSTITUTING </w:t>
      </w:r>
      <w:r w:rsidR="00DB5A0F">
        <w:rPr>
          <w:rFonts w:ascii="Times New Roman" w:hAnsi="Times New Roman" w:cs="Times New Roman"/>
          <w:sz w:val="28"/>
          <w:szCs w:val="28"/>
          <w:u w:val="single"/>
        </w:rPr>
        <w:t>A DANGEROUS CRIME AGAINST CHILDREN OR TERRORISM</w:t>
      </w:r>
      <w:r w:rsidR="007B686A" w:rsidRPr="007B686A">
        <w:rPr>
          <w:rFonts w:ascii="Times New Roman" w:hAnsi="Times New Roman" w:cs="Times New Roman"/>
          <w:sz w:val="28"/>
          <w:szCs w:val="28"/>
        </w:rPr>
        <w:t xml:space="preserve">; and </w:t>
      </w:r>
    </w:p>
    <w:p w:rsidR="0008623F" w:rsidRDefault="0008623F" w:rsidP="00CA0BEA">
      <w:pPr>
        <w:pStyle w:val="Default"/>
        <w:ind w:left="1620" w:right="720" w:hanging="450"/>
        <w:jc w:val="both"/>
        <w:rPr>
          <w:rFonts w:ascii="Times New Roman" w:hAnsi="Times New Roman" w:cs="Times New Roman"/>
          <w:sz w:val="28"/>
          <w:szCs w:val="28"/>
        </w:rPr>
      </w:pPr>
    </w:p>
    <w:p w:rsidR="00CA0BEA" w:rsidRDefault="007B686A" w:rsidP="00CA0BEA">
      <w:pPr>
        <w:pStyle w:val="Default"/>
        <w:ind w:left="1620" w:right="720" w:hanging="450"/>
        <w:jc w:val="both"/>
        <w:rPr>
          <w:rFonts w:ascii="Times New Roman" w:hAnsi="Times New Roman" w:cs="Times New Roman"/>
          <w:sz w:val="28"/>
          <w:szCs w:val="28"/>
        </w:rPr>
      </w:pPr>
      <w:r w:rsidRPr="007B686A">
        <w:rPr>
          <w:rFonts w:ascii="Times New Roman" w:hAnsi="Times New Roman" w:cs="Times New Roman"/>
          <w:sz w:val="28"/>
          <w:szCs w:val="28"/>
        </w:rPr>
        <w:t xml:space="preserve">(C) </w:t>
      </w:r>
      <w:r w:rsidRPr="0008623F">
        <w:rPr>
          <w:rFonts w:ascii="Times New Roman" w:hAnsi="Times New Roman" w:cs="Times New Roman"/>
          <w:strike/>
          <w:sz w:val="28"/>
          <w:szCs w:val="28"/>
        </w:rPr>
        <w:t>Clear and convincing evidence that n</w:t>
      </w:r>
      <w:r w:rsidR="0008623F">
        <w:rPr>
          <w:rFonts w:ascii="Times New Roman" w:hAnsi="Times New Roman" w:cs="Times New Roman"/>
          <w:strike/>
          <w:sz w:val="28"/>
          <w:szCs w:val="28"/>
        </w:rPr>
        <w:t xml:space="preserve"> </w:t>
      </w:r>
      <w:r w:rsidR="0008623F">
        <w:rPr>
          <w:rFonts w:ascii="Times New Roman" w:hAnsi="Times New Roman" w:cs="Times New Roman"/>
          <w:sz w:val="28"/>
          <w:szCs w:val="28"/>
          <w:u w:val="single"/>
        </w:rPr>
        <w:t>N</w:t>
      </w:r>
      <w:r w:rsidRPr="007B686A">
        <w:rPr>
          <w:rFonts w:ascii="Times New Roman" w:hAnsi="Times New Roman" w:cs="Times New Roman"/>
          <w:sz w:val="28"/>
          <w:szCs w:val="28"/>
        </w:rPr>
        <w:t xml:space="preserve">o condition or combination of conditions of release will reasonably assure the safety of any person or the community. </w:t>
      </w:r>
    </w:p>
    <w:p w:rsidR="00CA0BEA" w:rsidRDefault="00CA0BEA" w:rsidP="00CA0BEA">
      <w:pPr>
        <w:pStyle w:val="Default"/>
        <w:ind w:left="1620" w:right="720" w:hanging="450"/>
        <w:jc w:val="both"/>
        <w:rPr>
          <w:rFonts w:ascii="Times New Roman" w:hAnsi="Times New Roman" w:cs="Times New Roman"/>
          <w:sz w:val="28"/>
          <w:szCs w:val="28"/>
        </w:rPr>
      </w:pPr>
    </w:p>
    <w:p w:rsidR="00CA0BEA" w:rsidRDefault="00CA0BEA" w:rsidP="00CA0BEA">
      <w:pPr>
        <w:pStyle w:val="Default"/>
        <w:spacing w:line="480" w:lineRule="auto"/>
        <w:ind w:firstLine="4"/>
        <w:jc w:val="both"/>
        <w:rPr>
          <w:rFonts w:ascii="Times New Roman" w:hAnsi="Times New Roman" w:cs="Times New Roman"/>
          <w:sz w:val="28"/>
          <w:szCs w:val="28"/>
        </w:rPr>
      </w:pPr>
      <w:r>
        <w:rPr>
          <w:rFonts w:ascii="Times New Roman" w:hAnsi="Times New Roman" w:cs="Times New Roman"/>
          <w:sz w:val="28"/>
          <w:szCs w:val="28"/>
        </w:rPr>
        <w:tab/>
        <w:t xml:space="preserve">The most significant features of the proposed rules – the interplay between the initial appearance, the new bail eligibility hearing, and the preliminary hearing – are the most impacted by the legislature’s </w:t>
      </w:r>
      <w:r w:rsidR="00DB5A0F">
        <w:rPr>
          <w:rFonts w:ascii="Times New Roman" w:hAnsi="Times New Roman" w:cs="Times New Roman"/>
          <w:sz w:val="28"/>
          <w:szCs w:val="28"/>
        </w:rPr>
        <w:t>decision on SB 1163</w:t>
      </w:r>
      <w:r>
        <w:rPr>
          <w:rFonts w:ascii="Times New Roman" w:hAnsi="Times New Roman" w:cs="Times New Roman"/>
          <w:sz w:val="28"/>
          <w:szCs w:val="28"/>
        </w:rPr>
        <w:t xml:space="preserve">.  </w:t>
      </w:r>
      <w:r w:rsidR="00DB5A0F">
        <w:rPr>
          <w:rFonts w:ascii="Times New Roman" w:hAnsi="Times New Roman" w:cs="Times New Roman"/>
          <w:sz w:val="28"/>
          <w:szCs w:val="28"/>
        </w:rPr>
        <w:t>Because creating the bail eligibly hearing and combining it with the preliminary hearing is the main reason for these changes, i</w:t>
      </w:r>
      <w:r>
        <w:rPr>
          <w:rFonts w:ascii="Times New Roman" w:hAnsi="Times New Roman" w:cs="Times New Roman"/>
          <w:sz w:val="28"/>
          <w:szCs w:val="28"/>
        </w:rPr>
        <w:t xml:space="preserve">t would be much easier to have the Task Force take up their work anew with the understanding that it must be consistent with Arizona law rather than attempting to correct the </w:t>
      </w:r>
      <w:r w:rsidR="00DB5A0F">
        <w:rPr>
          <w:rFonts w:ascii="Times New Roman" w:hAnsi="Times New Roman" w:cs="Times New Roman"/>
          <w:sz w:val="28"/>
          <w:szCs w:val="28"/>
        </w:rPr>
        <w:t xml:space="preserve">current </w:t>
      </w:r>
      <w:r w:rsidR="00E22BC8">
        <w:rPr>
          <w:rFonts w:ascii="Times New Roman" w:hAnsi="Times New Roman" w:cs="Times New Roman"/>
          <w:sz w:val="28"/>
          <w:szCs w:val="28"/>
        </w:rPr>
        <w:t>Petition</w:t>
      </w:r>
      <w:r>
        <w:rPr>
          <w:rFonts w:ascii="Times New Roman" w:hAnsi="Times New Roman" w:cs="Times New Roman"/>
          <w:sz w:val="28"/>
          <w:szCs w:val="28"/>
        </w:rPr>
        <w:t xml:space="preserve"> during this rules cycle.  But if that recommendation is rejected, there are several changes that must be made.</w:t>
      </w:r>
    </w:p>
    <w:p w:rsidR="00CA0BEA" w:rsidRPr="00CA0BEA" w:rsidRDefault="00CA0BEA" w:rsidP="00CA0BEA">
      <w:pPr>
        <w:pStyle w:val="Default"/>
        <w:spacing w:line="480" w:lineRule="auto"/>
        <w:ind w:firstLine="4"/>
        <w:jc w:val="both"/>
        <w:rPr>
          <w:rFonts w:ascii="Times New Roman" w:hAnsi="Times New Roman" w:cs="Times New Roman"/>
          <w:sz w:val="28"/>
          <w:szCs w:val="28"/>
        </w:rPr>
      </w:pPr>
      <w:r>
        <w:rPr>
          <w:rFonts w:ascii="Times New Roman" w:hAnsi="Times New Roman" w:cs="Times New Roman"/>
          <w:sz w:val="28"/>
          <w:szCs w:val="28"/>
        </w:rPr>
        <w:tab/>
        <w:t xml:space="preserve">Proposed Rule 4.2(A)(8) should be deleted in its entirely because under A.R.S. § 13-3961(E), the court only considers the danger to the community issue on motion of the State.  </w:t>
      </w:r>
      <w:r w:rsidR="00026C65">
        <w:rPr>
          <w:rFonts w:ascii="Times New Roman" w:hAnsi="Times New Roman" w:cs="Times New Roman"/>
          <w:sz w:val="28"/>
          <w:szCs w:val="28"/>
        </w:rPr>
        <w:t xml:space="preserve">Proposed Rule 7.2(4), requires a bail eligibility hearing to be held within seven days after the initial appearance, but that directly contradicts A.R.S. § 13-3961(E) which requires a hearing within 24 hours.  Although there was general consensus amongst criminal practitioners and courts that 24 hours is not realistic or workable, the rule cannot expand a statutory 24 hour time period to seven days.  The reality of this compressed time period makes the new rule’s attempt to intertwine the bail eligibility hearing and the preliminary hearing under Rule 5.4 unreasonable.  Rule 5.4 gives the State 10 days to bring a preliminary hearing for the purposes of determining probable cause for in-custody defendants.  That time period cannot be compressed to 24 hours.  Thus, if this court is to adopt this proposed rule to create a bail eligibility hearing, the portion of that rule requiring the court to find probable cause under Rule 7.2(b)(4) should be removed.  Additionally the proposed additional language under </w:t>
      </w:r>
      <w:r w:rsidR="00142943">
        <w:rPr>
          <w:rFonts w:ascii="Times New Roman" w:hAnsi="Times New Roman" w:cs="Times New Roman"/>
          <w:sz w:val="28"/>
          <w:szCs w:val="28"/>
        </w:rPr>
        <w:t xml:space="preserve">Rule 5.1(4) and </w:t>
      </w:r>
      <w:r w:rsidR="00026C65">
        <w:rPr>
          <w:rFonts w:ascii="Times New Roman" w:hAnsi="Times New Roman" w:cs="Times New Roman"/>
          <w:sz w:val="28"/>
          <w:szCs w:val="28"/>
        </w:rPr>
        <w:t>Rule</w:t>
      </w:r>
      <w:r w:rsidR="004F06FD">
        <w:rPr>
          <w:rFonts w:ascii="Times New Roman" w:hAnsi="Times New Roman" w:cs="Times New Roman"/>
          <w:sz w:val="28"/>
          <w:szCs w:val="28"/>
        </w:rPr>
        <w:t xml:space="preserve"> 5.4(a) should be deleted as well as p</w:t>
      </w:r>
      <w:r w:rsidR="00026C65">
        <w:rPr>
          <w:rFonts w:ascii="Times New Roman" w:hAnsi="Times New Roman" w:cs="Times New Roman"/>
          <w:sz w:val="28"/>
          <w:szCs w:val="28"/>
        </w:rPr>
        <w:t>ropos</w:t>
      </w:r>
      <w:r w:rsidR="004F06FD">
        <w:rPr>
          <w:rFonts w:ascii="Times New Roman" w:hAnsi="Times New Roman" w:cs="Times New Roman"/>
          <w:sz w:val="28"/>
          <w:szCs w:val="28"/>
        </w:rPr>
        <w:t xml:space="preserve">ed </w:t>
      </w:r>
      <w:r w:rsidR="00026C65">
        <w:rPr>
          <w:rFonts w:ascii="Times New Roman" w:hAnsi="Times New Roman" w:cs="Times New Roman"/>
          <w:sz w:val="28"/>
          <w:szCs w:val="28"/>
        </w:rPr>
        <w:t>Rule 7.4(c) and (d)</w:t>
      </w:r>
      <w:r w:rsidR="004F06FD">
        <w:rPr>
          <w:rFonts w:ascii="Times New Roman" w:hAnsi="Times New Roman" w:cs="Times New Roman"/>
          <w:sz w:val="28"/>
          <w:szCs w:val="28"/>
        </w:rPr>
        <w:t>.</w:t>
      </w:r>
      <w:r w:rsidR="00026C65">
        <w:rPr>
          <w:rFonts w:ascii="Times New Roman" w:hAnsi="Times New Roman" w:cs="Times New Roman"/>
          <w:sz w:val="28"/>
          <w:szCs w:val="28"/>
        </w:rPr>
        <w:t xml:space="preserve"> </w:t>
      </w:r>
    </w:p>
    <w:p w:rsidR="00126081" w:rsidRDefault="00126081" w:rsidP="00126081">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To be consistent with </w:t>
      </w:r>
      <w:r w:rsidR="00DB5A0F">
        <w:rPr>
          <w:kern w:val="2"/>
          <w:sz w:val="28"/>
          <w:szCs w:val="28"/>
        </w:rPr>
        <w:t xml:space="preserve">this Court’s decision in </w:t>
      </w:r>
      <w:r w:rsidRPr="00F6410C">
        <w:rPr>
          <w:i/>
          <w:kern w:val="2"/>
          <w:sz w:val="28"/>
          <w:szCs w:val="28"/>
        </w:rPr>
        <w:t>Simpson</w:t>
      </w:r>
      <w:r>
        <w:rPr>
          <w:kern w:val="2"/>
          <w:sz w:val="28"/>
          <w:szCs w:val="28"/>
        </w:rPr>
        <w:t>, if a change to Rule 7.2(b) is made,  proposed Rule 7.2(b)(1) should read, “. . . the proof is evident or the presumption great that the person committed a capital offense, a sexual assault, or any felony offense committed while the person was on pretrial release</w:t>
      </w:r>
      <w:r w:rsidRPr="00F6410C">
        <w:rPr>
          <w:rStyle w:val="FootnoteReference"/>
          <w:kern w:val="2"/>
          <w:sz w:val="28"/>
          <w:szCs w:val="28"/>
          <w:vertAlign w:val="superscript"/>
        </w:rPr>
        <w:footnoteReference w:id="1"/>
      </w:r>
      <w:r>
        <w:rPr>
          <w:kern w:val="2"/>
          <w:sz w:val="28"/>
          <w:szCs w:val="28"/>
        </w:rPr>
        <w:t xml:space="preserve"> for a separate felony offense.”   </w:t>
      </w:r>
      <w:r w:rsidR="004F06FD">
        <w:rPr>
          <w:kern w:val="2"/>
          <w:sz w:val="28"/>
          <w:szCs w:val="28"/>
        </w:rPr>
        <w:t>For consistency and clarity, the same change should be made to proposed Rule 4.2(a)(7)(A) to read, “The defendant committed a capital offense, a sexual assault, or any felony offense committed while the person was on pretrial release for a separate felony offense.”</w:t>
      </w:r>
      <w:r w:rsidR="004F06FD" w:rsidRPr="004F06FD">
        <w:rPr>
          <w:rStyle w:val="FootnoteReference"/>
          <w:kern w:val="2"/>
          <w:sz w:val="28"/>
          <w:szCs w:val="28"/>
          <w:vertAlign w:val="superscript"/>
        </w:rPr>
        <w:footnoteReference w:id="2"/>
      </w:r>
      <w:r w:rsidR="004F06FD">
        <w:rPr>
          <w:kern w:val="2"/>
          <w:sz w:val="28"/>
          <w:szCs w:val="28"/>
        </w:rPr>
        <w:t xml:space="preserve">  </w:t>
      </w:r>
    </w:p>
    <w:p w:rsidR="00126081" w:rsidRDefault="00142943"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b/>
          <w:kern w:val="2"/>
          <w:sz w:val="28"/>
          <w:szCs w:val="28"/>
        </w:rPr>
        <w:t xml:space="preserve">B. </w:t>
      </w:r>
      <w:r>
        <w:rPr>
          <w:b/>
          <w:kern w:val="2"/>
          <w:sz w:val="28"/>
          <w:szCs w:val="28"/>
        </w:rPr>
        <w:tab/>
        <w:t>P</w:t>
      </w:r>
      <w:r w:rsidR="00207086">
        <w:rPr>
          <w:b/>
          <w:kern w:val="2"/>
          <w:sz w:val="28"/>
          <w:szCs w:val="28"/>
        </w:rPr>
        <w:t>roposed Rule 7.4(d) contains an</w:t>
      </w:r>
      <w:r>
        <w:rPr>
          <w:b/>
          <w:kern w:val="2"/>
          <w:sz w:val="28"/>
          <w:szCs w:val="28"/>
        </w:rPr>
        <w:t xml:space="preserve"> undefined standard of proof.</w:t>
      </w:r>
    </w:p>
    <w:p w:rsidR="00142943" w:rsidRPr="00142943" w:rsidRDefault="00142943"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Although proposed Rule 7.4(d) should not be adopted as explained above because is it part of the attempt to blend bail eligibility hearings and preliminary hearings which is unworkable given the 24 hour time limitations, if this Court adopts Rule 7.4(d) in some form, it must be corrected.  As currently proposed, the rule requires discharge of the defendant if “there is not </w:t>
      </w:r>
      <w:r w:rsidRPr="00142943">
        <w:rPr>
          <w:b/>
          <w:kern w:val="2"/>
          <w:sz w:val="28"/>
          <w:szCs w:val="28"/>
          <w:u w:val="single"/>
        </w:rPr>
        <w:t>substantial</w:t>
      </w:r>
      <w:r>
        <w:rPr>
          <w:kern w:val="2"/>
          <w:sz w:val="28"/>
          <w:szCs w:val="28"/>
        </w:rPr>
        <w:t xml:space="preserve"> evidence of probable cause to believe that an offense has been committed and that the defendant committed it . . .” (emphasis added).  This rewording does not track the language of current Rule 5.4(d) which was presumably the basis for this proposed rule.  Current Rule 5.4(d) states, “If it appears from the evidence that there is not probable cause to believe that an offense has been committed or that the defendant committed it, . . .”.</w:t>
      </w:r>
      <w:r w:rsidR="00DD1447">
        <w:rPr>
          <w:kern w:val="2"/>
          <w:sz w:val="28"/>
          <w:szCs w:val="28"/>
        </w:rPr>
        <w:t xml:space="preserve">  The proposed new rule adds the word “substantial” before probable cause creating a new, undefined burden of proof.  Under Rule 5.4(a), a defendant must be held to answer based on probable cause – not “substantial” probable case.  The addition of this word in the proposed rule would cause confusion and was, presumably, simply an oversight.  Should this Court adopt any version of the proposed modified Rule 7.4, this extraneous word must be removed.</w:t>
      </w:r>
    </w:p>
    <w:p w:rsidR="004E25D4" w:rsidRDefault="004E25D4" w:rsidP="00DD1447">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u w:val="single"/>
        </w:rPr>
      </w:pPr>
      <w:r>
        <w:rPr>
          <w:b/>
          <w:kern w:val="2"/>
          <w:sz w:val="28"/>
          <w:szCs w:val="28"/>
        </w:rPr>
        <w:t>II.</w:t>
      </w:r>
      <w:r>
        <w:rPr>
          <w:b/>
          <w:kern w:val="2"/>
          <w:sz w:val="28"/>
          <w:szCs w:val="28"/>
        </w:rPr>
        <w:tab/>
      </w:r>
      <w:r>
        <w:rPr>
          <w:b/>
          <w:kern w:val="2"/>
          <w:sz w:val="28"/>
          <w:szCs w:val="28"/>
          <w:u w:val="single"/>
        </w:rPr>
        <w:t>Conclusion</w:t>
      </w:r>
    </w:p>
    <w:p w:rsidR="00DD1447" w:rsidRDefault="00DD1447" w:rsidP="00DD1447">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u w:val="single"/>
        </w:rPr>
      </w:pPr>
      <w:r>
        <w:rPr>
          <w:b/>
          <w:kern w:val="2"/>
          <w:sz w:val="28"/>
          <w:szCs w:val="28"/>
        </w:rPr>
        <w:tab/>
      </w:r>
      <w:r>
        <w:rPr>
          <w:kern w:val="2"/>
          <w:sz w:val="28"/>
          <w:szCs w:val="28"/>
        </w:rPr>
        <w:t xml:space="preserve">Much of the current </w:t>
      </w:r>
      <w:r w:rsidR="00E22BC8">
        <w:rPr>
          <w:kern w:val="2"/>
          <w:sz w:val="28"/>
          <w:szCs w:val="28"/>
        </w:rPr>
        <w:t>Petition</w:t>
      </w:r>
      <w:r>
        <w:rPr>
          <w:kern w:val="2"/>
          <w:sz w:val="28"/>
          <w:szCs w:val="28"/>
        </w:rPr>
        <w:t xml:space="preserve"> was based on a legislative statutory change that was not adopted.  Given that fact, the best course of action would be to have the Task Force reconsider their recommendations and present a new proposal, if necessary, next January.  However, if this Court seeks to adopt some of these changes it is important that they be consistent with our statutes.</w:t>
      </w:r>
    </w:p>
    <w:p w:rsidR="00DD1447" w:rsidRDefault="00DD1447" w:rsidP="00DD144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sidRPr="00240AD0">
        <w:rPr>
          <w:kern w:val="2"/>
          <w:sz w:val="28"/>
          <w:szCs w:val="28"/>
        </w:rPr>
        <w:t xml:space="preserve">Respectfully submitted this </w:t>
      </w:r>
      <w:r>
        <w:rPr>
          <w:kern w:val="2"/>
          <w:sz w:val="28"/>
          <w:szCs w:val="28"/>
        </w:rPr>
        <w:t>22</w:t>
      </w:r>
      <w:r w:rsidRPr="00DD1447">
        <w:rPr>
          <w:kern w:val="2"/>
          <w:sz w:val="28"/>
          <w:szCs w:val="28"/>
          <w:vertAlign w:val="superscript"/>
        </w:rPr>
        <w:t>nd</w:t>
      </w:r>
      <w:r>
        <w:rPr>
          <w:kern w:val="2"/>
          <w:sz w:val="28"/>
          <w:szCs w:val="28"/>
        </w:rPr>
        <w:t xml:space="preserve"> </w:t>
      </w:r>
      <w:r w:rsidRPr="00240AD0">
        <w:rPr>
          <w:kern w:val="2"/>
          <w:sz w:val="28"/>
          <w:szCs w:val="28"/>
        </w:rPr>
        <w:t>day of</w:t>
      </w:r>
      <w:r>
        <w:rPr>
          <w:kern w:val="2"/>
          <w:sz w:val="28"/>
          <w:szCs w:val="28"/>
        </w:rPr>
        <w:t xml:space="preserve"> May</w:t>
      </w:r>
      <w:r w:rsidRPr="00240AD0">
        <w:rPr>
          <w:kern w:val="2"/>
          <w:sz w:val="28"/>
          <w:szCs w:val="28"/>
        </w:rPr>
        <w:t>, 20</w:t>
      </w:r>
      <w:r>
        <w:rPr>
          <w:kern w:val="2"/>
          <w:sz w:val="28"/>
          <w:szCs w:val="28"/>
        </w:rPr>
        <w:t>17</w:t>
      </w:r>
      <w:r w:rsidRPr="00240AD0">
        <w:rPr>
          <w:kern w:val="2"/>
          <w:sz w:val="28"/>
          <w:szCs w:val="28"/>
        </w:rPr>
        <w:t>.</w:t>
      </w:r>
    </w:p>
    <w:p w:rsidR="00DD1447" w:rsidRPr="00240AD0" w:rsidRDefault="00DD1447" w:rsidP="00DD144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DD1447" w:rsidRPr="00240AD0" w:rsidRDefault="00DD1447" w:rsidP="00DD144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DD1447" w:rsidRPr="00240AD0" w:rsidRDefault="00DD1447" w:rsidP="00DD144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DD1447" w:rsidRDefault="00DD1447" w:rsidP="00DD144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DD1447" w:rsidRDefault="00DD1447" w:rsidP="00DD144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DD1447" w:rsidRPr="0080485A" w:rsidRDefault="00DD1447" w:rsidP="00DD1447">
      <w:pPr>
        <w:keepLines/>
        <w:ind w:left="3600" w:firstLine="720"/>
        <w:rPr>
          <w:rFonts w:cs="Arial"/>
          <w:szCs w:val="24"/>
        </w:rPr>
      </w:pPr>
      <w:r w:rsidRPr="002D22F7">
        <w:rPr>
          <w:rFonts w:cs="Arial"/>
          <w:sz w:val="28"/>
          <w:szCs w:val="28"/>
        </w:rPr>
        <w:t>By</w:t>
      </w:r>
      <w:r w:rsidRPr="0080485A">
        <w:rPr>
          <w:rFonts w:cs="Arial"/>
          <w:szCs w:val="24"/>
        </w:rPr>
        <w:t>______________________</w:t>
      </w:r>
    </w:p>
    <w:p w:rsidR="00DD1447" w:rsidRDefault="00DD1447" w:rsidP="00DD144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MARK FAULL</w:t>
      </w:r>
    </w:p>
    <w:p w:rsidR="00DD1447" w:rsidRDefault="00DD1447" w:rsidP="00DD144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Chief Deputy</w:t>
      </w:r>
    </w:p>
    <w:p w:rsidR="00DD1447" w:rsidRDefault="00DD1447" w:rsidP="00DD1447">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kern w:val="2"/>
          <w:sz w:val="28"/>
          <w:szCs w:val="28"/>
          <w:u w:val="single"/>
        </w:rPr>
      </w:pPr>
    </w:p>
    <w:p w:rsidR="00DD1447" w:rsidRDefault="00DD1447"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b/>
          <w:kern w:val="2"/>
          <w:sz w:val="28"/>
          <w:szCs w:val="28"/>
          <w:u w:val="single"/>
        </w:rPr>
      </w:pPr>
    </w:p>
    <w:p w:rsidR="00DD1447" w:rsidRPr="004E25D4" w:rsidRDefault="00DD1447" w:rsidP="0061060B">
      <w:pPr>
        <w:widowControl/>
        <w:tabs>
          <w:tab w:val="left" w:pos="0"/>
          <w:tab w:val="left" w:pos="720"/>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b/>
          <w:kern w:val="2"/>
          <w:sz w:val="28"/>
          <w:szCs w:val="28"/>
          <w:u w:val="single"/>
        </w:rPr>
      </w:pPr>
    </w:p>
    <w:p w:rsidR="004E25D4" w:rsidRDefault="004E25D4"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E25D4" w:rsidRDefault="004E25D4"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E25D4" w:rsidRDefault="004E25D4"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E25D4" w:rsidRPr="002D22F7" w:rsidRDefault="004E25D4"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4E25D4"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2" w:rsidRDefault="00A42C92">
      <w:r>
        <w:separator/>
      </w:r>
    </w:p>
  </w:endnote>
  <w:endnote w:type="continuationSeparator" w:id="0">
    <w:p w:rsidR="00A42C92" w:rsidRDefault="00A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2831E8">
      <w:rPr>
        <w:noProof/>
        <w:sz w:val="20"/>
      </w:rPr>
      <w:t>1</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2" w:rsidRDefault="00A42C92">
      <w:r>
        <w:separator/>
      </w:r>
    </w:p>
  </w:footnote>
  <w:footnote w:type="continuationSeparator" w:id="0">
    <w:p w:rsidR="00A42C92" w:rsidRDefault="00A42C92">
      <w:r>
        <w:continuationSeparator/>
      </w:r>
    </w:p>
  </w:footnote>
  <w:footnote w:id="1">
    <w:p w:rsidR="00126081" w:rsidRDefault="00126081" w:rsidP="00DD1447">
      <w:pPr>
        <w:pStyle w:val="FootnoteText"/>
        <w:jc w:val="both"/>
        <w:rPr>
          <w:sz w:val="28"/>
          <w:szCs w:val="28"/>
        </w:rPr>
      </w:pPr>
      <w:r w:rsidRPr="00F6410C">
        <w:rPr>
          <w:rStyle w:val="FootnoteReference"/>
          <w:vertAlign w:val="superscript"/>
        </w:rPr>
        <w:footnoteRef/>
      </w:r>
      <w:r>
        <w:t xml:space="preserve"> </w:t>
      </w:r>
      <w:r w:rsidR="00DD1447">
        <w:t xml:space="preserve"> </w:t>
      </w:r>
      <w:r>
        <w:rPr>
          <w:sz w:val="28"/>
          <w:szCs w:val="28"/>
        </w:rPr>
        <w:t xml:space="preserve">Although the constitution uses the phrase “admitted to bail” in the context of a person committing a new felony while on release, this Court has held that this phrase includes everyone released pending trial.  </w:t>
      </w:r>
      <w:r>
        <w:rPr>
          <w:i/>
          <w:sz w:val="28"/>
          <w:szCs w:val="28"/>
        </w:rPr>
        <w:t>Heath</w:t>
      </w:r>
      <w:r>
        <w:rPr>
          <w:sz w:val="28"/>
          <w:szCs w:val="28"/>
        </w:rPr>
        <w:t xml:space="preserve"> v. </w:t>
      </w:r>
      <w:r>
        <w:rPr>
          <w:i/>
          <w:sz w:val="28"/>
          <w:szCs w:val="28"/>
        </w:rPr>
        <w:t>Kiger</w:t>
      </w:r>
      <w:r>
        <w:rPr>
          <w:sz w:val="28"/>
          <w:szCs w:val="28"/>
        </w:rPr>
        <w:t>, 217 Ariz. 492, 496-97, ¶¶ 14-16, 176 P.3d 690, 694-95 (2008).</w:t>
      </w:r>
    </w:p>
    <w:p w:rsidR="004F06FD" w:rsidRPr="00DB3535" w:rsidRDefault="004F06FD" w:rsidP="00126081">
      <w:pPr>
        <w:pStyle w:val="FootnoteText"/>
        <w:rPr>
          <w:sz w:val="28"/>
          <w:szCs w:val="28"/>
        </w:rPr>
      </w:pPr>
    </w:p>
  </w:footnote>
  <w:footnote w:id="2">
    <w:p w:rsidR="004F06FD" w:rsidRPr="004F06FD" w:rsidRDefault="004F06FD" w:rsidP="004F06FD">
      <w:pPr>
        <w:pStyle w:val="FootnoteText"/>
        <w:jc w:val="both"/>
        <w:rPr>
          <w:sz w:val="28"/>
          <w:szCs w:val="28"/>
        </w:rPr>
      </w:pPr>
      <w:r w:rsidRPr="004F06FD">
        <w:rPr>
          <w:rStyle w:val="FootnoteReference"/>
          <w:vertAlign w:val="superscript"/>
        </w:rPr>
        <w:footnoteRef/>
      </w:r>
      <w:r w:rsidRPr="004F06FD">
        <w:rPr>
          <w:vertAlign w:val="superscript"/>
        </w:rPr>
        <w:t xml:space="preserve"> </w:t>
      </w:r>
      <w:r>
        <w:rPr>
          <w:vertAlign w:val="superscript"/>
        </w:rPr>
        <w:t xml:space="preserve"> </w:t>
      </w:r>
      <w:r w:rsidR="00DD1447">
        <w:rPr>
          <w:sz w:val="28"/>
          <w:szCs w:val="28"/>
        </w:rPr>
        <w:t>P</w:t>
      </w:r>
      <w:r w:rsidRPr="004F06FD">
        <w:rPr>
          <w:sz w:val="28"/>
          <w:szCs w:val="28"/>
        </w:rPr>
        <w:t xml:space="preserve">roposed Rule 4.2(a)(7)(b) would be clearer if the reference to the constitution was omitted.  There is no reason for it to be there because the rest of that sentence describes the constitutional provision.  It should simply read, “The defendant committed a felony </w:t>
      </w:r>
      <w:r>
        <w:rPr>
          <w:sz w:val="28"/>
          <w:szCs w:val="28"/>
        </w:rPr>
        <w:t xml:space="preserve">and </w:t>
      </w:r>
      <w:r w:rsidRPr="004F06FD">
        <w:rPr>
          <w:sz w:val="28"/>
          <w:szCs w:val="28"/>
        </w:rPr>
        <w:t xml:space="preserve">the defendant poses a substantial danger </w:t>
      </w:r>
      <w:r>
        <w:rPr>
          <w:sz w:val="28"/>
          <w:szCs w:val="28"/>
        </w:rPr>
        <w:t xml:space="preserve">to others, or the defendant engaged in a </w:t>
      </w:r>
      <w:r w:rsidR="00DB5A0F">
        <w:rPr>
          <w:sz w:val="28"/>
          <w:szCs w:val="28"/>
        </w:rPr>
        <w:t>dangerous crime against children or terrorism</w:t>
      </w:r>
      <w:r>
        <w:rPr>
          <w:sz w:val="28"/>
          <w:szCs w:val="28"/>
        </w:rPr>
        <w:t xml:space="preserve">, </w:t>
      </w:r>
      <w:r w:rsidRPr="004F06FD">
        <w:rPr>
          <w:sz w:val="28"/>
          <w:szCs w:val="28"/>
        </w:rPr>
        <w:t>and no conditions of release will reasonably assure the safety of another person or the community.”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4AF2477E" wp14:editId="4BAD8257">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A6E2E14" wp14:editId="4FEA9360">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7524A91B" wp14:editId="1A786BD8">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4F75"/>
    <w:rsid w:val="000206EB"/>
    <w:rsid w:val="00026C65"/>
    <w:rsid w:val="00033D41"/>
    <w:rsid w:val="000356B6"/>
    <w:rsid w:val="000540CA"/>
    <w:rsid w:val="00062AD9"/>
    <w:rsid w:val="0008623F"/>
    <w:rsid w:val="00091266"/>
    <w:rsid w:val="000A5238"/>
    <w:rsid w:val="000A639F"/>
    <w:rsid w:val="000A6D9F"/>
    <w:rsid w:val="000C72BC"/>
    <w:rsid w:val="00126081"/>
    <w:rsid w:val="00142943"/>
    <w:rsid w:val="001462C8"/>
    <w:rsid w:val="00151ED9"/>
    <w:rsid w:val="00160A0A"/>
    <w:rsid w:val="00172749"/>
    <w:rsid w:val="00177463"/>
    <w:rsid w:val="00186E0B"/>
    <w:rsid w:val="001A7B95"/>
    <w:rsid w:val="001C177E"/>
    <w:rsid w:val="001F129E"/>
    <w:rsid w:val="00207086"/>
    <w:rsid w:val="002344A9"/>
    <w:rsid w:val="00240AD0"/>
    <w:rsid w:val="00241C3C"/>
    <w:rsid w:val="00264DAB"/>
    <w:rsid w:val="002831E8"/>
    <w:rsid w:val="00291F6B"/>
    <w:rsid w:val="00296C13"/>
    <w:rsid w:val="002A47F1"/>
    <w:rsid w:val="002B7D2E"/>
    <w:rsid w:val="002C701F"/>
    <w:rsid w:val="002C702F"/>
    <w:rsid w:val="002D22F7"/>
    <w:rsid w:val="002F2A78"/>
    <w:rsid w:val="002F3EB1"/>
    <w:rsid w:val="002F499A"/>
    <w:rsid w:val="00313306"/>
    <w:rsid w:val="003165C9"/>
    <w:rsid w:val="00330B95"/>
    <w:rsid w:val="003616F4"/>
    <w:rsid w:val="00375DCD"/>
    <w:rsid w:val="00375E59"/>
    <w:rsid w:val="00386A35"/>
    <w:rsid w:val="003968B9"/>
    <w:rsid w:val="004363FF"/>
    <w:rsid w:val="00444AB3"/>
    <w:rsid w:val="00466C3A"/>
    <w:rsid w:val="00480D6D"/>
    <w:rsid w:val="004851FD"/>
    <w:rsid w:val="00494514"/>
    <w:rsid w:val="004A7039"/>
    <w:rsid w:val="004C3B70"/>
    <w:rsid w:val="004D370F"/>
    <w:rsid w:val="004E25D4"/>
    <w:rsid w:val="004F06FD"/>
    <w:rsid w:val="004F6F2A"/>
    <w:rsid w:val="0054761C"/>
    <w:rsid w:val="00572D5C"/>
    <w:rsid w:val="00583854"/>
    <w:rsid w:val="00585CC4"/>
    <w:rsid w:val="005A782A"/>
    <w:rsid w:val="005F3216"/>
    <w:rsid w:val="005F5F61"/>
    <w:rsid w:val="00601830"/>
    <w:rsid w:val="006027C0"/>
    <w:rsid w:val="0061060B"/>
    <w:rsid w:val="00633330"/>
    <w:rsid w:val="00642713"/>
    <w:rsid w:val="0065463E"/>
    <w:rsid w:val="006619B2"/>
    <w:rsid w:val="006711C7"/>
    <w:rsid w:val="00680D2C"/>
    <w:rsid w:val="006D1833"/>
    <w:rsid w:val="006D3B9E"/>
    <w:rsid w:val="006F1A7C"/>
    <w:rsid w:val="00707B10"/>
    <w:rsid w:val="00714098"/>
    <w:rsid w:val="0078443E"/>
    <w:rsid w:val="0079128E"/>
    <w:rsid w:val="007B2EB9"/>
    <w:rsid w:val="007B686A"/>
    <w:rsid w:val="007D0F12"/>
    <w:rsid w:val="007E0F6A"/>
    <w:rsid w:val="00804992"/>
    <w:rsid w:val="00831EC9"/>
    <w:rsid w:val="008455F6"/>
    <w:rsid w:val="00850C3E"/>
    <w:rsid w:val="0087042E"/>
    <w:rsid w:val="008858DA"/>
    <w:rsid w:val="008A5C26"/>
    <w:rsid w:val="008B718A"/>
    <w:rsid w:val="008C0F15"/>
    <w:rsid w:val="008C3D93"/>
    <w:rsid w:val="00947D99"/>
    <w:rsid w:val="00952701"/>
    <w:rsid w:val="00980F4C"/>
    <w:rsid w:val="009922C0"/>
    <w:rsid w:val="009C08F8"/>
    <w:rsid w:val="009C477B"/>
    <w:rsid w:val="009F35FF"/>
    <w:rsid w:val="00A035EA"/>
    <w:rsid w:val="00A27296"/>
    <w:rsid w:val="00A30908"/>
    <w:rsid w:val="00A34E85"/>
    <w:rsid w:val="00A42C92"/>
    <w:rsid w:val="00A56857"/>
    <w:rsid w:val="00A73F88"/>
    <w:rsid w:val="00A745EF"/>
    <w:rsid w:val="00A97971"/>
    <w:rsid w:val="00AA12EA"/>
    <w:rsid w:val="00AD14AC"/>
    <w:rsid w:val="00AD4953"/>
    <w:rsid w:val="00AD6B2B"/>
    <w:rsid w:val="00AE4D6B"/>
    <w:rsid w:val="00AE75B3"/>
    <w:rsid w:val="00AF5C12"/>
    <w:rsid w:val="00B02B57"/>
    <w:rsid w:val="00B03DED"/>
    <w:rsid w:val="00B04EFF"/>
    <w:rsid w:val="00B13E25"/>
    <w:rsid w:val="00B3764E"/>
    <w:rsid w:val="00B464A5"/>
    <w:rsid w:val="00B532D8"/>
    <w:rsid w:val="00B604A9"/>
    <w:rsid w:val="00B75DC0"/>
    <w:rsid w:val="00BD58C4"/>
    <w:rsid w:val="00BF23F8"/>
    <w:rsid w:val="00BF5583"/>
    <w:rsid w:val="00C001D7"/>
    <w:rsid w:val="00C03076"/>
    <w:rsid w:val="00C20E87"/>
    <w:rsid w:val="00C35878"/>
    <w:rsid w:val="00C453DE"/>
    <w:rsid w:val="00C74C5F"/>
    <w:rsid w:val="00C83859"/>
    <w:rsid w:val="00C966EF"/>
    <w:rsid w:val="00CA0BEA"/>
    <w:rsid w:val="00CA4AE7"/>
    <w:rsid w:val="00CD7181"/>
    <w:rsid w:val="00CF4C05"/>
    <w:rsid w:val="00D40318"/>
    <w:rsid w:val="00D52A27"/>
    <w:rsid w:val="00D54AE8"/>
    <w:rsid w:val="00DB3535"/>
    <w:rsid w:val="00DB5A0F"/>
    <w:rsid w:val="00DC1528"/>
    <w:rsid w:val="00DD1447"/>
    <w:rsid w:val="00DD5CED"/>
    <w:rsid w:val="00DE1278"/>
    <w:rsid w:val="00DE2CD3"/>
    <w:rsid w:val="00DF0BEB"/>
    <w:rsid w:val="00DF191F"/>
    <w:rsid w:val="00DF7741"/>
    <w:rsid w:val="00E00C47"/>
    <w:rsid w:val="00E13078"/>
    <w:rsid w:val="00E22BC8"/>
    <w:rsid w:val="00E52D1F"/>
    <w:rsid w:val="00E6336F"/>
    <w:rsid w:val="00E91B4A"/>
    <w:rsid w:val="00E9533D"/>
    <w:rsid w:val="00EB16EB"/>
    <w:rsid w:val="00ED53CE"/>
    <w:rsid w:val="00EE0233"/>
    <w:rsid w:val="00EE200A"/>
    <w:rsid w:val="00F34B7A"/>
    <w:rsid w:val="00F57CC2"/>
    <w:rsid w:val="00F60EA3"/>
    <w:rsid w:val="00F6410C"/>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customStyle="1" w:styleId="Default">
    <w:name w:val="Default"/>
    <w:rsid w:val="007B686A"/>
    <w:pPr>
      <w:autoSpaceDE w:val="0"/>
      <w:autoSpaceDN w:val="0"/>
      <w:adjustRightInd w:val="0"/>
    </w:pPr>
    <w:rPr>
      <w:rFonts w:ascii="Arial" w:hAnsi="Arial" w:cs="Arial"/>
      <w:color w:val="000000"/>
      <w:sz w:val="24"/>
      <w:szCs w:val="24"/>
    </w:rPr>
  </w:style>
  <w:style w:type="paragraph" w:styleId="Header">
    <w:name w:val="header"/>
    <w:basedOn w:val="Normal"/>
    <w:link w:val="HeaderChar"/>
    <w:rsid w:val="00E22BC8"/>
    <w:pPr>
      <w:tabs>
        <w:tab w:val="center" w:pos="4680"/>
        <w:tab w:val="right" w:pos="9360"/>
      </w:tabs>
    </w:pPr>
  </w:style>
  <w:style w:type="character" w:customStyle="1" w:styleId="HeaderChar">
    <w:name w:val="Header Char"/>
    <w:basedOn w:val="DefaultParagraphFont"/>
    <w:link w:val="Header"/>
    <w:rsid w:val="00E22BC8"/>
    <w:rPr>
      <w:snapToGrid w:val="0"/>
      <w:sz w:val="24"/>
    </w:rPr>
  </w:style>
  <w:style w:type="paragraph" w:styleId="BalloonText">
    <w:name w:val="Balloon Text"/>
    <w:basedOn w:val="Normal"/>
    <w:link w:val="BalloonTextChar"/>
    <w:rsid w:val="007E0F6A"/>
    <w:rPr>
      <w:rFonts w:ascii="Tahoma" w:hAnsi="Tahoma" w:cs="Tahoma"/>
      <w:sz w:val="16"/>
      <w:szCs w:val="16"/>
    </w:rPr>
  </w:style>
  <w:style w:type="character" w:customStyle="1" w:styleId="BalloonTextChar">
    <w:name w:val="Balloon Text Char"/>
    <w:basedOn w:val="DefaultParagraphFont"/>
    <w:link w:val="BalloonText"/>
    <w:rsid w:val="007E0F6A"/>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customStyle="1" w:styleId="Default">
    <w:name w:val="Default"/>
    <w:rsid w:val="007B686A"/>
    <w:pPr>
      <w:autoSpaceDE w:val="0"/>
      <w:autoSpaceDN w:val="0"/>
      <w:adjustRightInd w:val="0"/>
    </w:pPr>
    <w:rPr>
      <w:rFonts w:ascii="Arial" w:hAnsi="Arial" w:cs="Arial"/>
      <w:color w:val="000000"/>
      <w:sz w:val="24"/>
      <w:szCs w:val="24"/>
    </w:rPr>
  </w:style>
  <w:style w:type="paragraph" w:styleId="Header">
    <w:name w:val="header"/>
    <w:basedOn w:val="Normal"/>
    <w:link w:val="HeaderChar"/>
    <w:rsid w:val="00E22BC8"/>
    <w:pPr>
      <w:tabs>
        <w:tab w:val="center" w:pos="4680"/>
        <w:tab w:val="right" w:pos="9360"/>
      </w:tabs>
    </w:pPr>
  </w:style>
  <w:style w:type="character" w:customStyle="1" w:styleId="HeaderChar">
    <w:name w:val="Header Char"/>
    <w:basedOn w:val="DefaultParagraphFont"/>
    <w:link w:val="Header"/>
    <w:rsid w:val="00E22BC8"/>
    <w:rPr>
      <w:snapToGrid w:val="0"/>
      <w:sz w:val="24"/>
    </w:rPr>
  </w:style>
  <w:style w:type="paragraph" w:styleId="BalloonText">
    <w:name w:val="Balloon Text"/>
    <w:basedOn w:val="Normal"/>
    <w:link w:val="BalloonTextChar"/>
    <w:rsid w:val="007E0F6A"/>
    <w:rPr>
      <w:rFonts w:ascii="Tahoma" w:hAnsi="Tahoma" w:cs="Tahoma"/>
      <w:sz w:val="16"/>
      <w:szCs w:val="16"/>
    </w:rPr>
  </w:style>
  <w:style w:type="character" w:customStyle="1" w:styleId="BalloonTextChar">
    <w:name w:val="Balloon Text Char"/>
    <w:basedOn w:val="DefaultParagraphFont"/>
    <w:link w:val="BalloonText"/>
    <w:rsid w:val="007E0F6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FE7D-2924-4DA3-A12B-2F7C821F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1491</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2017-05-22T18:30:00Z</cp:lastPrinted>
  <dcterms:created xsi:type="dcterms:W3CDTF">2017-05-22T18:05:00Z</dcterms:created>
  <dcterms:modified xsi:type="dcterms:W3CDTF">2017-05-22T21:30:00Z</dcterms:modified>
</cp:coreProperties>
</file>