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10F" w:rsidRPr="003F1B73" w:rsidRDefault="00C41807" w:rsidP="00603602">
      <w:pPr>
        <w:pStyle w:val="AttorneyName"/>
        <w:rPr>
          <w:sz w:val="28"/>
        </w:rPr>
      </w:pPr>
      <w:r w:rsidRPr="003F1B73">
        <w:rPr>
          <w:sz w:val="28"/>
        </w:rPr>
        <w:t>Lawrence F. Winthrop</w:t>
      </w:r>
    </w:p>
    <w:p w:rsidR="00C41807" w:rsidRPr="003F1B73" w:rsidRDefault="00C41807" w:rsidP="00603602">
      <w:pPr>
        <w:pStyle w:val="AttorneyName"/>
        <w:rPr>
          <w:sz w:val="28"/>
        </w:rPr>
      </w:pPr>
      <w:r w:rsidRPr="003F1B73">
        <w:rPr>
          <w:sz w:val="28"/>
        </w:rPr>
        <w:t>Arizona Commission on Access to Justice</w:t>
      </w:r>
    </w:p>
    <w:p w:rsidR="0074210F" w:rsidRPr="003F1B73" w:rsidRDefault="00C41807" w:rsidP="00603602">
      <w:pPr>
        <w:pStyle w:val="AttorneyName"/>
        <w:rPr>
          <w:sz w:val="28"/>
        </w:rPr>
      </w:pPr>
      <w:r w:rsidRPr="003F1B73">
        <w:rPr>
          <w:sz w:val="28"/>
        </w:rPr>
        <w:t>1</w:t>
      </w:r>
      <w:r w:rsidR="00BC2145">
        <w:rPr>
          <w:sz w:val="28"/>
        </w:rPr>
        <w:t>501 W. Washington St.</w:t>
      </w:r>
      <w:r w:rsidRPr="003F1B73">
        <w:rPr>
          <w:sz w:val="28"/>
        </w:rPr>
        <w:t>, Suite 410</w:t>
      </w:r>
    </w:p>
    <w:p w:rsidR="00C41807" w:rsidRPr="003F1B73" w:rsidRDefault="00C41807" w:rsidP="00603602">
      <w:pPr>
        <w:pStyle w:val="AttorneyName"/>
        <w:rPr>
          <w:sz w:val="28"/>
        </w:rPr>
      </w:pPr>
      <w:r w:rsidRPr="003F1B73">
        <w:rPr>
          <w:sz w:val="28"/>
        </w:rPr>
        <w:t>Phoenix, AZ 85007</w:t>
      </w:r>
    </w:p>
    <w:p w:rsidR="0074210F" w:rsidRPr="003F1B73" w:rsidRDefault="0074210F" w:rsidP="00546A59">
      <w:pPr>
        <w:pStyle w:val="AttorneyName"/>
        <w:ind w:firstLine="180"/>
        <w:rPr>
          <w:sz w:val="28"/>
        </w:rPr>
      </w:pPr>
    </w:p>
    <w:p w:rsidR="003F1B73" w:rsidRPr="00BC2145" w:rsidRDefault="003F1B73" w:rsidP="00546A59">
      <w:pPr>
        <w:pStyle w:val="CourtName"/>
        <w:ind w:firstLine="180"/>
        <w:rPr>
          <w:rStyle w:val="CourtNameChar"/>
          <w:b/>
          <w:caps/>
          <w:sz w:val="28"/>
        </w:rPr>
      </w:pPr>
      <w:r w:rsidRPr="00BC2145">
        <w:rPr>
          <w:rStyle w:val="CourtNameChar"/>
          <w:b/>
          <w:caps/>
          <w:sz w:val="28"/>
        </w:rPr>
        <w:t>IN THE SUPREME COURT</w:t>
      </w:r>
    </w:p>
    <w:p w:rsidR="0074210F" w:rsidRPr="00BC2145" w:rsidRDefault="003F1B73" w:rsidP="00546A59">
      <w:pPr>
        <w:pStyle w:val="CourtName"/>
        <w:ind w:firstLine="180"/>
        <w:rPr>
          <w:rStyle w:val="CourtNameChar"/>
          <w:b/>
          <w:caps/>
          <w:sz w:val="28"/>
        </w:rPr>
      </w:pPr>
      <w:r w:rsidRPr="00BC2145">
        <w:rPr>
          <w:rStyle w:val="CourtNameChar"/>
          <w:b/>
          <w:caps/>
          <w:sz w:val="28"/>
        </w:rPr>
        <w:t>sTATE OF aRIZONA</w:t>
      </w:r>
    </w:p>
    <w:tbl>
      <w:tblPr>
        <w:tblW w:w="5000" w:type="pct"/>
        <w:tblLayout w:type="fixed"/>
        <w:tblCellMar>
          <w:left w:w="0" w:type="dxa"/>
          <w:right w:w="0" w:type="dxa"/>
        </w:tblCellMar>
        <w:tblLook w:val="04A0" w:firstRow="1" w:lastRow="0" w:firstColumn="1" w:lastColumn="0" w:noHBand="0" w:noVBand="1"/>
        <w:tblDescription w:val="Pleading information"/>
      </w:tblPr>
      <w:tblGrid>
        <w:gridCol w:w="4680"/>
        <w:gridCol w:w="4680"/>
      </w:tblGrid>
      <w:tr w:rsidR="0074210F" w:rsidRPr="003F1B73" w:rsidTr="00BC2145">
        <w:tc>
          <w:tcPr>
            <w:tcW w:w="2500" w:type="pct"/>
          </w:tcPr>
          <w:p w:rsidR="0074210F" w:rsidRDefault="0074210F" w:rsidP="00546A59">
            <w:pPr>
              <w:spacing w:line="264" w:lineRule="auto"/>
              <w:ind w:firstLine="180"/>
              <w:rPr>
                <w:sz w:val="28"/>
              </w:rPr>
            </w:pPr>
          </w:p>
          <w:p w:rsidR="003F1B73" w:rsidRDefault="003F1B73" w:rsidP="00F21976">
            <w:pPr>
              <w:spacing w:line="264" w:lineRule="auto"/>
              <w:ind w:firstLine="0"/>
              <w:rPr>
                <w:sz w:val="28"/>
              </w:rPr>
            </w:pPr>
            <w:r>
              <w:rPr>
                <w:sz w:val="28"/>
              </w:rPr>
              <w:t>In the Matter of:</w:t>
            </w:r>
          </w:p>
          <w:p w:rsidR="003F1B73" w:rsidRDefault="003F1B73" w:rsidP="00F21976">
            <w:pPr>
              <w:spacing w:line="264" w:lineRule="auto"/>
              <w:ind w:firstLine="0"/>
              <w:rPr>
                <w:sz w:val="28"/>
              </w:rPr>
            </w:pPr>
          </w:p>
          <w:p w:rsidR="003F1B73" w:rsidRPr="003F1B73" w:rsidRDefault="003F1B73" w:rsidP="00603602">
            <w:pPr>
              <w:spacing w:line="264" w:lineRule="auto"/>
              <w:ind w:firstLine="0"/>
              <w:rPr>
                <w:sz w:val="28"/>
              </w:rPr>
            </w:pPr>
            <w:r>
              <w:rPr>
                <w:sz w:val="28"/>
              </w:rPr>
              <w:t xml:space="preserve">PETITION TO AMEND </w:t>
            </w:r>
            <w:r w:rsidR="00603602">
              <w:rPr>
                <w:sz w:val="28"/>
              </w:rPr>
              <w:t>RULE 38 OF THE ARIZONA RULES OF THE SUPREME COURT</w:t>
            </w:r>
          </w:p>
        </w:tc>
        <w:tc>
          <w:tcPr>
            <w:tcW w:w="2500" w:type="pct"/>
            <w:tcMar>
              <w:left w:w="115" w:type="dxa"/>
            </w:tcMar>
          </w:tcPr>
          <w:p w:rsidR="003F1B73" w:rsidRDefault="003F1B73" w:rsidP="00546A59">
            <w:pPr>
              <w:pStyle w:val="Pleadingtitle"/>
              <w:ind w:firstLine="180"/>
              <w:rPr>
                <w:sz w:val="28"/>
              </w:rPr>
            </w:pPr>
          </w:p>
          <w:sdt>
            <w:sdtPr>
              <w:rPr>
                <w:sz w:val="28"/>
              </w:rPr>
              <w:alias w:val="Pleading Title"/>
              <w:tag w:val=""/>
              <w:id w:val="1390306954"/>
              <w:placeholder>
                <w:docPart w:val="B65C6A2F30C544CDBB4AB0B6EBA68B9E"/>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0074210F" w:rsidRPr="003F1B73" w:rsidRDefault="006C6655" w:rsidP="006C6655">
                <w:pPr>
                  <w:pStyle w:val="Pleadingtitle"/>
                  <w:rPr>
                    <w:sz w:val="28"/>
                  </w:rPr>
                </w:pPr>
                <w:r>
                  <w:rPr>
                    <w:caps w:val="0"/>
                    <w:sz w:val="28"/>
                  </w:rPr>
                  <w:t>Supreme Court</w:t>
                </w:r>
                <w:r>
                  <w:rPr>
                    <w:caps w:val="0"/>
                    <w:sz w:val="28"/>
                  </w:rPr>
                  <w:br/>
                  <w:t>No</w:t>
                </w:r>
                <w:r>
                  <w:rPr>
                    <w:sz w:val="28"/>
                  </w:rPr>
                  <w:t>. R-16-0047</w:t>
                </w:r>
                <w:r>
                  <w:rPr>
                    <w:sz w:val="28"/>
                  </w:rPr>
                  <w:br/>
                </w:r>
                <w:r>
                  <w:rPr>
                    <w:sz w:val="28"/>
                  </w:rPr>
                  <w:br/>
                </w:r>
                <w:r>
                  <w:rPr>
                    <w:sz w:val="28"/>
                  </w:rPr>
                  <w:br/>
                </w:r>
                <w:r>
                  <w:rPr>
                    <w:sz w:val="28"/>
                  </w:rPr>
                  <w:br/>
                </w:r>
                <w:r>
                  <w:rPr>
                    <w:caps w:val="0"/>
                    <w:sz w:val="28"/>
                  </w:rPr>
                  <w:t>Comment on behalf of Arizona Commission on Access to Justice</w:t>
                </w:r>
              </w:p>
            </w:sdtContent>
          </w:sdt>
        </w:tc>
      </w:tr>
    </w:tbl>
    <w:p w:rsidR="0074210F" w:rsidRPr="003F1B73" w:rsidRDefault="0074210F" w:rsidP="00546A59">
      <w:pPr>
        <w:pStyle w:val="NoSpacing"/>
        <w:ind w:firstLine="180"/>
        <w:rPr>
          <w:sz w:val="28"/>
        </w:rPr>
      </w:pPr>
    </w:p>
    <w:sdt>
      <w:sdtPr>
        <w:rPr>
          <w:sz w:val="28"/>
        </w:rPr>
        <w:id w:val="-991177429"/>
        <w:placeholder>
          <w:docPart w:val="F84A04D47C784808AE881F7EEA766E72"/>
        </w:placeholder>
        <w15:appearance w15:val="hidden"/>
      </w:sdtPr>
      <w:sdtEndPr/>
      <w:sdtContent>
        <w:p w:rsidR="00603602" w:rsidRPr="00603602" w:rsidRDefault="00603602" w:rsidP="00603602">
          <w:pPr>
            <w:ind w:right="180" w:firstLine="720"/>
            <w:jc w:val="both"/>
            <w:rPr>
              <w:sz w:val="28"/>
              <w:szCs w:val="28"/>
            </w:rPr>
          </w:pPr>
          <w:r w:rsidRPr="00603602">
            <w:rPr>
              <w:sz w:val="28"/>
              <w:szCs w:val="28"/>
            </w:rPr>
            <w:t xml:space="preserve">The Arizona Commission on Access to Justice (ACAJ) was established by Administrative Order 2014-83, pursuant to the Court’s </w:t>
          </w:r>
          <w:r w:rsidR="006C6655">
            <w:rPr>
              <w:sz w:val="28"/>
              <w:szCs w:val="28"/>
            </w:rPr>
            <w:t xml:space="preserve">5-year </w:t>
          </w:r>
          <w:r w:rsidRPr="00603602">
            <w:rPr>
              <w:sz w:val="28"/>
              <w:szCs w:val="28"/>
            </w:rPr>
            <w:t xml:space="preserve">strategic agenda of “Advancing Justice Together:  Courts and Communities.”  The order specifically directs the ACAJ, among other things, to make recommendations on increasing and encouraging </w:t>
          </w:r>
          <w:r w:rsidRPr="00603602">
            <w:rPr>
              <w:i/>
              <w:sz w:val="28"/>
              <w:szCs w:val="28"/>
            </w:rPr>
            <w:t>pro bono</w:t>
          </w:r>
          <w:r w:rsidRPr="00603602">
            <w:rPr>
              <w:sz w:val="28"/>
              <w:szCs w:val="28"/>
            </w:rPr>
            <w:t xml:space="preserve"> services by attorneys practicing law in Arizona.</w:t>
          </w:r>
        </w:p>
        <w:p w:rsidR="00603602" w:rsidRPr="00603602" w:rsidRDefault="00603602" w:rsidP="00603602">
          <w:pPr>
            <w:ind w:right="180" w:firstLine="720"/>
            <w:jc w:val="both"/>
            <w:rPr>
              <w:sz w:val="28"/>
              <w:szCs w:val="28"/>
            </w:rPr>
          </w:pPr>
          <w:r w:rsidRPr="00603602">
            <w:rPr>
              <w:sz w:val="28"/>
              <w:szCs w:val="28"/>
            </w:rPr>
            <w:t xml:space="preserve">On behalf of Arizona’s civil legal aid providers in Arizona, the William E. Morris Institute for Justice has submitted Rule Petition R-16-0047 to clarify and facilitate the process by which registered in-house counsel in Arizona can provide volunteer legal services through an approved legal services program.  Through </w:t>
          </w:r>
          <w:r w:rsidRPr="00603602">
            <w:rPr>
              <w:sz w:val="28"/>
              <w:szCs w:val="28"/>
            </w:rPr>
            <w:lastRenderedPageBreak/>
            <w:t xml:space="preserve">previous, and likely </w:t>
          </w:r>
          <w:r w:rsidR="006C6655">
            <w:rPr>
              <w:sz w:val="28"/>
              <w:szCs w:val="28"/>
            </w:rPr>
            <w:t>unintended</w:t>
          </w:r>
          <w:r w:rsidRPr="00603602">
            <w:rPr>
              <w:sz w:val="28"/>
              <w:szCs w:val="28"/>
            </w:rPr>
            <w:t xml:space="preserve">, changes to Rule 38, the process by which registered in-house counsel could qualify to volunteer such services was unnecessarily made more complicated, and </w:t>
          </w:r>
          <w:r w:rsidR="006C6655">
            <w:rPr>
              <w:sz w:val="28"/>
              <w:szCs w:val="28"/>
            </w:rPr>
            <w:t xml:space="preserve">is </w:t>
          </w:r>
          <w:r w:rsidRPr="00603602">
            <w:rPr>
              <w:sz w:val="28"/>
              <w:szCs w:val="28"/>
            </w:rPr>
            <w:t xml:space="preserve">duplicative of </w:t>
          </w:r>
          <w:r w:rsidR="006C6655">
            <w:rPr>
              <w:sz w:val="28"/>
              <w:szCs w:val="28"/>
            </w:rPr>
            <w:t>other</w:t>
          </w:r>
          <w:r w:rsidR="006C6655" w:rsidRPr="00603602">
            <w:rPr>
              <w:sz w:val="28"/>
              <w:szCs w:val="28"/>
            </w:rPr>
            <w:t xml:space="preserve"> </w:t>
          </w:r>
          <w:r w:rsidRPr="00603602">
            <w:rPr>
              <w:sz w:val="28"/>
              <w:szCs w:val="28"/>
            </w:rPr>
            <w:t xml:space="preserve">registration requirements.   This has had the undesired effect of discouraging registered in-house counsel in their desire to perform </w:t>
          </w:r>
          <w:r w:rsidRPr="00603602">
            <w:rPr>
              <w:i/>
              <w:sz w:val="28"/>
              <w:szCs w:val="28"/>
            </w:rPr>
            <w:t>pro bono</w:t>
          </w:r>
          <w:r w:rsidRPr="00603602">
            <w:rPr>
              <w:sz w:val="28"/>
              <w:szCs w:val="28"/>
            </w:rPr>
            <w:t xml:space="preserve"> services.</w:t>
          </w:r>
        </w:p>
        <w:p w:rsidR="00603602" w:rsidRPr="00603602" w:rsidRDefault="00603602" w:rsidP="00603602">
          <w:pPr>
            <w:ind w:right="180" w:firstLine="720"/>
            <w:jc w:val="both"/>
            <w:rPr>
              <w:sz w:val="28"/>
              <w:szCs w:val="28"/>
            </w:rPr>
          </w:pPr>
          <w:r w:rsidRPr="00603602">
            <w:rPr>
              <w:sz w:val="28"/>
              <w:szCs w:val="28"/>
            </w:rPr>
            <w:t>The ACAJ is currently collaborating with the Arizona Chapter of the Association of Corporate Counsel, an organization made up of in-house counsel for a large number of Arizona companies, to promote the delivery of volunteer legal services to underserved and at-risk populations in Arizona.  The lawyers who belong to this Association have both transactional and litigation skills and experience, and range from solo practitioners</w:t>
          </w:r>
          <w:r w:rsidR="006C6655">
            <w:rPr>
              <w:sz w:val="28"/>
              <w:szCs w:val="28"/>
            </w:rPr>
            <w:t xml:space="preserve">, </w:t>
          </w:r>
          <w:r w:rsidRPr="00603602">
            <w:rPr>
              <w:sz w:val="28"/>
              <w:szCs w:val="28"/>
            </w:rPr>
            <w:t xml:space="preserve">who </w:t>
          </w:r>
          <w:r w:rsidR="006C6655">
            <w:rPr>
              <w:sz w:val="28"/>
              <w:szCs w:val="28"/>
            </w:rPr>
            <w:t>may be</w:t>
          </w:r>
          <w:r w:rsidR="006C6655" w:rsidRPr="00603602">
            <w:rPr>
              <w:sz w:val="28"/>
              <w:szCs w:val="28"/>
            </w:rPr>
            <w:t xml:space="preserve"> </w:t>
          </w:r>
          <w:r w:rsidRPr="00603602">
            <w:rPr>
              <w:sz w:val="28"/>
              <w:szCs w:val="28"/>
            </w:rPr>
            <w:t>part of a small corporate/business entity, to members of a</w:t>
          </w:r>
          <w:r w:rsidR="006D3488">
            <w:rPr>
              <w:sz w:val="28"/>
              <w:szCs w:val="28"/>
            </w:rPr>
            <w:t>n</w:t>
          </w:r>
          <w:r w:rsidRPr="00603602">
            <w:rPr>
              <w:sz w:val="28"/>
              <w:szCs w:val="28"/>
            </w:rPr>
            <w:t xml:space="preserve"> in-house </w:t>
          </w:r>
          <w:r w:rsidR="006C6655">
            <w:rPr>
              <w:sz w:val="28"/>
              <w:szCs w:val="28"/>
            </w:rPr>
            <w:t xml:space="preserve">corporate </w:t>
          </w:r>
          <w:r w:rsidRPr="00603602">
            <w:rPr>
              <w:sz w:val="28"/>
              <w:szCs w:val="28"/>
            </w:rPr>
            <w:t xml:space="preserve">legal team, with expertise in local, state, national and international legal issues.  The Association has an active </w:t>
          </w:r>
          <w:r w:rsidRPr="00603602">
            <w:rPr>
              <w:i/>
              <w:sz w:val="28"/>
              <w:szCs w:val="28"/>
            </w:rPr>
            <w:t>Pro Bono</w:t>
          </w:r>
          <w:r w:rsidRPr="00603602">
            <w:rPr>
              <w:sz w:val="28"/>
              <w:szCs w:val="28"/>
            </w:rPr>
            <w:t xml:space="preserve"> Committee, chaired by Mr. Kevin Groman, and has publicly announced its commitment to providing volunteer legal services</w:t>
          </w:r>
          <w:r w:rsidR="006C6655">
            <w:rPr>
              <w:sz w:val="28"/>
              <w:szCs w:val="28"/>
            </w:rPr>
            <w:t xml:space="preserve"> in Arizona</w:t>
          </w:r>
          <w:r w:rsidRPr="00603602">
            <w:rPr>
              <w:sz w:val="28"/>
              <w:szCs w:val="28"/>
            </w:rPr>
            <w:t xml:space="preserve">.  In that regard, the Association has already </w:t>
          </w:r>
          <w:r w:rsidR="006C6655">
            <w:rPr>
              <w:sz w:val="28"/>
              <w:szCs w:val="28"/>
            </w:rPr>
            <w:t>launched</w:t>
          </w:r>
          <w:r w:rsidRPr="00603602">
            <w:rPr>
              <w:sz w:val="28"/>
              <w:szCs w:val="28"/>
            </w:rPr>
            <w:t xml:space="preserve"> discrete projects, such as serving as volunteer mediators in Maricopa County’s Commercial Court, helping staff (in conjunction with law students from the University of Arizona and </w:t>
          </w:r>
          <w:r w:rsidRPr="00603602">
            <w:rPr>
              <w:sz w:val="28"/>
              <w:szCs w:val="28"/>
            </w:rPr>
            <w:lastRenderedPageBreak/>
            <w:t>Arizona State University) an Entrepreneurship Clinic to assist at-risk individuals in their efforts to start a business, and to provide volunteer legal services for the Armory, a new non-profit entity that assists veterans who want to start a business here in Arizona.</w:t>
          </w:r>
        </w:p>
        <w:p w:rsidR="00603602" w:rsidRPr="00603602" w:rsidRDefault="00603602" w:rsidP="00603602">
          <w:pPr>
            <w:ind w:right="180" w:firstLine="720"/>
            <w:jc w:val="both"/>
            <w:rPr>
              <w:sz w:val="28"/>
              <w:szCs w:val="28"/>
            </w:rPr>
          </w:pPr>
          <w:r w:rsidRPr="00603602">
            <w:rPr>
              <w:sz w:val="28"/>
              <w:szCs w:val="28"/>
            </w:rPr>
            <w:t xml:space="preserve">Other corporate counsel </w:t>
          </w:r>
          <w:r w:rsidRPr="00603602">
            <w:rPr>
              <w:i/>
              <w:sz w:val="28"/>
              <w:szCs w:val="28"/>
            </w:rPr>
            <w:t>pro bono</w:t>
          </w:r>
          <w:r w:rsidRPr="00603602">
            <w:rPr>
              <w:sz w:val="28"/>
              <w:szCs w:val="28"/>
            </w:rPr>
            <w:t xml:space="preserve"> projects are equally valuable:  Intel, through the leadership of Dan Christensen, runs a monthly debt counseling clinic under the direction and supervision of Community Legal Services.  The in-house legal departments of Arizona Public Service and Salt River Project likewise have important on-going </w:t>
          </w:r>
          <w:r w:rsidRPr="00603602">
            <w:rPr>
              <w:i/>
              <w:sz w:val="28"/>
              <w:szCs w:val="28"/>
            </w:rPr>
            <w:t>pro bono</w:t>
          </w:r>
          <w:r w:rsidRPr="00603602">
            <w:rPr>
              <w:sz w:val="28"/>
              <w:szCs w:val="28"/>
            </w:rPr>
            <w:t xml:space="preserve"> projects that provide much-needed legal services to veterans and other at-risk populations.  </w:t>
          </w:r>
        </w:p>
        <w:p w:rsidR="00603602" w:rsidRPr="00603602" w:rsidRDefault="00603602" w:rsidP="00603602">
          <w:pPr>
            <w:ind w:right="180" w:firstLine="720"/>
            <w:jc w:val="both"/>
            <w:rPr>
              <w:sz w:val="28"/>
              <w:szCs w:val="28"/>
            </w:rPr>
          </w:pPr>
          <w:r w:rsidRPr="00603602">
            <w:rPr>
              <w:sz w:val="28"/>
              <w:szCs w:val="28"/>
            </w:rPr>
            <w:t xml:space="preserve">Keeping the enthusiasm and momentum associated with the efforts of the Association and other corporate partners to recruit </w:t>
          </w:r>
          <w:r w:rsidR="006C6655">
            <w:rPr>
              <w:sz w:val="28"/>
              <w:szCs w:val="28"/>
            </w:rPr>
            <w:t>their</w:t>
          </w:r>
          <w:r w:rsidR="006C6655" w:rsidRPr="00603602">
            <w:rPr>
              <w:sz w:val="28"/>
              <w:szCs w:val="28"/>
            </w:rPr>
            <w:t xml:space="preserve"> </w:t>
          </w:r>
          <w:r w:rsidRPr="00603602">
            <w:rPr>
              <w:sz w:val="28"/>
              <w:szCs w:val="28"/>
            </w:rPr>
            <w:t>attorneys to donate  legal services is a challenge when these lawyers realize that, in addition to the initial registration they completed to obtain approval to practice law in Arizona, they have to complete another, essentially duplicative registration process in order to qualify to volunteer their legal services under the direction and supervision of one of Arizona’s recognized civil legal aid providers.</w:t>
          </w:r>
        </w:p>
        <w:p w:rsidR="0074210F" w:rsidRPr="003F1B73" w:rsidRDefault="00603602" w:rsidP="00603602">
          <w:pPr>
            <w:ind w:right="180" w:firstLine="720"/>
            <w:jc w:val="both"/>
            <w:rPr>
              <w:sz w:val="28"/>
            </w:rPr>
          </w:pPr>
          <w:r w:rsidRPr="00603602">
            <w:rPr>
              <w:sz w:val="28"/>
              <w:szCs w:val="28"/>
            </w:rPr>
            <w:lastRenderedPageBreak/>
            <w:t xml:space="preserve">Rule Petition R-16-0047 identifies the confusion created by prior rule changes, and suggests a solution so that registered in-house counsel can more easily provide volunteer legal </w:t>
          </w:r>
          <w:r w:rsidR="008C7094">
            <w:rPr>
              <w:sz w:val="28"/>
              <w:szCs w:val="28"/>
            </w:rPr>
            <w:t>assistance</w:t>
          </w:r>
          <w:r w:rsidR="008C7094" w:rsidRPr="00603602">
            <w:rPr>
              <w:sz w:val="28"/>
              <w:szCs w:val="28"/>
            </w:rPr>
            <w:t xml:space="preserve"> </w:t>
          </w:r>
          <w:r w:rsidRPr="00603602">
            <w:rPr>
              <w:sz w:val="28"/>
              <w:szCs w:val="28"/>
            </w:rPr>
            <w:t>to those in desperate need of their services.  The current rule contains an unnecessary barrier to encouraging and facilitating the delivery of these services, and the ACAJ strongly supports and urges the Court’s approval of the amendments to Rule 38 proposed in this rule petition.</w:t>
          </w:r>
        </w:p>
      </w:sdtContent>
    </w:sdt>
    <w:p w:rsidR="0074210F" w:rsidRDefault="00F21976" w:rsidP="00F21976">
      <w:pPr>
        <w:pStyle w:val="Date"/>
        <w:ind w:firstLine="720"/>
        <w:rPr>
          <w:sz w:val="28"/>
        </w:rPr>
      </w:pPr>
      <w:r>
        <w:rPr>
          <w:sz w:val="28"/>
        </w:rPr>
        <w:t xml:space="preserve">RESPECTFULLY SUBMITTED, this </w:t>
      </w:r>
      <w:r w:rsidR="00C052C4">
        <w:rPr>
          <w:sz w:val="28"/>
        </w:rPr>
        <w:t>18</w:t>
      </w:r>
      <w:r w:rsidR="00C052C4" w:rsidRPr="00C052C4">
        <w:rPr>
          <w:sz w:val="28"/>
          <w:vertAlign w:val="superscript"/>
        </w:rPr>
        <w:t>th</w:t>
      </w:r>
      <w:r w:rsidR="00C052C4">
        <w:rPr>
          <w:sz w:val="28"/>
        </w:rPr>
        <w:t xml:space="preserve"> </w:t>
      </w:r>
      <w:r>
        <w:rPr>
          <w:sz w:val="28"/>
        </w:rPr>
        <w:t xml:space="preserve">day of </w:t>
      </w:r>
      <w:r w:rsidR="00C052C4">
        <w:rPr>
          <w:sz w:val="28"/>
        </w:rPr>
        <w:t xml:space="preserve">May, </w:t>
      </w:r>
      <w:r>
        <w:rPr>
          <w:sz w:val="28"/>
        </w:rPr>
        <w:t>2017.</w:t>
      </w:r>
    </w:p>
    <w:tbl>
      <w:tblPr>
        <w:tblW w:w="2477" w:type="pct"/>
        <w:tblInd w:w="4637" w:type="dxa"/>
        <w:tblCellMar>
          <w:left w:w="0" w:type="dxa"/>
          <w:right w:w="115" w:type="dxa"/>
        </w:tblCellMar>
        <w:tblLook w:val="04A0" w:firstRow="1" w:lastRow="0" w:firstColumn="1" w:lastColumn="0" w:noHBand="0" w:noVBand="1"/>
        <w:tblDescription w:val="Signature block"/>
      </w:tblPr>
      <w:tblGrid>
        <w:gridCol w:w="4637"/>
      </w:tblGrid>
      <w:tr w:rsidR="0074210F" w:rsidRPr="003F1B73">
        <w:tc>
          <w:tcPr>
            <w:tcW w:w="4637" w:type="dxa"/>
            <w:tcBorders>
              <w:bottom w:val="single" w:sz="4" w:space="0" w:color="auto"/>
            </w:tcBorders>
          </w:tcPr>
          <w:p w:rsidR="0074210F" w:rsidRPr="003F1B73" w:rsidRDefault="00777B2E" w:rsidP="00546A59">
            <w:pPr>
              <w:pStyle w:val="AttorneyName"/>
              <w:ind w:left="-317"/>
              <w:rPr>
                <w:sz w:val="28"/>
              </w:rPr>
            </w:pPr>
            <w:r w:rsidRPr="00777B2E">
              <w:rPr>
                <w:sz w:val="22"/>
              </w:rPr>
              <w:tab/>
            </w:r>
            <w:r w:rsidRPr="00777B2E">
              <w:rPr>
                <w:sz w:val="28"/>
              </w:rPr>
              <w:t>/s/ Lawrence F. Winthrop</w:t>
            </w:r>
          </w:p>
        </w:tc>
      </w:tr>
      <w:tr w:rsidR="0074210F" w:rsidRPr="003F1B73">
        <w:tc>
          <w:tcPr>
            <w:tcW w:w="4637" w:type="dxa"/>
            <w:tcBorders>
              <w:top w:val="single" w:sz="4" w:space="0" w:color="auto"/>
            </w:tcBorders>
          </w:tcPr>
          <w:p w:rsidR="0074210F" w:rsidRDefault="00546A59" w:rsidP="00BC2145">
            <w:pPr>
              <w:pStyle w:val="AttorneyName"/>
              <w:rPr>
                <w:sz w:val="28"/>
              </w:rPr>
            </w:pPr>
            <w:r>
              <w:rPr>
                <w:sz w:val="28"/>
              </w:rPr>
              <w:t>Lawrence F. Winthrop</w:t>
            </w:r>
          </w:p>
          <w:p w:rsidR="008C7094" w:rsidRPr="003F1B73" w:rsidRDefault="008C7094" w:rsidP="008C7094">
            <w:pPr>
              <w:pStyle w:val="AttorneyName"/>
              <w:rPr>
                <w:sz w:val="28"/>
              </w:rPr>
            </w:pPr>
            <w:r>
              <w:rPr>
                <w:sz w:val="28"/>
              </w:rPr>
              <w:t xml:space="preserve">Chair, Arizona Commission on Access to Justice </w:t>
            </w:r>
          </w:p>
        </w:tc>
      </w:tr>
    </w:tbl>
    <w:p w:rsidR="00546A59" w:rsidRDefault="00546A59" w:rsidP="00546A59">
      <w:pPr>
        <w:pStyle w:val="NoSpacing"/>
        <w:ind w:right="180" w:firstLine="180"/>
        <w:rPr>
          <w:sz w:val="28"/>
        </w:rPr>
      </w:pPr>
      <w:bookmarkStart w:id="0" w:name="_GoBack"/>
      <w:bookmarkEnd w:id="0"/>
    </w:p>
    <w:p w:rsidR="00546A59" w:rsidRPr="00546A59" w:rsidRDefault="00546A59" w:rsidP="00546A59"/>
    <w:p w:rsidR="00546A59" w:rsidRPr="00F21976" w:rsidRDefault="00F21976" w:rsidP="00F21976">
      <w:pPr>
        <w:spacing w:line="240" w:lineRule="auto"/>
        <w:ind w:firstLine="0"/>
        <w:rPr>
          <w:sz w:val="28"/>
          <w:szCs w:val="28"/>
        </w:rPr>
      </w:pPr>
      <w:r w:rsidRPr="00F21976">
        <w:rPr>
          <w:sz w:val="28"/>
          <w:szCs w:val="28"/>
        </w:rPr>
        <w:t>Copy Mailed To:</w:t>
      </w:r>
    </w:p>
    <w:p w:rsidR="00F21976" w:rsidRPr="00F21976" w:rsidRDefault="00F21976" w:rsidP="00F21976">
      <w:pPr>
        <w:spacing w:line="240" w:lineRule="auto"/>
        <w:ind w:firstLine="0"/>
        <w:rPr>
          <w:sz w:val="28"/>
          <w:szCs w:val="28"/>
        </w:rPr>
      </w:pPr>
    </w:p>
    <w:p w:rsidR="00F21976" w:rsidRDefault="00603602" w:rsidP="00F21976">
      <w:pPr>
        <w:spacing w:line="240" w:lineRule="auto"/>
        <w:ind w:firstLine="0"/>
        <w:rPr>
          <w:sz w:val="28"/>
          <w:szCs w:val="28"/>
        </w:rPr>
      </w:pPr>
      <w:r>
        <w:rPr>
          <w:sz w:val="28"/>
          <w:szCs w:val="28"/>
        </w:rPr>
        <w:t>Ellen Sue Katz</w:t>
      </w:r>
    </w:p>
    <w:p w:rsidR="00603602" w:rsidRDefault="00603602" w:rsidP="00F21976">
      <w:pPr>
        <w:spacing w:line="240" w:lineRule="auto"/>
        <w:ind w:firstLine="0"/>
        <w:rPr>
          <w:sz w:val="28"/>
          <w:szCs w:val="28"/>
        </w:rPr>
      </w:pPr>
      <w:r>
        <w:rPr>
          <w:sz w:val="28"/>
          <w:szCs w:val="28"/>
        </w:rPr>
        <w:t>William E. Morris Institute for Justice</w:t>
      </w:r>
    </w:p>
    <w:p w:rsidR="00603602" w:rsidRPr="00F21976" w:rsidRDefault="00603602" w:rsidP="00F21976">
      <w:pPr>
        <w:spacing w:line="240" w:lineRule="auto"/>
        <w:ind w:firstLine="0"/>
        <w:rPr>
          <w:sz w:val="28"/>
          <w:szCs w:val="28"/>
        </w:rPr>
      </w:pPr>
      <w:r>
        <w:rPr>
          <w:sz w:val="28"/>
          <w:szCs w:val="28"/>
        </w:rPr>
        <w:t>3707 N. Seventh Street, Suite 220</w:t>
      </w:r>
    </w:p>
    <w:p w:rsidR="00F21976" w:rsidRPr="00F21976" w:rsidRDefault="00F21976" w:rsidP="00F21976">
      <w:pPr>
        <w:spacing w:line="240" w:lineRule="auto"/>
        <w:ind w:firstLine="0"/>
        <w:rPr>
          <w:sz w:val="28"/>
          <w:szCs w:val="28"/>
        </w:rPr>
      </w:pPr>
      <w:r w:rsidRPr="00F21976">
        <w:rPr>
          <w:sz w:val="28"/>
          <w:szCs w:val="28"/>
        </w:rPr>
        <w:t>Phoenix, AZ 8501</w:t>
      </w:r>
      <w:r w:rsidR="00603602">
        <w:rPr>
          <w:sz w:val="28"/>
          <w:szCs w:val="28"/>
        </w:rPr>
        <w:t>4</w:t>
      </w:r>
    </w:p>
    <w:p w:rsidR="0074210F" w:rsidRPr="00546A59" w:rsidRDefault="00546A59" w:rsidP="00546A59">
      <w:pPr>
        <w:tabs>
          <w:tab w:val="left" w:pos="2978"/>
        </w:tabs>
      </w:pPr>
      <w:r>
        <w:tab/>
      </w:r>
    </w:p>
    <w:sectPr w:rsidR="0074210F" w:rsidRPr="00546A59">
      <w:headerReference w:type="default" r:id="rId9"/>
      <w:footerReference w:type="default" r:id="rId10"/>
      <w:pgSz w:w="12240" w:h="15840" w:code="1"/>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377" w:rsidRDefault="00086377">
      <w:r>
        <w:separator/>
      </w:r>
    </w:p>
    <w:p w:rsidR="00086377" w:rsidRDefault="00086377"/>
  </w:endnote>
  <w:endnote w:type="continuationSeparator" w:id="0">
    <w:p w:rsidR="00086377" w:rsidRDefault="00086377">
      <w:r>
        <w:continuationSeparator/>
      </w:r>
    </w:p>
    <w:p w:rsidR="00086377" w:rsidRDefault="00086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A59" w:rsidRDefault="00546A59">
    <w:pPr>
      <w:pStyle w:val="Footer"/>
    </w:pPr>
  </w:p>
  <w:p w:rsidR="0074210F" w:rsidRDefault="00742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377" w:rsidRDefault="00086377">
      <w:r>
        <w:separator/>
      </w:r>
    </w:p>
    <w:p w:rsidR="00086377" w:rsidRDefault="00086377"/>
  </w:footnote>
  <w:footnote w:type="continuationSeparator" w:id="0">
    <w:p w:rsidR="00086377" w:rsidRDefault="00086377">
      <w:r>
        <w:continuationSeparator/>
      </w:r>
    </w:p>
    <w:p w:rsidR="00086377" w:rsidRDefault="000863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10F" w:rsidRDefault="00E76503">
    <w:pPr>
      <w:rPr>
        <w:color w:val="FFFFFF" w:themeColor="background1"/>
      </w:rPr>
    </w:pPr>
    <w:r>
      <w:rPr>
        <w:noProof/>
        <w:color w:val="FFFFFF" w:themeColor="background1"/>
        <w:lang w:eastAsia="en-US"/>
      </w:rPr>
      <mc:AlternateContent>
        <mc:Choice Requires="wpg">
          <w:drawing>
            <wp:anchor distT="0" distB="0" distL="114300" distR="114300" simplePos="0" relativeHeight="251658240" behindDoc="1" locked="0" layoutInCell="1" allowOverlap="1">
              <wp:simplePos x="0" y="0"/>
              <wp:positionH relativeFrom="page">
                <wp:posOffset>822960</wp:posOffset>
              </wp:positionH>
              <wp:positionV relativeFrom="page">
                <wp:align>top</wp:align>
              </wp:positionV>
              <wp:extent cx="6025896" cy="10058400"/>
              <wp:effectExtent l="0" t="0" r="13335" b="19050"/>
              <wp:wrapNone/>
              <wp:docPr id="5" name="Group 5" descr="Left and right border lines"/>
              <wp:cNvGraphicFramePr/>
              <a:graphic xmlns:a="http://schemas.openxmlformats.org/drawingml/2006/main">
                <a:graphicData uri="http://schemas.microsoft.com/office/word/2010/wordprocessingGroup">
                  <wpg:wgp>
                    <wpg:cNvGrpSpPr/>
                    <wpg:grpSpPr>
                      <a:xfrm>
                        <a:off x="0" y="0"/>
                        <a:ext cx="6025896" cy="10058400"/>
                        <a:chOff x="0" y="0"/>
                        <a:chExt cx="6029865"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29865"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4606F76A" id="Group 5" o:spid="_x0000_s1026" alt="Left and right border lines" style="position:absolute;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">
              <v:line id="LeftBorder1" o:spid="_x0000_s1027"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eftBorder2" o:spid="_x0000_s1028"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RightBorder" o:spid="_x0000_s1029"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anchory="page"/>
            </v:group>
          </w:pict>
        </mc:Fallback>
      </mc:AlternateContent>
    </w:r>
    <w:r>
      <w:rPr>
        <w:noProof/>
        <w:color w:val="FFFFFF" w:themeColor="background1"/>
        <w:lang w:eastAsia="en-US"/>
      </w:rPr>
      <mc:AlternateContent>
        <mc:Choice Requires="wps">
          <w:drawing>
            <wp:anchor distT="0" distB="0" distL="114300" distR="114300" simplePos="0" relativeHeight="251659264" behindDoc="1" locked="1" layoutInCell="1" allowOverlap="1">
              <wp:simplePos x="0" y="0"/>
              <wp:positionH relativeFrom="page">
                <wp:posOffset>274320</wp:posOffset>
              </wp:positionH>
              <wp:positionV relativeFrom="page">
                <wp:posOffset>914400</wp:posOffset>
              </wp:positionV>
              <wp:extent cx="457200" cy="8138160"/>
              <wp:effectExtent l="0" t="0" r="0" b="0"/>
              <wp:wrapNone/>
              <wp:docPr id="4" name="LineNumbers" descr="Line numbers from 1 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210F" w:rsidRDefault="00E76503">
                          <w:pPr>
                            <w:pStyle w:val="LineNumbers"/>
                          </w:pPr>
                          <w:r>
                            <w:t>1</w:t>
                          </w:r>
                        </w:p>
                        <w:p w:rsidR="0074210F" w:rsidRDefault="00E76503">
                          <w:pPr>
                            <w:pStyle w:val="LineNumbers"/>
                          </w:pPr>
                          <w:r>
                            <w:t>2</w:t>
                          </w:r>
                        </w:p>
                        <w:p w:rsidR="0074210F" w:rsidRDefault="00E76503">
                          <w:pPr>
                            <w:pStyle w:val="LineNumbers"/>
                          </w:pPr>
                          <w:r>
                            <w:t>3</w:t>
                          </w:r>
                        </w:p>
                        <w:p w:rsidR="0074210F" w:rsidRDefault="00E76503">
                          <w:pPr>
                            <w:pStyle w:val="LineNumbers"/>
                          </w:pPr>
                          <w:r>
                            <w:t>4</w:t>
                          </w:r>
                        </w:p>
                        <w:p w:rsidR="0074210F" w:rsidRDefault="00E76503">
                          <w:pPr>
                            <w:pStyle w:val="LineNumbers"/>
                          </w:pPr>
                          <w:r>
                            <w:t>5</w:t>
                          </w:r>
                        </w:p>
                        <w:p w:rsidR="0074210F" w:rsidRDefault="00E76503">
                          <w:pPr>
                            <w:pStyle w:val="LineNumbers"/>
                          </w:pPr>
                          <w:r>
                            <w:t>6</w:t>
                          </w:r>
                        </w:p>
                        <w:p w:rsidR="0074210F" w:rsidRDefault="00E76503">
                          <w:pPr>
                            <w:pStyle w:val="LineNumbers"/>
                          </w:pPr>
                          <w:r>
                            <w:t>7</w:t>
                          </w:r>
                        </w:p>
                        <w:p w:rsidR="0074210F" w:rsidRDefault="00E76503">
                          <w:pPr>
                            <w:pStyle w:val="LineNumbers"/>
                          </w:pPr>
                          <w:r>
                            <w:t>8</w:t>
                          </w:r>
                        </w:p>
                        <w:p w:rsidR="0074210F" w:rsidRDefault="00E76503">
                          <w:pPr>
                            <w:pStyle w:val="LineNumbers"/>
                          </w:pPr>
                          <w:r>
                            <w:t>9</w:t>
                          </w:r>
                        </w:p>
                        <w:p w:rsidR="0074210F" w:rsidRDefault="00E76503">
                          <w:pPr>
                            <w:pStyle w:val="LineNumbers"/>
                          </w:pPr>
                          <w:r>
                            <w:t>10</w:t>
                          </w:r>
                        </w:p>
                        <w:p w:rsidR="0074210F" w:rsidRDefault="00E76503">
                          <w:pPr>
                            <w:pStyle w:val="LineNumbers"/>
                          </w:pPr>
                          <w:r>
                            <w:t>11</w:t>
                          </w:r>
                        </w:p>
                        <w:p w:rsidR="0074210F" w:rsidRDefault="00E76503">
                          <w:pPr>
                            <w:pStyle w:val="LineNumbers"/>
                          </w:pPr>
                          <w:r>
                            <w:t>12</w:t>
                          </w:r>
                        </w:p>
                        <w:p w:rsidR="0074210F" w:rsidRDefault="00E76503">
                          <w:pPr>
                            <w:pStyle w:val="LineNumbers"/>
                          </w:pPr>
                          <w:r>
                            <w:t>13</w:t>
                          </w:r>
                        </w:p>
                        <w:p w:rsidR="0074210F" w:rsidRDefault="00E76503">
                          <w:pPr>
                            <w:pStyle w:val="LineNumbers"/>
                          </w:pPr>
                          <w:r>
                            <w:t>14</w:t>
                          </w:r>
                        </w:p>
                        <w:p w:rsidR="0074210F" w:rsidRDefault="00E76503">
                          <w:pPr>
                            <w:pStyle w:val="LineNumbers"/>
                          </w:pPr>
                          <w:r>
                            <w:t>15</w:t>
                          </w:r>
                        </w:p>
                        <w:p w:rsidR="0074210F" w:rsidRDefault="00E76503">
                          <w:pPr>
                            <w:pStyle w:val="LineNumbers"/>
                          </w:pPr>
                          <w:r>
                            <w:t>16</w:t>
                          </w:r>
                        </w:p>
                        <w:p w:rsidR="0074210F" w:rsidRDefault="00E76503">
                          <w:pPr>
                            <w:pStyle w:val="LineNumbers"/>
                          </w:pPr>
                          <w:r>
                            <w:t>17</w:t>
                          </w:r>
                        </w:p>
                        <w:p w:rsidR="0074210F" w:rsidRDefault="00E76503">
                          <w:pPr>
                            <w:pStyle w:val="LineNumbers"/>
                          </w:pPr>
                          <w:r>
                            <w:t>18</w:t>
                          </w:r>
                        </w:p>
                        <w:p w:rsidR="0074210F" w:rsidRDefault="00E76503">
                          <w:pPr>
                            <w:pStyle w:val="LineNumbers"/>
                          </w:pPr>
                          <w:r>
                            <w:t>19</w:t>
                          </w:r>
                        </w:p>
                        <w:p w:rsidR="0074210F" w:rsidRDefault="00E76503">
                          <w:pPr>
                            <w:pStyle w:val="LineNumbers"/>
                          </w:pPr>
                          <w:r>
                            <w:t>20</w:t>
                          </w:r>
                        </w:p>
                        <w:p w:rsidR="0074210F" w:rsidRDefault="00E76503">
                          <w:pPr>
                            <w:pStyle w:val="LineNumbers"/>
                          </w:pPr>
                          <w:r>
                            <w:t>21</w:t>
                          </w:r>
                        </w:p>
                        <w:p w:rsidR="0074210F" w:rsidRDefault="00E76503">
                          <w:pPr>
                            <w:pStyle w:val="LineNumbers"/>
                          </w:pPr>
                          <w:r>
                            <w:t>22</w:t>
                          </w:r>
                        </w:p>
                        <w:p w:rsidR="0074210F" w:rsidRDefault="00E76503">
                          <w:pPr>
                            <w:pStyle w:val="LineNumbers"/>
                          </w:pPr>
                          <w:r>
                            <w:t>23</w:t>
                          </w:r>
                        </w:p>
                        <w:p w:rsidR="0074210F" w:rsidRDefault="00E76503">
                          <w:pPr>
                            <w:pStyle w:val="LineNumbers"/>
                          </w:pPr>
                          <w:r>
                            <w:t>24</w:t>
                          </w:r>
                        </w:p>
                        <w:p w:rsidR="0074210F" w:rsidRDefault="00E76503">
                          <w:pPr>
                            <w:pStyle w:val="LineNumbers"/>
                          </w:pPr>
                          <w:r>
                            <w:t>25</w:t>
                          </w:r>
                        </w:p>
                        <w:p w:rsidR="0074210F" w:rsidRDefault="00E76503">
                          <w:pPr>
                            <w:pStyle w:val="LineNumbers"/>
                          </w:pPr>
                          <w:r>
                            <w:t>26</w:t>
                          </w:r>
                        </w:p>
                        <w:p w:rsidR="0074210F" w:rsidRDefault="0074210F">
                          <w:pPr>
                            <w:pStyle w:val="LineNumbers"/>
                          </w:pPr>
                        </w:p>
                        <w:p w:rsidR="0074210F" w:rsidRDefault="0074210F">
                          <w:pPr>
                            <w:pStyle w:val="LineNumbers"/>
                          </w:pPr>
                        </w:p>
                        <w:p w:rsidR="0074210F" w:rsidRDefault="0074210F">
                          <w:pPr>
                            <w:pStyle w:val="LineNumber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type id="_x0000_t202" coordsize="21600,21600" o:spt="202" path="m,l,21600r21600,l21600,xe">
              <v:stroke joinstyle="miter"/>
              <v:path gradientshapeok="t" o:connecttype="rect"/>
            </v:shapetype>
            <v:shape id="LineNumbers" o:spid="_x0000_s1026" type="#_x0000_t202" alt="Line numbers from 1 to 26"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" stroked="f">
              <v:textbox inset="0,0,0,0">
                <w:txbxContent>
                  <w:p w:rsidR="0074210F" w:rsidRDefault="00E76503">
                    <w:pPr>
                      <w:pStyle w:val="LineNumbers"/>
                    </w:pPr>
                    <w:r>
                      <w:t>1</w:t>
                    </w:r>
                  </w:p>
                  <w:p w:rsidR="0074210F" w:rsidRDefault="00E76503">
                    <w:pPr>
                      <w:pStyle w:val="LineNumbers"/>
                    </w:pPr>
                    <w:r>
                      <w:t>2</w:t>
                    </w:r>
                  </w:p>
                  <w:p w:rsidR="0074210F" w:rsidRDefault="00E76503">
                    <w:pPr>
                      <w:pStyle w:val="LineNumbers"/>
                    </w:pPr>
                    <w:r>
                      <w:t>3</w:t>
                    </w:r>
                  </w:p>
                  <w:p w:rsidR="0074210F" w:rsidRDefault="00E76503">
                    <w:pPr>
                      <w:pStyle w:val="LineNumbers"/>
                    </w:pPr>
                    <w:r>
                      <w:t>4</w:t>
                    </w:r>
                  </w:p>
                  <w:p w:rsidR="0074210F" w:rsidRDefault="00E76503">
                    <w:pPr>
                      <w:pStyle w:val="LineNumbers"/>
                    </w:pPr>
                    <w:r>
                      <w:t>5</w:t>
                    </w:r>
                  </w:p>
                  <w:p w:rsidR="0074210F" w:rsidRDefault="00E76503">
                    <w:pPr>
                      <w:pStyle w:val="LineNumbers"/>
                    </w:pPr>
                    <w:r>
                      <w:t>6</w:t>
                    </w:r>
                  </w:p>
                  <w:p w:rsidR="0074210F" w:rsidRDefault="00E76503">
                    <w:pPr>
                      <w:pStyle w:val="LineNumbers"/>
                    </w:pPr>
                    <w:r>
                      <w:t>7</w:t>
                    </w:r>
                  </w:p>
                  <w:p w:rsidR="0074210F" w:rsidRDefault="00E76503">
                    <w:pPr>
                      <w:pStyle w:val="LineNumbers"/>
                    </w:pPr>
                    <w:r>
                      <w:t>8</w:t>
                    </w:r>
                  </w:p>
                  <w:p w:rsidR="0074210F" w:rsidRDefault="00E76503">
                    <w:pPr>
                      <w:pStyle w:val="LineNumbers"/>
                    </w:pPr>
                    <w:r>
                      <w:t>9</w:t>
                    </w:r>
                  </w:p>
                  <w:p w:rsidR="0074210F" w:rsidRDefault="00E76503">
                    <w:pPr>
                      <w:pStyle w:val="LineNumbers"/>
                    </w:pPr>
                    <w:r>
                      <w:t>10</w:t>
                    </w:r>
                  </w:p>
                  <w:p w:rsidR="0074210F" w:rsidRDefault="00E76503">
                    <w:pPr>
                      <w:pStyle w:val="LineNumbers"/>
                    </w:pPr>
                    <w:r>
                      <w:t>11</w:t>
                    </w:r>
                  </w:p>
                  <w:p w:rsidR="0074210F" w:rsidRDefault="00E76503">
                    <w:pPr>
                      <w:pStyle w:val="LineNumbers"/>
                    </w:pPr>
                    <w:r>
                      <w:t>12</w:t>
                    </w:r>
                  </w:p>
                  <w:p w:rsidR="0074210F" w:rsidRDefault="00E76503">
                    <w:pPr>
                      <w:pStyle w:val="LineNumbers"/>
                    </w:pPr>
                    <w:r>
                      <w:t>13</w:t>
                    </w:r>
                  </w:p>
                  <w:p w:rsidR="0074210F" w:rsidRDefault="00E76503">
                    <w:pPr>
                      <w:pStyle w:val="LineNumbers"/>
                    </w:pPr>
                    <w:r>
                      <w:t>14</w:t>
                    </w:r>
                  </w:p>
                  <w:p w:rsidR="0074210F" w:rsidRDefault="00E76503">
                    <w:pPr>
                      <w:pStyle w:val="LineNumbers"/>
                    </w:pPr>
                    <w:r>
                      <w:t>15</w:t>
                    </w:r>
                  </w:p>
                  <w:p w:rsidR="0074210F" w:rsidRDefault="00E76503">
                    <w:pPr>
                      <w:pStyle w:val="LineNumbers"/>
                    </w:pPr>
                    <w:r>
                      <w:t>16</w:t>
                    </w:r>
                  </w:p>
                  <w:p w:rsidR="0074210F" w:rsidRDefault="00E76503">
                    <w:pPr>
                      <w:pStyle w:val="LineNumbers"/>
                    </w:pPr>
                    <w:r>
                      <w:t>17</w:t>
                    </w:r>
                  </w:p>
                  <w:p w:rsidR="0074210F" w:rsidRDefault="00E76503">
                    <w:pPr>
                      <w:pStyle w:val="LineNumbers"/>
                    </w:pPr>
                    <w:r>
                      <w:t>18</w:t>
                    </w:r>
                  </w:p>
                  <w:p w:rsidR="0074210F" w:rsidRDefault="00E76503">
                    <w:pPr>
                      <w:pStyle w:val="LineNumbers"/>
                    </w:pPr>
                    <w:r>
                      <w:t>19</w:t>
                    </w:r>
                  </w:p>
                  <w:p w:rsidR="0074210F" w:rsidRDefault="00E76503">
                    <w:pPr>
                      <w:pStyle w:val="LineNumbers"/>
                    </w:pPr>
                    <w:r>
                      <w:t>20</w:t>
                    </w:r>
                  </w:p>
                  <w:p w:rsidR="0074210F" w:rsidRDefault="00E76503">
                    <w:pPr>
                      <w:pStyle w:val="LineNumbers"/>
                    </w:pPr>
                    <w:r>
                      <w:t>21</w:t>
                    </w:r>
                  </w:p>
                  <w:p w:rsidR="0074210F" w:rsidRDefault="00E76503">
                    <w:pPr>
                      <w:pStyle w:val="LineNumbers"/>
                    </w:pPr>
                    <w:r>
                      <w:t>22</w:t>
                    </w:r>
                  </w:p>
                  <w:p w:rsidR="0074210F" w:rsidRDefault="00E76503">
                    <w:pPr>
                      <w:pStyle w:val="LineNumbers"/>
                    </w:pPr>
                    <w:r>
                      <w:t>23</w:t>
                    </w:r>
                  </w:p>
                  <w:p w:rsidR="0074210F" w:rsidRDefault="00E76503">
                    <w:pPr>
                      <w:pStyle w:val="LineNumbers"/>
                    </w:pPr>
                    <w:r>
                      <w:t>24</w:t>
                    </w:r>
                  </w:p>
                  <w:p w:rsidR="0074210F" w:rsidRDefault="00E76503">
                    <w:pPr>
                      <w:pStyle w:val="LineNumbers"/>
                    </w:pPr>
                    <w:r>
                      <w:t>25</w:t>
                    </w:r>
                  </w:p>
                  <w:p w:rsidR="0074210F" w:rsidRDefault="00E76503">
                    <w:pPr>
                      <w:pStyle w:val="LineNumbers"/>
                    </w:pPr>
                    <w:r>
                      <w:t>26</w:t>
                    </w:r>
                  </w:p>
                  <w:p w:rsidR="0074210F" w:rsidRDefault="0074210F">
                    <w:pPr>
                      <w:pStyle w:val="LineNumbers"/>
                    </w:pPr>
                  </w:p>
                  <w:p w:rsidR="0074210F" w:rsidRDefault="0074210F">
                    <w:pPr>
                      <w:pStyle w:val="LineNumbers"/>
                    </w:pPr>
                  </w:p>
                  <w:p w:rsidR="0074210F" w:rsidRDefault="0074210F">
                    <w:pPr>
                      <w:pStyle w:val="LineNumbers"/>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3CE8F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89ED2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51015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D834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58EE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3448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707C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BE5A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70B1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89B2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807"/>
    <w:rsid w:val="00086377"/>
    <w:rsid w:val="003F1B73"/>
    <w:rsid w:val="00440CF2"/>
    <w:rsid w:val="004B608D"/>
    <w:rsid w:val="00546A59"/>
    <w:rsid w:val="00603602"/>
    <w:rsid w:val="006C6655"/>
    <w:rsid w:val="006D3488"/>
    <w:rsid w:val="0074210F"/>
    <w:rsid w:val="00777B2E"/>
    <w:rsid w:val="008C7094"/>
    <w:rsid w:val="00BC2145"/>
    <w:rsid w:val="00BF60FE"/>
    <w:rsid w:val="00C052C4"/>
    <w:rsid w:val="00C41807"/>
    <w:rsid w:val="00E76503"/>
    <w:rsid w:val="00F21976"/>
    <w:rsid w:val="00F90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line="504" w:lineRule="auto"/>
        <w:ind w:firstLine="1440"/>
      </w:pPr>
    </w:pPrDefault>
  </w:docDefaults>
  <w:latentStyles w:defLockedState="0" w:defUIPriority="99" w:defSemiHidden="0" w:defUnhideWhenUsed="0" w:defQFormat="0" w:count="371">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spacing w:line="252" w:lineRule="auto"/>
      <w:ind w:firstLine="0"/>
    </w:pPr>
    <w:rPr>
      <w:caps/>
    </w:rPr>
  </w:style>
  <w:style w:type="character" w:customStyle="1" w:styleId="FooterChar">
    <w:name w:val="Footer Char"/>
    <w:basedOn w:val="DefaultParagraphFont"/>
    <w:link w:val="Footer"/>
    <w:uiPriority w:val="99"/>
    <w:rPr>
      <w:rFonts w:eastAsia="Times New Roman" w:cs="Times New Roman"/>
      <w:caps/>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pPr>
      <w:spacing w:after="240" w:line="252"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pPr>
      <w:spacing w:line="252" w:lineRule="auto"/>
      <w:ind w:firstLine="0"/>
    </w:pPr>
    <w:rPr>
      <w:caps/>
    </w:rPr>
  </w:style>
  <w:style w:type="character" w:customStyle="1" w:styleId="PleadingtitleChar">
    <w:name w:val="Pleading title Char"/>
    <w:basedOn w:val="DefaultParagraphFont"/>
    <w:link w:val="Pleadingtitle"/>
    <w:uiPriority w:val="1"/>
    <w:rPr>
      <w:rFonts w:eastAsia="Times New Roman" w:cs="Times New Roman"/>
      <w:caps/>
      <w:sz w:val="20"/>
      <w:szCs w:val="20"/>
    </w:rPr>
  </w:style>
  <w:style w:type="character" w:customStyle="1" w:styleId="PartiesChar">
    <w:name w:val="Parties Char"/>
    <w:basedOn w:val="DefaultParagraphFont"/>
    <w:link w:val="Parties"/>
    <w:uiPriority w:val="1"/>
    <w:rPr>
      <w:rFonts w:asciiTheme="majorHAnsi" w:eastAsiaTheme="majorEastAsia" w:hAnsiTheme="majorHAnsi" w:cstheme="majorBidi"/>
      <w:caps/>
      <w:sz w:val="20"/>
      <w:szCs w:val="20"/>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pPr>
      <w:spacing w:before="240"/>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pPr>
      <w:spacing w:line="252"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pPr>
      <w:spacing w:after="720" w:line="252"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Pr>
      <w:rFonts w:eastAsia="Times New Roman" w:cs="Times New Roman"/>
      <w:sz w:val="20"/>
      <w:szCs w:val="20"/>
    </w:rPr>
  </w:style>
  <w:style w:type="character" w:customStyle="1" w:styleId="CourtNameChar">
    <w:name w:val="Court Name Char"/>
    <w:basedOn w:val="DefaultParagraphFont"/>
    <w:link w:val="CourtName"/>
    <w:uiPriority w:val="1"/>
    <w:rPr>
      <w:caps/>
    </w:rPr>
  </w:style>
  <w:style w:type="character" w:customStyle="1" w:styleId="CaseNoChar">
    <w:name w:val="Case No. Char"/>
    <w:basedOn w:val="DefaultParagraphFont"/>
    <w:link w:val="CaseNo"/>
    <w:uiPriority w:val="1"/>
    <w:rPr>
      <w:rFonts w:eastAsia="Times New Roman" w:cs="Times New Roman"/>
      <w:sz w:val="20"/>
      <w:szCs w:val="20"/>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52" w:lineRule="auto"/>
      <w:ind w:firstLine="0"/>
    </w:pPr>
    <w:rPr>
      <w:rFonts w:eastAsia="Times New Roman" w:cs="Times New Roman"/>
    </w:rPr>
  </w:style>
  <w:style w:type="paragraph" w:styleId="Date">
    <w:name w:val="Date"/>
    <w:basedOn w:val="Normal"/>
    <w:next w:val="Normal"/>
    <w:link w:val="DateChar"/>
    <w:uiPriority w:val="1"/>
    <w:unhideWhenUsed/>
    <w:qFormat/>
    <w:pPr>
      <w:spacing w:after="360"/>
    </w:pPr>
  </w:style>
  <w:style w:type="character" w:customStyle="1" w:styleId="DateChar">
    <w:name w:val="Date Char"/>
    <w:basedOn w:val="DefaultParagraphFont"/>
    <w:link w:val="Date"/>
    <w:uiPriority w:val="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ates\AppData\Roaming\Microsoft\Templates\Legal%20pleading%20paper%20(26%20lin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5C6A2F30C544CDBB4AB0B6EBA68B9E"/>
        <w:category>
          <w:name w:val="General"/>
          <w:gallery w:val="placeholder"/>
        </w:category>
        <w:types>
          <w:type w:val="bbPlcHdr"/>
        </w:types>
        <w:behaviors>
          <w:behavior w:val="content"/>
        </w:behaviors>
        <w:guid w:val="{71E2C0B2-5B5A-4067-A113-6157F0CFC8AE}"/>
      </w:docPartPr>
      <w:docPartBody>
        <w:p w:rsidR="00F05AB8" w:rsidRDefault="000C0EAA">
          <w:pPr>
            <w:pStyle w:val="B65C6A2F30C544CDBB4AB0B6EBA68B9E"/>
          </w:pPr>
          <w:r>
            <w:t>[Pleading Title]</w:t>
          </w:r>
        </w:p>
      </w:docPartBody>
    </w:docPart>
    <w:docPart>
      <w:docPartPr>
        <w:name w:val="F84A04D47C784808AE881F7EEA766E72"/>
        <w:category>
          <w:name w:val="General"/>
          <w:gallery w:val="placeholder"/>
        </w:category>
        <w:types>
          <w:type w:val="bbPlcHdr"/>
        </w:types>
        <w:behaviors>
          <w:behavior w:val="content"/>
        </w:behaviors>
        <w:guid w:val="{D45600EB-5175-4B92-B71B-B0A919143F17}"/>
      </w:docPartPr>
      <w:docPartBody>
        <w:p w:rsidR="00F05AB8" w:rsidRDefault="000C0EAA">
          <w:pPr>
            <w:pStyle w:val="F84A04D47C784808AE881F7EEA766E72"/>
          </w:pPr>
          <w:r>
            <w:t>[Type body of pleading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D5"/>
    <w:rsid w:val="000373D5"/>
    <w:rsid w:val="000C0EAA"/>
    <w:rsid w:val="002E45F4"/>
    <w:rsid w:val="00813D62"/>
    <w:rsid w:val="00EF1119"/>
    <w:rsid w:val="00F05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81E70D7674987A5A7C89863E0CA87">
    <w:name w:val="90B81E70D7674987A5A7C89863E0CA87"/>
  </w:style>
  <w:style w:type="paragraph" w:customStyle="1" w:styleId="CC2D025A30AC41DA8498BC22381B59B0">
    <w:name w:val="CC2D025A30AC41DA8498BC22381B59B0"/>
  </w:style>
  <w:style w:type="paragraph" w:customStyle="1" w:styleId="29676E77225841529DF642FF4CC25C41">
    <w:name w:val="29676E77225841529DF642FF4CC25C41"/>
  </w:style>
  <w:style w:type="paragraph" w:customStyle="1" w:styleId="DCC8900DC3484CA59B0E3243B28A3482">
    <w:name w:val="DCC8900DC3484CA59B0E3243B28A3482"/>
  </w:style>
  <w:style w:type="paragraph" w:customStyle="1" w:styleId="E6BD30688E8441298C797F3342C1EA38">
    <w:name w:val="E6BD30688E8441298C797F3342C1EA38"/>
  </w:style>
  <w:style w:type="paragraph" w:customStyle="1" w:styleId="308587578D18417394AEC757D96A2CFE">
    <w:name w:val="308587578D18417394AEC757D96A2CFE"/>
  </w:style>
  <w:style w:type="paragraph" w:customStyle="1" w:styleId="CourtName">
    <w:name w:val="Court Name"/>
    <w:basedOn w:val="Normal"/>
    <w:link w:val="CourtNameChar"/>
    <w:uiPriority w:val="1"/>
    <w:qFormat/>
    <w:pPr>
      <w:spacing w:before="240" w:after="480" w:line="252" w:lineRule="auto"/>
      <w:contextualSpacing/>
      <w:jc w:val="center"/>
    </w:pPr>
    <w:rPr>
      <w:caps/>
      <w:sz w:val="20"/>
      <w:szCs w:val="20"/>
    </w:rPr>
  </w:style>
  <w:style w:type="character" w:customStyle="1" w:styleId="CourtNameChar">
    <w:name w:val="Court Name Char"/>
    <w:basedOn w:val="DefaultParagraphFont"/>
    <w:link w:val="CourtName"/>
    <w:uiPriority w:val="1"/>
    <w:rPr>
      <w:caps/>
      <w:sz w:val="20"/>
      <w:szCs w:val="20"/>
    </w:rPr>
  </w:style>
  <w:style w:type="paragraph" w:customStyle="1" w:styleId="36A6D8E28A1E44488C3A740FEE185B5A">
    <w:name w:val="36A6D8E28A1E44488C3A740FEE185B5A"/>
  </w:style>
  <w:style w:type="paragraph" w:customStyle="1" w:styleId="73161154828A4598A1A88C1B1702D450">
    <w:name w:val="73161154828A4598A1A88C1B1702D450"/>
  </w:style>
  <w:style w:type="paragraph" w:customStyle="1" w:styleId="119E860C839B4809A71757CC30D92E79">
    <w:name w:val="119E860C839B4809A71757CC30D92E79"/>
  </w:style>
  <w:style w:type="paragraph" w:customStyle="1" w:styleId="A4026DADB7A144898FA9CD6B71831A70">
    <w:name w:val="A4026DADB7A144898FA9CD6B71831A70"/>
  </w:style>
  <w:style w:type="paragraph" w:customStyle="1" w:styleId="B65C6A2F30C544CDBB4AB0B6EBA68B9E">
    <w:name w:val="B65C6A2F30C544CDBB4AB0B6EBA68B9E"/>
  </w:style>
  <w:style w:type="paragraph" w:customStyle="1" w:styleId="F84A04D47C784808AE881F7EEA766E72">
    <w:name w:val="F84A04D47C784808AE881F7EEA766E72"/>
  </w:style>
  <w:style w:type="paragraph" w:customStyle="1" w:styleId="72B40937BF184BC8AD56DDF861AE8CD8">
    <w:name w:val="72B40937BF184BC8AD56DDF861AE8CD8"/>
  </w:style>
  <w:style w:type="paragraph" w:customStyle="1" w:styleId="809D232855B64A6285E462F7CE318664">
    <w:name w:val="809D232855B64A6285E462F7CE318664"/>
  </w:style>
  <w:style w:type="paragraph" w:customStyle="1" w:styleId="49CC36ED559C4D2F87FD953F50F50A9A">
    <w:name w:val="49CC36ED559C4D2F87FD953F50F50A9A"/>
  </w:style>
  <w:style w:type="paragraph" w:customStyle="1" w:styleId="DB44259E97AA42C98CD2E0E15EE26680">
    <w:name w:val="DB44259E97AA42C98CD2E0E15EE26680"/>
  </w:style>
  <w:style w:type="paragraph" w:customStyle="1" w:styleId="A0CC1B5809074336A8B0B716B98E485D">
    <w:name w:val="A0CC1B5809074336A8B0B716B98E485D"/>
    <w:rsid w:val="00037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FDD36-6AAF-4BCA-87C0-3F185336108B}">
  <ds:schemaRefs>
    <ds:schemaRef ds:uri="http://schemas.microsoft.com/sharepoint/v3/contenttype/forms"/>
  </ds:schemaRefs>
</ds:datastoreItem>
</file>

<file path=customXml/itemProps2.xml><?xml version="1.0" encoding="utf-8"?>
<ds:datastoreItem xmlns:ds="http://schemas.openxmlformats.org/officeDocument/2006/customXml" ds:itemID="{7C1F49FC-83D9-462F-81E7-A0EC83B9B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 pleading paper (26 lines).dotx</Template>
  <TotalTime>0</TotalTime>
  <Pages>4</Pages>
  <Words>688</Words>
  <Characters>3721</Characters>
  <Application>Microsoft Office Word</Application>
  <DocSecurity>0</DocSecurity>
  <Lines>177</Lines>
  <Paragraphs>68</Paragraphs>
  <ScaleCrop>false</ScaleCrop>
  <HeadingPairs>
    <vt:vector size="2" baseType="variant">
      <vt:variant>
        <vt:lpstr>Title</vt:lpstr>
      </vt:variant>
      <vt:variant>
        <vt:i4>1</vt:i4>
      </vt:variant>
    </vt:vector>
  </HeadingPairs>
  <TitlesOfParts>
    <vt:vector size="1" baseType="lpstr">
      <vt:lpstr>Supreme Court
No. R-16-0047
Comment on behalf of Arizona Commission on Access to Justice</vt:lpstr>
    </vt:vector>
  </TitlesOfParts>
  <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Supreme Court
No. R-16-0047
Comment on behalf of Arizona Commission on Access to Justice</dc:title>
  <dc:creator/>
  <cp:keywords/>
  <cp:lastModifiedBy/>
  <cp:revision>1</cp:revision>
  <dcterms:created xsi:type="dcterms:W3CDTF">2017-02-23T21:15:00Z</dcterms:created>
  <dcterms:modified xsi:type="dcterms:W3CDTF">2017-05-18T20:09:00Z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TC039920269991</vt:lpwstr>
  </property>
</Properties>
</file>