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:rsidTr="006F63FD">
        <w:trPr>
          <w:cantSplit/>
          <w:trHeight w:val="1987"/>
        </w:trPr>
        <w:tc>
          <w:tcPr>
            <w:tcW w:w="4836" w:type="dxa"/>
          </w:tcPr>
          <w:p w:rsidR="00B02AF3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Elizabeth Ortiz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012838</w:t>
            </w:r>
          </w:p>
          <w:p w:rsidR="00000C35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Director</w:t>
            </w:r>
          </w:p>
          <w:p w:rsidR="00494BDF" w:rsidRPr="006F63FD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Prosecuting Attorneys’ Advisory Council</w:t>
            </w:r>
          </w:p>
          <w:p w:rsidR="00357F4D" w:rsidRPr="006F63FD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 West Camelback Road, Suite</w:t>
            </w:r>
            <w:r w:rsidR="00357F4D" w:rsidRPr="006F6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</w:p>
          <w:p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</w:t>
            </w:r>
            <w:r w:rsidR="00B02AF3">
              <w:rPr>
                <w:sz w:val="28"/>
                <w:szCs w:val="28"/>
              </w:rPr>
              <w:t>5</w:t>
            </w:r>
            <w:r w:rsidRPr="006F63FD"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3407</w:t>
            </w:r>
          </w:p>
          <w:p w:rsidR="00357F4D" w:rsidRPr="006F63FD" w:rsidRDefault="00352347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(602) </w:t>
            </w:r>
            <w:r w:rsidR="00B02AF3">
              <w:rPr>
                <w:sz w:val="28"/>
                <w:szCs w:val="28"/>
              </w:rPr>
              <w:t>542</w:t>
            </w:r>
            <w:r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7222 / FAX (602) 274-4215</w:t>
            </w:r>
          </w:p>
          <w:p w:rsidR="00B02AF3" w:rsidRDefault="001866BF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hyperlink r:id="rId8" w:history="1">
              <w:r w:rsidR="00B02AF3" w:rsidRPr="00FE2EAB">
                <w:rPr>
                  <w:rStyle w:val="Hyperlink"/>
                  <w:sz w:val="28"/>
                  <w:szCs w:val="28"/>
                </w:rPr>
                <w:t>Elizabeth.Ortiz@apaac.az.gov</w:t>
              </w:r>
            </w:hyperlink>
          </w:p>
          <w:p w:rsidR="00B02AF3" w:rsidRPr="00735659" w:rsidRDefault="00B02AF3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:rsidR="00357F4D" w:rsidRPr="00732169" w:rsidRDefault="00E67511" w:rsidP="00E321C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706612">
              <w:rPr>
                <w:b/>
                <w:sz w:val="28"/>
                <w:szCs w:val="28"/>
              </w:rPr>
              <w:t xml:space="preserve">DELETE RULE 20, TO ADD RULE 24.1 AND TO RENUMBER RULES 24.1, 24.2, 24.3, AND 24.4, </w:t>
            </w:r>
            <w:r w:rsidR="00CC2E2B">
              <w:rPr>
                <w:b/>
                <w:sz w:val="28"/>
                <w:szCs w:val="28"/>
              </w:rPr>
              <w:t>ARIZONA RULES OF CR</w:t>
            </w:r>
            <w:r w:rsidR="005A5C62">
              <w:rPr>
                <w:b/>
                <w:sz w:val="28"/>
                <w:szCs w:val="28"/>
              </w:rPr>
              <w:t>IMINAL</w:t>
            </w:r>
            <w:r w:rsidR="00B87B69">
              <w:rPr>
                <w:b/>
                <w:sz w:val="28"/>
                <w:szCs w:val="28"/>
              </w:rPr>
              <w:t xml:space="preserve"> PROCEDURE</w:t>
            </w:r>
          </w:p>
          <w:p w:rsidR="00357F4D" w:rsidRPr="000F7A7F" w:rsidRDefault="00357F4D" w:rsidP="00E321C5">
            <w:pPr>
              <w:pStyle w:val="Caption"/>
              <w:spacing w:before="240" w:after="240"/>
              <w:rPr>
                <w:szCs w:val="2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B87B69">
              <w:rPr>
                <w:sz w:val="28"/>
                <w:szCs w:val="28"/>
              </w:rPr>
              <w:t>1</w:t>
            </w:r>
            <w:r w:rsidR="00CC2E2B">
              <w:rPr>
                <w:sz w:val="28"/>
                <w:szCs w:val="28"/>
              </w:rPr>
              <w:t>7</w:t>
            </w:r>
            <w:r w:rsidR="00B87B69">
              <w:rPr>
                <w:sz w:val="28"/>
                <w:szCs w:val="28"/>
              </w:rPr>
              <w:t>-00</w:t>
            </w:r>
            <w:r w:rsidR="003700EE">
              <w:rPr>
                <w:sz w:val="28"/>
                <w:szCs w:val="28"/>
              </w:rPr>
              <w:t>2</w:t>
            </w:r>
            <w:r w:rsidR="00706612">
              <w:rPr>
                <w:sz w:val="28"/>
                <w:szCs w:val="28"/>
              </w:rPr>
              <w:t>8</w:t>
            </w:r>
          </w:p>
          <w:p w:rsidR="000F7A7F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COMMENT OF</w:t>
            </w:r>
          </w:p>
          <w:p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 xml:space="preserve">THE </w:t>
            </w:r>
            <w:r w:rsidR="00B02AF3">
              <w:rPr>
                <w:b/>
                <w:sz w:val="28"/>
                <w:szCs w:val="28"/>
              </w:rPr>
              <w:t>ARIZONA PROSECUTING ATTORNEYS’ ADVISORY COUNCIL</w:t>
            </w:r>
          </w:p>
          <w:p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:rsidR="00B02AF3" w:rsidRDefault="00B02AF3" w:rsidP="00B02AF3">
      <w:pPr>
        <w:pStyle w:val="Body"/>
        <w:widowControl w:val="0"/>
        <w:spacing w:line="240" w:lineRule="auto"/>
        <w:ind w:firstLine="720"/>
        <w:jc w:val="both"/>
        <w:rPr>
          <w:sz w:val="28"/>
          <w:szCs w:val="28"/>
        </w:rPr>
      </w:pPr>
    </w:p>
    <w:p w:rsidR="00AF5A67" w:rsidRDefault="0004073E" w:rsidP="000E0EE5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Maricopa County Attorney has </w:t>
      </w:r>
      <w:r w:rsidR="00706612">
        <w:rPr>
          <w:sz w:val="28"/>
          <w:szCs w:val="28"/>
        </w:rPr>
        <w:t>renewed a petition filed in 2016 (R-16-0031) to delete</w:t>
      </w:r>
      <w:r>
        <w:rPr>
          <w:sz w:val="28"/>
          <w:szCs w:val="28"/>
        </w:rPr>
        <w:t xml:space="preserve"> Rule</w:t>
      </w:r>
      <w:r w:rsidR="00706612">
        <w:rPr>
          <w:sz w:val="28"/>
          <w:szCs w:val="28"/>
        </w:rPr>
        <w:t xml:space="preserve"> 20</w:t>
      </w:r>
      <w:r>
        <w:rPr>
          <w:sz w:val="28"/>
          <w:szCs w:val="28"/>
        </w:rPr>
        <w:t>, Arizona Rules of Criminal Procedure</w:t>
      </w:r>
      <w:r w:rsidR="00706612">
        <w:rPr>
          <w:sz w:val="28"/>
          <w:szCs w:val="28"/>
        </w:rPr>
        <w:t xml:space="preserve">, </w:t>
      </w:r>
      <w:r w:rsidR="00706612" w:rsidRPr="001A6655">
        <w:rPr>
          <w:sz w:val="28"/>
          <w:szCs w:val="28"/>
        </w:rPr>
        <w:t>move the post-verdict portions of Rule 20 to a new Rule 24.1</w:t>
      </w:r>
      <w:r w:rsidR="00706612">
        <w:rPr>
          <w:sz w:val="28"/>
          <w:szCs w:val="28"/>
        </w:rPr>
        <w:t>,</w:t>
      </w:r>
      <w:r w:rsidR="00706612" w:rsidRPr="001A6655">
        <w:rPr>
          <w:sz w:val="28"/>
          <w:szCs w:val="28"/>
        </w:rPr>
        <w:t xml:space="preserve"> and renumber that existing rule’s subsections</w:t>
      </w:r>
      <w:r w:rsidR="00936D70">
        <w:rPr>
          <w:sz w:val="28"/>
          <w:szCs w:val="28"/>
        </w:rPr>
        <w:t xml:space="preserve">.  </w:t>
      </w:r>
      <w:r w:rsidR="00706612">
        <w:rPr>
          <w:sz w:val="28"/>
          <w:szCs w:val="28"/>
        </w:rPr>
        <w:t>As stated last year, t</w:t>
      </w:r>
      <w:r w:rsidR="00706612" w:rsidRPr="001A6655">
        <w:rPr>
          <w:sz w:val="28"/>
          <w:szCs w:val="28"/>
        </w:rPr>
        <w:t>he effect of th</w:t>
      </w:r>
      <w:r w:rsidR="00706612">
        <w:rPr>
          <w:sz w:val="28"/>
          <w:szCs w:val="28"/>
        </w:rPr>
        <w:t>e</w:t>
      </w:r>
      <w:r w:rsidR="00706612" w:rsidRPr="001A6655">
        <w:rPr>
          <w:sz w:val="28"/>
          <w:szCs w:val="28"/>
        </w:rPr>
        <w:t xml:space="preserve"> petition would maintain a defendant’s procedural right to have a judgment of acquittal entered, but would also allow appellate review of any judgment of acquittal, thereby assuring a victim’s right to justice and due process along with the State’s right to a jury trial.</w:t>
      </w:r>
      <w:r w:rsidR="008B0A9B" w:rsidRPr="008B0A9B">
        <w:rPr>
          <w:sz w:val="28"/>
          <w:szCs w:val="28"/>
        </w:rPr>
        <w:t xml:space="preserve"> </w:t>
      </w:r>
      <w:r w:rsidR="008B0A9B">
        <w:rPr>
          <w:sz w:val="28"/>
          <w:szCs w:val="28"/>
        </w:rPr>
        <w:t xml:space="preserve"> Despite the unusual posture of this petition, t</w:t>
      </w:r>
      <w:r w:rsidR="008B0A9B" w:rsidRPr="0023316F">
        <w:rPr>
          <w:sz w:val="28"/>
          <w:szCs w:val="28"/>
        </w:rPr>
        <w:t xml:space="preserve">he </w:t>
      </w:r>
      <w:r w:rsidR="008B0A9B">
        <w:rPr>
          <w:sz w:val="28"/>
          <w:szCs w:val="28"/>
        </w:rPr>
        <w:t>Arizona Prosecuting Attorneys’ Advisory Council (“APAAC”)</w:t>
      </w:r>
      <w:r w:rsidR="008B0A9B" w:rsidRPr="0023316F">
        <w:rPr>
          <w:sz w:val="28"/>
          <w:szCs w:val="28"/>
        </w:rPr>
        <w:t xml:space="preserve"> has </w:t>
      </w:r>
      <w:r w:rsidR="008B0A9B">
        <w:rPr>
          <w:sz w:val="28"/>
          <w:szCs w:val="28"/>
        </w:rPr>
        <w:t xml:space="preserve">again </w:t>
      </w:r>
      <w:r w:rsidR="008B0A9B" w:rsidRPr="0023316F">
        <w:rPr>
          <w:sz w:val="28"/>
          <w:szCs w:val="28"/>
        </w:rPr>
        <w:t>considered the proposed change</w:t>
      </w:r>
      <w:r w:rsidR="008B0A9B">
        <w:rPr>
          <w:sz w:val="28"/>
          <w:szCs w:val="28"/>
        </w:rPr>
        <w:t xml:space="preserve">s in the petition and </w:t>
      </w:r>
      <w:r w:rsidR="008B0A9B">
        <w:rPr>
          <w:sz w:val="28"/>
          <w:szCs w:val="28"/>
        </w:rPr>
        <w:lastRenderedPageBreak/>
        <w:t xml:space="preserve">supports them.  </w:t>
      </w:r>
    </w:p>
    <w:p w:rsidR="00F76EF8" w:rsidRDefault="00F76EF8" w:rsidP="00F76EF8">
      <w:pPr>
        <w:pStyle w:val="Body"/>
        <w:widowControl w:val="0"/>
        <w:spacing w:line="480" w:lineRule="auto"/>
        <w:ind w:firstLine="720"/>
        <w:jc w:val="both"/>
        <w:rPr>
          <w:b/>
          <w:sz w:val="28"/>
          <w:szCs w:val="28"/>
        </w:rPr>
      </w:pPr>
      <w:r w:rsidRPr="009D7A5B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</w:r>
      <w:r w:rsidRPr="009D7A5B">
        <w:rPr>
          <w:b/>
          <w:sz w:val="28"/>
          <w:szCs w:val="28"/>
        </w:rPr>
        <w:t>DISCUSSION/ANALYSIS</w:t>
      </w:r>
    </w:p>
    <w:p w:rsidR="005971F4" w:rsidRDefault="00106F81" w:rsidP="000E0EE5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While APAAC will not reiterate and repeat here its comment to R-16-0031, it stands by the position urged </w:t>
      </w:r>
      <w:r w:rsidR="008E3ECE">
        <w:rPr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r w:rsidR="008E3ECE">
        <w:rPr>
          <w:sz w:val="28"/>
          <w:szCs w:val="28"/>
        </w:rPr>
        <w:t>tha</w:t>
      </w:r>
      <w:r>
        <w:rPr>
          <w:sz w:val="28"/>
          <w:szCs w:val="28"/>
        </w:rPr>
        <w:t>t comment</w:t>
      </w:r>
      <w:r w:rsidR="008E3ECE">
        <w:rPr>
          <w:sz w:val="28"/>
          <w:szCs w:val="28"/>
        </w:rPr>
        <w:t xml:space="preserve"> and offers the following addition</w:t>
      </w:r>
      <w:r w:rsidR="00DA4A7E">
        <w:rPr>
          <w:sz w:val="28"/>
          <w:szCs w:val="28"/>
        </w:rPr>
        <w:t>:</w:t>
      </w:r>
    </w:p>
    <w:p w:rsidR="004950D8" w:rsidRDefault="008E3ECE" w:rsidP="004950D8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Petitioner references </w:t>
      </w:r>
      <w:r w:rsidR="00DB5282">
        <w:rPr>
          <w:sz w:val="28"/>
          <w:szCs w:val="28"/>
        </w:rPr>
        <w:t xml:space="preserve">yet </w:t>
      </w:r>
      <w:r>
        <w:rPr>
          <w:sz w:val="28"/>
          <w:szCs w:val="28"/>
        </w:rPr>
        <w:t>a</w:t>
      </w:r>
      <w:r w:rsidR="00C5164D">
        <w:rPr>
          <w:sz w:val="28"/>
          <w:szCs w:val="28"/>
        </w:rPr>
        <w:t>nother</w:t>
      </w:r>
      <w:r>
        <w:rPr>
          <w:sz w:val="28"/>
          <w:szCs w:val="28"/>
        </w:rPr>
        <w:t xml:space="preserve"> new example of</w:t>
      </w:r>
      <w:r w:rsidR="00C5164D">
        <w:rPr>
          <w:sz w:val="28"/>
          <w:szCs w:val="28"/>
        </w:rPr>
        <w:t xml:space="preserve"> how </w:t>
      </w:r>
      <w:r w:rsidR="004950D8">
        <w:rPr>
          <w:sz w:val="28"/>
          <w:szCs w:val="28"/>
        </w:rPr>
        <w:t>a judgment of acquittal</w:t>
      </w:r>
      <w:r w:rsidR="0018698D">
        <w:rPr>
          <w:sz w:val="28"/>
          <w:szCs w:val="28"/>
        </w:rPr>
        <w:t xml:space="preserve"> before verdict</w:t>
      </w:r>
      <w:r w:rsidR="004950D8">
        <w:rPr>
          <w:sz w:val="28"/>
          <w:szCs w:val="28"/>
        </w:rPr>
        <w:t>, once made, precludes</w:t>
      </w:r>
      <w:r w:rsidR="00C971E8">
        <w:rPr>
          <w:sz w:val="28"/>
          <w:szCs w:val="28"/>
        </w:rPr>
        <w:t xml:space="preserve"> appeal by the state, even when the trial court </w:t>
      </w:r>
      <w:r w:rsidR="00AB18F5">
        <w:rPr>
          <w:sz w:val="28"/>
          <w:szCs w:val="28"/>
        </w:rPr>
        <w:t xml:space="preserve">acts to </w:t>
      </w:r>
      <w:r w:rsidR="00C971E8">
        <w:rPr>
          <w:sz w:val="28"/>
          <w:szCs w:val="28"/>
        </w:rPr>
        <w:t>change</w:t>
      </w:r>
      <w:r w:rsidR="00E835AA">
        <w:rPr>
          <w:sz w:val="28"/>
          <w:szCs w:val="28"/>
        </w:rPr>
        <w:t xml:space="preserve"> the acquittal</w:t>
      </w:r>
      <w:r w:rsidR="0018698D">
        <w:rPr>
          <w:sz w:val="28"/>
          <w:szCs w:val="28"/>
        </w:rPr>
        <w:t>.</w:t>
      </w:r>
      <w:r w:rsidR="00E835AA">
        <w:rPr>
          <w:sz w:val="28"/>
          <w:szCs w:val="28"/>
        </w:rPr>
        <w:t xml:space="preserve">  In </w:t>
      </w:r>
      <w:r w:rsidR="00E835AA" w:rsidRPr="00DA4A7E">
        <w:rPr>
          <w:i/>
          <w:sz w:val="28"/>
          <w:szCs w:val="28"/>
        </w:rPr>
        <w:t>State v. Ruiz</w:t>
      </w:r>
      <w:r w:rsidR="00E835AA">
        <w:rPr>
          <w:sz w:val="28"/>
          <w:szCs w:val="28"/>
        </w:rPr>
        <w:t>, 239 Ariz. 379, 372 P.3d 323</w:t>
      </w:r>
      <w:r w:rsidR="00365895">
        <w:rPr>
          <w:sz w:val="28"/>
          <w:szCs w:val="28"/>
        </w:rPr>
        <w:t xml:space="preserve"> (App. 2016), the trial court initially granted the defendant’s Rule 20 motion for judgment of acquittal</w:t>
      </w:r>
      <w:r w:rsidR="00A81D05">
        <w:rPr>
          <w:sz w:val="28"/>
          <w:szCs w:val="28"/>
        </w:rPr>
        <w:t xml:space="preserve"> on two robbery counts</w:t>
      </w:r>
      <w:r w:rsidR="00365895">
        <w:rPr>
          <w:sz w:val="28"/>
          <w:szCs w:val="28"/>
        </w:rPr>
        <w:t>.</w:t>
      </w:r>
      <w:r w:rsidR="00182F8A">
        <w:rPr>
          <w:sz w:val="28"/>
          <w:szCs w:val="28"/>
        </w:rPr>
        <w:t xml:space="preserve">  After hearing rebuttal argument from the state</w:t>
      </w:r>
      <w:r w:rsidR="00EA2F10">
        <w:rPr>
          <w:sz w:val="28"/>
          <w:szCs w:val="28"/>
        </w:rPr>
        <w:t xml:space="preserve"> and granting an amendment</w:t>
      </w:r>
      <w:r w:rsidR="00182F8A">
        <w:rPr>
          <w:sz w:val="28"/>
          <w:szCs w:val="28"/>
        </w:rPr>
        <w:t xml:space="preserve">, the court </w:t>
      </w:r>
      <w:r w:rsidR="00DA4A7E">
        <w:rPr>
          <w:sz w:val="28"/>
          <w:szCs w:val="28"/>
        </w:rPr>
        <w:t xml:space="preserve">then </w:t>
      </w:r>
      <w:r w:rsidR="00CA157F">
        <w:rPr>
          <w:sz w:val="28"/>
          <w:szCs w:val="28"/>
        </w:rPr>
        <w:t>denied the Rule 20 motion.</w:t>
      </w:r>
      <w:r w:rsidR="00B71A3E">
        <w:rPr>
          <w:sz w:val="28"/>
          <w:szCs w:val="28"/>
        </w:rPr>
        <w:t xml:space="preserve"> </w:t>
      </w:r>
      <w:r w:rsidR="00CA157F">
        <w:rPr>
          <w:sz w:val="28"/>
          <w:szCs w:val="28"/>
        </w:rPr>
        <w:t xml:space="preserve"> </w:t>
      </w:r>
      <w:r w:rsidR="00CA157F" w:rsidRPr="00DA4A7E">
        <w:rPr>
          <w:i/>
          <w:sz w:val="28"/>
          <w:szCs w:val="28"/>
        </w:rPr>
        <w:t>Rui</w:t>
      </w:r>
      <w:r w:rsidR="00DA4A7E">
        <w:rPr>
          <w:i/>
          <w:sz w:val="28"/>
          <w:szCs w:val="28"/>
        </w:rPr>
        <w:t>z</w:t>
      </w:r>
      <w:r w:rsidR="00CA157F">
        <w:rPr>
          <w:sz w:val="28"/>
          <w:szCs w:val="28"/>
        </w:rPr>
        <w:t xml:space="preserve">, </w:t>
      </w:r>
      <w:r w:rsidR="00DA4A7E">
        <w:rPr>
          <w:sz w:val="28"/>
          <w:szCs w:val="28"/>
        </w:rPr>
        <w:t xml:space="preserve">239 Ariz. </w:t>
      </w:r>
      <w:r w:rsidR="00CA157F">
        <w:rPr>
          <w:sz w:val="28"/>
          <w:szCs w:val="28"/>
        </w:rPr>
        <w:t xml:space="preserve">at 383, </w:t>
      </w:r>
      <w:r w:rsidR="00DA4A7E">
        <w:rPr>
          <w:sz w:val="28"/>
          <w:szCs w:val="28"/>
        </w:rPr>
        <w:t>¶</w:t>
      </w:r>
      <w:r w:rsidR="00CA157F">
        <w:rPr>
          <w:sz w:val="28"/>
          <w:szCs w:val="28"/>
        </w:rPr>
        <w:t xml:space="preserve"> 14,</w:t>
      </w:r>
      <w:r w:rsidR="00EE77A3">
        <w:rPr>
          <w:sz w:val="28"/>
          <w:szCs w:val="28"/>
        </w:rPr>
        <w:t xml:space="preserve"> 372 P.3d at 327.</w:t>
      </w:r>
      <w:r w:rsidR="00A456B2">
        <w:rPr>
          <w:sz w:val="28"/>
          <w:szCs w:val="28"/>
        </w:rPr>
        <w:t xml:space="preserve">  </w:t>
      </w:r>
      <w:r w:rsidR="00EA458F">
        <w:rPr>
          <w:sz w:val="28"/>
          <w:szCs w:val="28"/>
        </w:rPr>
        <w:t>A jury convicted Ruiz on t</w:t>
      </w:r>
      <w:r w:rsidR="007A1558">
        <w:rPr>
          <w:sz w:val="28"/>
          <w:szCs w:val="28"/>
        </w:rPr>
        <w:t xml:space="preserve">hose </w:t>
      </w:r>
      <w:r w:rsidR="0077293F">
        <w:rPr>
          <w:sz w:val="28"/>
          <w:szCs w:val="28"/>
        </w:rPr>
        <w:t xml:space="preserve">robbery </w:t>
      </w:r>
      <w:r w:rsidR="007A1558">
        <w:rPr>
          <w:sz w:val="28"/>
          <w:szCs w:val="28"/>
        </w:rPr>
        <w:t>counts</w:t>
      </w:r>
      <w:r w:rsidR="00C73AF0">
        <w:rPr>
          <w:sz w:val="28"/>
          <w:szCs w:val="28"/>
        </w:rPr>
        <w:t>, but D</w:t>
      </w:r>
      <w:r w:rsidR="00A456B2">
        <w:rPr>
          <w:sz w:val="28"/>
          <w:szCs w:val="28"/>
        </w:rPr>
        <w:t>ivision Two</w:t>
      </w:r>
      <w:r w:rsidR="00AA1450">
        <w:rPr>
          <w:sz w:val="28"/>
          <w:szCs w:val="28"/>
        </w:rPr>
        <w:t xml:space="preserve"> held that double jeopardy barred the court from reversing its initial decision</w:t>
      </w:r>
      <w:r w:rsidR="00EA458F">
        <w:rPr>
          <w:sz w:val="28"/>
          <w:szCs w:val="28"/>
        </w:rPr>
        <w:t xml:space="preserve"> and vacated Ruiz’s convictions.</w:t>
      </w:r>
      <w:r w:rsidR="00C73AF0">
        <w:rPr>
          <w:sz w:val="28"/>
          <w:szCs w:val="28"/>
        </w:rPr>
        <w:t xml:space="preserve">  </w:t>
      </w:r>
      <w:r w:rsidR="00A12F4B" w:rsidRPr="00A12F4B">
        <w:rPr>
          <w:i/>
          <w:sz w:val="28"/>
          <w:szCs w:val="28"/>
        </w:rPr>
        <w:t>Id.</w:t>
      </w:r>
      <w:r w:rsidR="00A12F4B">
        <w:rPr>
          <w:sz w:val="28"/>
          <w:szCs w:val="28"/>
        </w:rPr>
        <w:t>,</w:t>
      </w:r>
      <w:r w:rsidR="00C73AF0">
        <w:rPr>
          <w:sz w:val="28"/>
          <w:szCs w:val="28"/>
        </w:rPr>
        <w:t xml:space="preserve"> </w:t>
      </w:r>
      <w:r w:rsidR="00DA4A7E">
        <w:rPr>
          <w:sz w:val="28"/>
          <w:szCs w:val="28"/>
        </w:rPr>
        <w:t>¶</w:t>
      </w:r>
      <w:r w:rsidR="00E50C76">
        <w:rPr>
          <w:sz w:val="28"/>
          <w:szCs w:val="28"/>
        </w:rPr>
        <w:t xml:space="preserve"> 16, </w:t>
      </w:r>
      <w:r w:rsidR="00C73AF0">
        <w:rPr>
          <w:sz w:val="28"/>
          <w:szCs w:val="28"/>
        </w:rPr>
        <w:t>372 P.3d at 328.</w:t>
      </w:r>
      <w:r w:rsidR="00455B50">
        <w:rPr>
          <w:sz w:val="28"/>
          <w:szCs w:val="28"/>
        </w:rPr>
        <w:t xml:space="preserve">  The Court acknowledged</w:t>
      </w:r>
      <w:r w:rsidR="00DA4A7E">
        <w:rPr>
          <w:sz w:val="28"/>
          <w:szCs w:val="28"/>
        </w:rPr>
        <w:t>, however,</w:t>
      </w:r>
      <w:r w:rsidR="00455B50">
        <w:rPr>
          <w:sz w:val="28"/>
          <w:szCs w:val="28"/>
        </w:rPr>
        <w:t xml:space="preserve"> that </w:t>
      </w:r>
      <w:r w:rsidR="008E4760">
        <w:rPr>
          <w:sz w:val="28"/>
          <w:szCs w:val="28"/>
        </w:rPr>
        <w:t xml:space="preserve">its double jeopardy decisions “are very strict.”  </w:t>
      </w:r>
      <w:r w:rsidR="00F3781F" w:rsidRPr="00DA4A7E">
        <w:rPr>
          <w:i/>
          <w:sz w:val="28"/>
          <w:szCs w:val="28"/>
        </w:rPr>
        <w:t>Id.</w:t>
      </w:r>
      <w:r w:rsidR="00F3781F">
        <w:rPr>
          <w:sz w:val="28"/>
          <w:szCs w:val="28"/>
        </w:rPr>
        <w:t xml:space="preserve">, </w:t>
      </w:r>
      <w:r w:rsidR="00DA4A7E">
        <w:rPr>
          <w:sz w:val="28"/>
          <w:szCs w:val="28"/>
        </w:rPr>
        <w:t>f</w:t>
      </w:r>
      <w:r w:rsidR="00B61F90">
        <w:rPr>
          <w:sz w:val="28"/>
          <w:szCs w:val="28"/>
        </w:rPr>
        <w:t>n.</w:t>
      </w:r>
      <w:r w:rsidR="008E4760">
        <w:rPr>
          <w:sz w:val="28"/>
          <w:szCs w:val="28"/>
        </w:rPr>
        <w:t xml:space="preserve"> 5</w:t>
      </w:r>
      <w:r w:rsidR="00F3781F">
        <w:rPr>
          <w:sz w:val="28"/>
          <w:szCs w:val="28"/>
        </w:rPr>
        <w:t>.</w:t>
      </w:r>
    </w:p>
    <w:p w:rsidR="00F76EF8" w:rsidRDefault="00363622" w:rsidP="004950D8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is just another example of why a </w:t>
      </w:r>
      <w:r w:rsidR="00984B5C">
        <w:rPr>
          <w:sz w:val="28"/>
          <w:szCs w:val="28"/>
        </w:rPr>
        <w:t xml:space="preserve">pre-verdict </w:t>
      </w:r>
      <w:r>
        <w:rPr>
          <w:sz w:val="28"/>
          <w:szCs w:val="28"/>
        </w:rPr>
        <w:t>judgment of acquittal</w:t>
      </w:r>
      <w:r w:rsidR="00F85E97">
        <w:rPr>
          <w:sz w:val="28"/>
          <w:szCs w:val="28"/>
        </w:rPr>
        <w:t xml:space="preserve"> creates an un</w:t>
      </w:r>
      <w:r w:rsidR="00682DAD">
        <w:rPr>
          <w:sz w:val="28"/>
          <w:szCs w:val="28"/>
        </w:rPr>
        <w:t>just result in many instances</w:t>
      </w:r>
      <w:r w:rsidR="00DA4A7E">
        <w:rPr>
          <w:sz w:val="28"/>
          <w:szCs w:val="28"/>
        </w:rPr>
        <w:t>;</w:t>
      </w:r>
      <w:r w:rsidR="00CB44BE">
        <w:rPr>
          <w:sz w:val="28"/>
          <w:szCs w:val="28"/>
        </w:rPr>
        <w:t xml:space="preserve"> t</w:t>
      </w:r>
      <w:r w:rsidR="00682DAD">
        <w:rPr>
          <w:sz w:val="28"/>
          <w:szCs w:val="28"/>
        </w:rPr>
        <w:t xml:space="preserve">he jury convicted </w:t>
      </w:r>
      <w:r w:rsidR="00A12F4B">
        <w:rPr>
          <w:sz w:val="28"/>
          <w:szCs w:val="28"/>
        </w:rPr>
        <w:t xml:space="preserve">Ruiz of the robbery counts </w:t>
      </w:r>
      <w:r w:rsidR="00682DAD">
        <w:rPr>
          <w:sz w:val="28"/>
          <w:szCs w:val="28"/>
        </w:rPr>
        <w:t>after the trial court changed its mind.</w:t>
      </w:r>
      <w:r w:rsidR="00F47B65">
        <w:rPr>
          <w:sz w:val="28"/>
          <w:szCs w:val="28"/>
        </w:rPr>
        <w:t xml:space="preserve">  Th</w:t>
      </w:r>
      <w:r w:rsidR="00A12F4B">
        <w:rPr>
          <w:sz w:val="28"/>
          <w:szCs w:val="28"/>
        </w:rPr>
        <w:t xml:space="preserve">at </w:t>
      </w:r>
      <w:r w:rsidR="00B17B8E">
        <w:rPr>
          <w:sz w:val="28"/>
          <w:szCs w:val="28"/>
        </w:rPr>
        <w:t>underscores</w:t>
      </w:r>
      <w:r w:rsidR="00F47B65">
        <w:rPr>
          <w:sz w:val="28"/>
          <w:szCs w:val="28"/>
        </w:rPr>
        <w:t xml:space="preserve"> supports the argument</w:t>
      </w:r>
      <w:r w:rsidR="006703FF">
        <w:rPr>
          <w:sz w:val="28"/>
          <w:szCs w:val="28"/>
        </w:rPr>
        <w:t xml:space="preserve"> that a pre-verdict judgment of acquittal creates an unfair windfall</w:t>
      </w:r>
      <w:r w:rsidR="0075023C">
        <w:rPr>
          <w:sz w:val="28"/>
          <w:szCs w:val="28"/>
        </w:rPr>
        <w:t xml:space="preserve"> to defendants when there is otherwise sufficient evidence to convict.</w:t>
      </w:r>
      <w:r w:rsidR="00DF1DF3">
        <w:rPr>
          <w:sz w:val="28"/>
          <w:szCs w:val="28"/>
        </w:rPr>
        <w:t xml:space="preserve">  </w:t>
      </w:r>
      <w:r w:rsidR="00F76EF8">
        <w:rPr>
          <w:sz w:val="28"/>
          <w:szCs w:val="28"/>
        </w:rPr>
        <w:t xml:space="preserve">Arizona could change this.  As the </w:t>
      </w:r>
      <w:r w:rsidR="00F76EF8">
        <w:rPr>
          <w:sz w:val="28"/>
          <w:szCs w:val="28"/>
        </w:rPr>
        <w:lastRenderedPageBreak/>
        <w:t xml:space="preserve">United States Supreme Court stated in </w:t>
      </w:r>
      <w:r w:rsidR="00F76EF8" w:rsidRPr="001A6655">
        <w:rPr>
          <w:i/>
          <w:sz w:val="28"/>
          <w:szCs w:val="28"/>
        </w:rPr>
        <w:t>Evans v. Michigan</w:t>
      </w:r>
      <w:r w:rsidR="00F76EF8" w:rsidRPr="001A6655">
        <w:rPr>
          <w:sz w:val="28"/>
          <w:szCs w:val="28"/>
        </w:rPr>
        <w:t xml:space="preserve">, ___ U.S. ___, 133 </w:t>
      </w:r>
      <w:proofErr w:type="spellStart"/>
      <w:r w:rsidR="00F76EF8" w:rsidRPr="001A6655">
        <w:rPr>
          <w:sz w:val="28"/>
          <w:szCs w:val="28"/>
        </w:rPr>
        <w:t>S.Ct</w:t>
      </w:r>
      <w:proofErr w:type="spellEnd"/>
      <w:r w:rsidR="00F76EF8" w:rsidRPr="001A6655">
        <w:rPr>
          <w:sz w:val="28"/>
          <w:szCs w:val="28"/>
        </w:rPr>
        <w:t>. 1069, 185 L.Ed.2d 124 (2013)</w:t>
      </w:r>
      <w:r w:rsidR="00F76EF8">
        <w:rPr>
          <w:sz w:val="28"/>
          <w:szCs w:val="28"/>
        </w:rPr>
        <w:t>:</w:t>
      </w:r>
    </w:p>
    <w:p w:rsidR="00F76EF8" w:rsidRDefault="00F76EF8" w:rsidP="00F76EF8">
      <w:pPr>
        <w:pStyle w:val="Body"/>
        <w:widowControl w:val="0"/>
        <w:spacing w:line="240" w:lineRule="auto"/>
        <w:ind w:left="720" w:righ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But sovereigns are hardly powerless to prevent this sort of situation, as we observed in </w:t>
      </w:r>
      <w:r w:rsidRPr="00F76EF8">
        <w:rPr>
          <w:i/>
          <w:sz w:val="28"/>
          <w:szCs w:val="28"/>
        </w:rPr>
        <w:t>Smith</w:t>
      </w:r>
      <w:r>
        <w:rPr>
          <w:sz w:val="28"/>
          <w:szCs w:val="28"/>
        </w:rPr>
        <w:t xml:space="preserve">, 543 U.S., at 474, 125 </w:t>
      </w:r>
      <w:proofErr w:type="spellStart"/>
      <w:r>
        <w:rPr>
          <w:sz w:val="28"/>
          <w:szCs w:val="28"/>
        </w:rPr>
        <w:t>S.Ct</w:t>
      </w:r>
      <w:proofErr w:type="spellEnd"/>
      <w:r>
        <w:rPr>
          <w:sz w:val="28"/>
          <w:szCs w:val="28"/>
        </w:rPr>
        <w:t>. 1129.  Nothing obligates a jurisdiction to afford its trial courts the power to grant a midtrial acquittal, and at least two States disallow the practice.</w:t>
      </w:r>
    </w:p>
    <w:p w:rsidR="00F76EF8" w:rsidRDefault="00F76EF8" w:rsidP="00F76EF8">
      <w:pPr>
        <w:pStyle w:val="Body"/>
        <w:widowControl w:val="0"/>
        <w:spacing w:line="240" w:lineRule="auto"/>
        <w:ind w:left="720" w:right="720" w:firstLine="0"/>
        <w:jc w:val="both"/>
        <w:rPr>
          <w:sz w:val="28"/>
          <w:szCs w:val="28"/>
        </w:rPr>
      </w:pPr>
    </w:p>
    <w:p w:rsidR="00F76EF8" w:rsidRDefault="00F76EF8" w:rsidP="00F76EF8">
      <w:pPr>
        <w:pStyle w:val="Body"/>
        <w:widowControl w:val="0"/>
        <w:spacing w:line="480" w:lineRule="auto"/>
        <w:ind w:firstLine="0"/>
        <w:jc w:val="both"/>
        <w:rPr>
          <w:sz w:val="28"/>
          <w:szCs w:val="28"/>
        </w:rPr>
      </w:pPr>
      <w:r w:rsidRPr="001A6655">
        <w:rPr>
          <w:i/>
          <w:sz w:val="28"/>
          <w:szCs w:val="28"/>
        </w:rPr>
        <w:t>Evans v. Michigan</w:t>
      </w:r>
      <w:r w:rsidRPr="001A6655">
        <w:rPr>
          <w:sz w:val="28"/>
          <w:szCs w:val="28"/>
        </w:rPr>
        <w:t>,</w:t>
      </w:r>
      <w:r w:rsidRPr="00F76EF8">
        <w:rPr>
          <w:sz w:val="28"/>
          <w:szCs w:val="28"/>
        </w:rPr>
        <w:t xml:space="preserve"> </w:t>
      </w:r>
      <w:r w:rsidRPr="001A6655">
        <w:rPr>
          <w:sz w:val="28"/>
          <w:szCs w:val="28"/>
        </w:rPr>
        <w:t xml:space="preserve">133 </w:t>
      </w:r>
      <w:proofErr w:type="spellStart"/>
      <w:r w:rsidRPr="001A6655">
        <w:rPr>
          <w:sz w:val="28"/>
          <w:szCs w:val="28"/>
        </w:rPr>
        <w:t>S.Ct</w:t>
      </w:r>
      <w:proofErr w:type="spellEnd"/>
      <w:r w:rsidRPr="001A6655">
        <w:rPr>
          <w:sz w:val="28"/>
          <w:szCs w:val="28"/>
        </w:rPr>
        <w:t>. at 1081.</w:t>
      </w:r>
      <w:r>
        <w:rPr>
          <w:sz w:val="28"/>
          <w:szCs w:val="28"/>
        </w:rPr>
        <w:t xml:space="preserve">  Arizona could choose, as suggested by the petitioner, to allow trial courts to defer ruling on a motion to acquit until after the jury returns a verdict.</w:t>
      </w:r>
    </w:p>
    <w:p w:rsidR="00363622" w:rsidRDefault="00DF1DF3" w:rsidP="004950D8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right to a trial by jury in Arizona is “inviolate,</w:t>
      </w:r>
      <w:r w:rsidR="003D099D">
        <w:rPr>
          <w:sz w:val="28"/>
          <w:szCs w:val="28"/>
        </w:rPr>
        <w:t xml:space="preserve">” and in all criminal cases the unanimous consent of jurors is necessary to render a verdict.  Ariz. Const. art. 2, </w:t>
      </w:r>
      <w:r w:rsidR="00A12F4B">
        <w:rPr>
          <w:sz w:val="28"/>
          <w:szCs w:val="28"/>
        </w:rPr>
        <w:t>§</w:t>
      </w:r>
      <w:r w:rsidR="003D099D">
        <w:rPr>
          <w:sz w:val="28"/>
          <w:szCs w:val="28"/>
        </w:rPr>
        <w:t xml:space="preserve"> 2</w:t>
      </w:r>
      <w:r w:rsidR="00BC2117">
        <w:rPr>
          <w:sz w:val="28"/>
          <w:szCs w:val="28"/>
        </w:rPr>
        <w:t>3</w:t>
      </w:r>
      <w:r w:rsidR="003D099D">
        <w:rPr>
          <w:sz w:val="28"/>
          <w:szCs w:val="28"/>
        </w:rPr>
        <w:t>.</w:t>
      </w:r>
      <w:r w:rsidR="008C1D1B">
        <w:rPr>
          <w:sz w:val="28"/>
          <w:szCs w:val="28"/>
        </w:rPr>
        <w:t xml:space="preserve">  That right</w:t>
      </w:r>
      <w:r w:rsidR="005473E7">
        <w:rPr>
          <w:sz w:val="28"/>
          <w:szCs w:val="28"/>
        </w:rPr>
        <w:t xml:space="preserve"> extends to both the defendant and the state</w:t>
      </w:r>
      <w:r w:rsidR="00F106DB">
        <w:rPr>
          <w:sz w:val="28"/>
          <w:szCs w:val="28"/>
        </w:rPr>
        <w:t>.</w:t>
      </w:r>
      <w:r w:rsidR="009A5139">
        <w:rPr>
          <w:sz w:val="28"/>
          <w:szCs w:val="28"/>
        </w:rPr>
        <w:t xml:space="preserve">  </w:t>
      </w:r>
      <w:r w:rsidR="00CE6B8C">
        <w:rPr>
          <w:sz w:val="28"/>
          <w:szCs w:val="28"/>
        </w:rPr>
        <w:t>In addition, c</w:t>
      </w:r>
      <w:r w:rsidR="009A5139">
        <w:rPr>
          <w:sz w:val="28"/>
          <w:szCs w:val="28"/>
        </w:rPr>
        <w:t>rime victims in Arizona have the right</w:t>
      </w:r>
      <w:r w:rsidR="00BC2117">
        <w:rPr>
          <w:sz w:val="28"/>
          <w:szCs w:val="28"/>
        </w:rPr>
        <w:t xml:space="preserve"> to “justice and due process.”  Ariz. Const. art. 2, </w:t>
      </w:r>
      <w:r w:rsidR="00A12F4B">
        <w:rPr>
          <w:sz w:val="28"/>
          <w:szCs w:val="28"/>
        </w:rPr>
        <w:t>§</w:t>
      </w:r>
      <w:r w:rsidR="00BC2117">
        <w:rPr>
          <w:sz w:val="28"/>
          <w:szCs w:val="28"/>
        </w:rPr>
        <w:t xml:space="preserve"> 2.1.</w:t>
      </w:r>
      <w:r w:rsidR="00F106DB">
        <w:rPr>
          <w:sz w:val="28"/>
          <w:szCs w:val="28"/>
        </w:rPr>
        <w:t xml:space="preserve">  Under the proposed rule change</w:t>
      </w:r>
      <w:r w:rsidR="00F67B94">
        <w:rPr>
          <w:sz w:val="28"/>
          <w:szCs w:val="28"/>
        </w:rPr>
        <w:t xml:space="preserve"> offered by petitioner</w:t>
      </w:r>
      <w:r w:rsidR="005473E7">
        <w:rPr>
          <w:sz w:val="28"/>
          <w:szCs w:val="28"/>
        </w:rPr>
        <w:t xml:space="preserve">, trial </w:t>
      </w:r>
      <w:r w:rsidR="00F106DB">
        <w:rPr>
          <w:sz w:val="28"/>
          <w:szCs w:val="28"/>
        </w:rPr>
        <w:t>judges</w:t>
      </w:r>
      <w:r w:rsidR="005473E7">
        <w:rPr>
          <w:sz w:val="28"/>
          <w:szCs w:val="28"/>
        </w:rPr>
        <w:t xml:space="preserve"> who believe evidence is insufficient</w:t>
      </w:r>
      <w:r w:rsidR="00F106DB">
        <w:rPr>
          <w:sz w:val="28"/>
          <w:szCs w:val="28"/>
        </w:rPr>
        <w:t xml:space="preserve"> would still be able to </w:t>
      </w:r>
      <w:r w:rsidR="00F67B94">
        <w:rPr>
          <w:sz w:val="28"/>
          <w:szCs w:val="28"/>
        </w:rPr>
        <w:t>enter a judgment of acquittal post-verdict.</w:t>
      </w:r>
      <w:r w:rsidR="008B0A9B">
        <w:rPr>
          <w:sz w:val="28"/>
          <w:szCs w:val="28"/>
        </w:rPr>
        <w:t xml:space="preserve">  This would ensure that all parties, including the victim(s), receive a fair and just trial</w:t>
      </w:r>
      <w:r w:rsidR="008B0A9B" w:rsidRPr="008B0A9B">
        <w:rPr>
          <w:sz w:val="28"/>
          <w:szCs w:val="28"/>
        </w:rPr>
        <w:t xml:space="preserve"> </w:t>
      </w:r>
      <w:r w:rsidR="008B0A9B">
        <w:rPr>
          <w:sz w:val="28"/>
          <w:szCs w:val="28"/>
        </w:rPr>
        <w:t xml:space="preserve">and would protect a </w:t>
      </w:r>
      <w:r w:rsidR="008B0A9B" w:rsidRPr="001A6655">
        <w:rPr>
          <w:sz w:val="28"/>
          <w:szCs w:val="28"/>
        </w:rPr>
        <w:t>defendant’s procedural right to have a judgment of acquittal entered</w:t>
      </w:r>
      <w:r w:rsidR="008B0A9B">
        <w:rPr>
          <w:sz w:val="28"/>
          <w:szCs w:val="28"/>
        </w:rPr>
        <w:t>.</w:t>
      </w:r>
    </w:p>
    <w:p w:rsidR="00526087" w:rsidRPr="00104F4E" w:rsidRDefault="00526087" w:rsidP="00526087">
      <w:pPr>
        <w:pStyle w:val="Body"/>
        <w:widowControl w:val="0"/>
        <w:spacing w:line="480" w:lineRule="auto"/>
        <w:ind w:firstLine="720"/>
        <w:jc w:val="both"/>
        <w:rPr>
          <w:b/>
          <w:sz w:val="28"/>
          <w:szCs w:val="28"/>
        </w:rPr>
      </w:pPr>
      <w:r w:rsidRPr="00104F4E">
        <w:rPr>
          <w:b/>
          <w:sz w:val="28"/>
          <w:szCs w:val="28"/>
        </w:rPr>
        <w:t>III.</w:t>
      </w:r>
      <w:r w:rsidRPr="00104F4E">
        <w:rPr>
          <w:b/>
          <w:sz w:val="28"/>
          <w:szCs w:val="28"/>
        </w:rPr>
        <w:tab/>
        <w:t>CONCLUSION</w:t>
      </w:r>
    </w:p>
    <w:p w:rsidR="00526087" w:rsidRPr="00CF58A1" w:rsidRDefault="00E00AF4" w:rsidP="00E00AF4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D0C85">
        <w:rPr>
          <w:sz w:val="28"/>
          <w:szCs w:val="28"/>
        </w:rPr>
        <w:t>Arizona Prosecuting Attorneys’ Advisory Council</w:t>
      </w:r>
      <w:r>
        <w:rPr>
          <w:sz w:val="28"/>
          <w:szCs w:val="28"/>
        </w:rPr>
        <w:t xml:space="preserve"> </w:t>
      </w:r>
      <w:r w:rsidR="008B0A9B">
        <w:rPr>
          <w:sz w:val="28"/>
          <w:szCs w:val="28"/>
        </w:rPr>
        <w:t xml:space="preserve">urges this Court to again consider abolition of Rule 20, Arizona Rules of Criminal Procedure.  Under </w:t>
      </w:r>
      <w:r w:rsidR="008B0A9B">
        <w:rPr>
          <w:sz w:val="28"/>
          <w:szCs w:val="28"/>
        </w:rPr>
        <w:lastRenderedPageBreak/>
        <w:t xml:space="preserve">the proposal in R-17-0028, a trial court would still be able to either grant, post-verdict, a motion for acquittal or enter a judgment of acquittal </w:t>
      </w:r>
      <w:proofErr w:type="spellStart"/>
      <w:r w:rsidR="008B0A9B" w:rsidRPr="008B0A9B">
        <w:rPr>
          <w:i/>
          <w:sz w:val="28"/>
          <w:szCs w:val="28"/>
        </w:rPr>
        <w:t>sua</w:t>
      </w:r>
      <w:proofErr w:type="spellEnd"/>
      <w:r w:rsidR="008B0A9B" w:rsidRPr="008B0A9B">
        <w:rPr>
          <w:i/>
          <w:sz w:val="28"/>
          <w:szCs w:val="28"/>
        </w:rPr>
        <w:t xml:space="preserve"> </w:t>
      </w:r>
      <w:proofErr w:type="spellStart"/>
      <w:r w:rsidR="008B0A9B" w:rsidRPr="008B0A9B">
        <w:rPr>
          <w:i/>
          <w:sz w:val="28"/>
          <w:szCs w:val="28"/>
        </w:rPr>
        <w:t>sponte</w:t>
      </w:r>
      <w:proofErr w:type="spellEnd"/>
      <w:r w:rsidR="008B0A9B">
        <w:rPr>
          <w:sz w:val="28"/>
          <w:szCs w:val="28"/>
        </w:rPr>
        <w:t xml:space="preserve">.  </w:t>
      </w:r>
      <w:r w:rsidR="00B92AD8">
        <w:rPr>
          <w:sz w:val="28"/>
          <w:szCs w:val="28"/>
        </w:rPr>
        <w:t>In this way,</w:t>
      </w:r>
      <w:r w:rsidR="008B0A9B">
        <w:rPr>
          <w:sz w:val="28"/>
          <w:szCs w:val="28"/>
        </w:rPr>
        <w:t xml:space="preserve"> the rights of all parties would be protected and </w:t>
      </w:r>
      <w:r w:rsidR="00B92AD8">
        <w:rPr>
          <w:sz w:val="28"/>
          <w:szCs w:val="28"/>
        </w:rPr>
        <w:t>an</w:t>
      </w:r>
      <w:r w:rsidR="008B0A9B">
        <w:rPr>
          <w:sz w:val="28"/>
          <w:szCs w:val="28"/>
        </w:rPr>
        <w:t xml:space="preserve"> unfair windfall would be prevented.</w:t>
      </w:r>
    </w:p>
    <w:p w:rsidR="00CF3F68" w:rsidRDefault="00526087" w:rsidP="00CF3F68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</w:t>
      </w:r>
      <w:r w:rsidR="00CF3F68">
        <w:rPr>
          <w:szCs w:val="26"/>
        </w:rPr>
        <w:tab/>
      </w:r>
      <w:r w:rsidR="00CF3F68" w:rsidRPr="006F63FD">
        <w:rPr>
          <w:sz w:val="28"/>
          <w:szCs w:val="28"/>
        </w:rPr>
        <w:t xml:space="preserve">RESPECTFULLY SUBMITTED this </w:t>
      </w:r>
      <w:r w:rsidR="00CF3F68">
        <w:rPr>
          <w:sz w:val="28"/>
          <w:szCs w:val="28"/>
          <w:u w:val="single"/>
        </w:rPr>
        <w:t xml:space="preserve">  2</w:t>
      </w:r>
      <w:r w:rsidR="00CF3F68" w:rsidRPr="004744A9">
        <w:rPr>
          <w:sz w:val="28"/>
          <w:szCs w:val="28"/>
          <w:u w:val="single"/>
        </w:rPr>
        <w:t>4</w:t>
      </w:r>
      <w:r w:rsidR="00CF3F68" w:rsidRPr="004744A9">
        <w:rPr>
          <w:sz w:val="28"/>
          <w:szCs w:val="28"/>
          <w:u w:val="single"/>
          <w:vertAlign w:val="superscript"/>
        </w:rPr>
        <w:t>th</w:t>
      </w:r>
      <w:r w:rsidR="00CF3F68" w:rsidRPr="004744A9">
        <w:rPr>
          <w:sz w:val="28"/>
          <w:szCs w:val="28"/>
          <w:u w:val="single"/>
        </w:rPr>
        <w:t xml:space="preserve"> </w:t>
      </w:r>
      <w:r w:rsidR="00CF3F68">
        <w:rPr>
          <w:sz w:val="28"/>
          <w:szCs w:val="28"/>
        </w:rPr>
        <w:t>day of</w:t>
      </w:r>
      <w:r w:rsidR="00CF3F68" w:rsidRPr="004744A9">
        <w:rPr>
          <w:sz w:val="28"/>
          <w:szCs w:val="28"/>
          <w:u w:val="single"/>
        </w:rPr>
        <w:t xml:space="preserve"> </w:t>
      </w:r>
      <w:r w:rsidR="00CF3F68">
        <w:rPr>
          <w:sz w:val="28"/>
          <w:szCs w:val="28"/>
          <w:u w:val="single"/>
        </w:rPr>
        <w:tab/>
      </w:r>
      <w:r w:rsidR="00CF3F68" w:rsidRPr="004744A9">
        <w:rPr>
          <w:sz w:val="28"/>
          <w:szCs w:val="28"/>
          <w:u w:val="single"/>
        </w:rPr>
        <w:t>April</w:t>
      </w:r>
      <w:r w:rsidR="00CF3F68">
        <w:rPr>
          <w:sz w:val="28"/>
          <w:szCs w:val="28"/>
          <w:u w:val="single"/>
        </w:rPr>
        <w:tab/>
      </w:r>
      <w:r w:rsidR="00CF3F68" w:rsidRPr="004744A9">
        <w:rPr>
          <w:sz w:val="28"/>
          <w:szCs w:val="28"/>
          <w:u w:val="single"/>
        </w:rPr>
        <w:t xml:space="preserve"> </w:t>
      </w:r>
      <w:r w:rsidR="00CF3F68" w:rsidRPr="006F63FD">
        <w:rPr>
          <w:sz w:val="28"/>
          <w:szCs w:val="28"/>
        </w:rPr>
        <w:t>, 201</w:t>
      </w:r>
      <w:r w:rsidR="00CF3F68">
        <w:rPr>
          <w:sz w:val="28"/>
          <w:szCs w:val="28"/>
        </w:rPr>
        <w:t>7</w:t>
      </w:r>
      <w:r w:rsidR="00CF3F68" w:rsidRPr="006F63FD">
        <w:rPr>
          <w:sz w:val="28"/>
          <w:szCs w:val="28"/>
        </w:rPr>
        <w:t>.</w:t>
      </w:r>
    </w:p>
    <w:p w:rsidR="00FD0C85" w:rsidRDefault="00FD0C85" w:rsidP="00FD0C8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:rsidR="005B11B5" w:rsidRDefault="005B11B5" w:rsidP="00FD0C8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:rsidR="000C48A9" w:rsidRPr="006F63FD" w:rsidRDefault="006A1F70" w:rsidP="00FD0C85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 w:rsidRPr="00F34CCA">
        <w:rPr>
          <w:sz w:val="28"/>
          <w:szCs w:val="28"/>
        </w:rPr>
        <w:tab/>
      </w:r>
      <w:r w:rsidRPr="00F34CCA">
        <w:rPr>
          <w:sz w:val="28"/>
          <w:szCs w:val="28"/>
        </w:rPr>
        <w:tab/>
      </w:r>
      <w:r w:rsidRPr="00F34CCA">
        <w:rPr>
          <w:sz w:val="28"/>
          <w:szCs w:val="28"/>
        </w:rPr>
        <w:tab/>
      </w:r>
      <w:r w:rsidRPr="00F34CCA">
        <w:rPr>
          <w:sz w:val="28"/>
          <w:szCs w:val="28"/>
        </w:rPr>
        <w:tab/>
      </w:r>
      <w:r w:rsidRPr="00F34CCA">
        <w:rPr>
          <w:sz w:val="28"/>
          <w:szCs w:val="28"/>
        </w:rPr>
        <w:tab/>
      </w:r>
      <w:r w:rsidRPr="00F34CCA">
        <w:rPr>
          <w:sz w:val="28"/>
          <w:szCs w:val="28"/>
        </w:rPr>
        <w:tab/>
      </w:r>
      <w:r w:rsidRPr="00F34CCA">
        <w:rPr>
          <w:sz w:val="28"/>
          <w:szCs w:val="28"/>
          <w:u w:val="single"/>
        </w:rPr>
        <w:t xml:space="preserve">/s/  </w:t>
      </w:r>
      <w:r w:rsidRPr="00F34CCA">
        <w:rPr>
          <w:rFonts w:ascii="Lucida Handwriting" w:hAnsi="Lucida Handwriting"/>
          <w:sz w:val="28"/>
          <w:szCs w:val="28"/>
          <w:u w:val="single"/>
        </w:rPr>
        <w:t>Elizabeth Ortiz</w:t>
      </w:r>
      <w:r w:rsidRPr="00F34CCA">
        <w:rPr>
          <w:rFonts w:ascii="Lucida Handwriting" w:hAnsi="Lucida Handwriting"/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F34CCA">
        <w:rPr>
          <w:sz w:val="28"/>
          <w:szCs w:val="28"/>
          <w:u w:val="single"/>
        </w:rPr>
        <w:tab/>
      </w:r>
      <w:r w:rsidRPr="00F34CCA">
        <w:rPr>
          <w:sz w:val="28"/>
          <w:szCs w:val="28"/>
          <w:u w:val="single"/>
        </w:rPr>
        <w:tab/>
      </w:r>
      <w:r w:rsidR="00FD0C85">
        <w:rPr>
          <w:sz w:val="28"/>
          <w:szCs w:val="28"/>
        </w:rPr>
        <w:tab/>
      </w:r>
      <w:r w:rsidR="00FD0C85">
        <w:rPr>
          <w:sz w:val="28"/>
          <w:szCs w:val="28"/>
        </w:rPr>
        <w:tab/>
      </w:r>
      <w:r w:rsidR="00FD0C85">
        <w:rPr>
          <w:sz w:val="28"/>
          <w:szCs w:val="28"/>
        </w:rPr>
        <w:tab/>
      </w:r>
      <w:r w:rsidR="00FD0C85">
        <w:rPr>
          <w:sz w:val="28"/>
          <w:szCs w:val="28"/>
        </w:rPr>
        <w:tab/>
      </w:r>
      <w:r w:rsidR="00FD0C85">
        <w:rPr>
          <w:sz w:val="28"/>
          <w:szCs w:val="28"/>
        </w:rPr>
        <w:tab/>
      </w:r>
      <w:r w:rsidR="00FD0C85">
        <w:rPr>
          <w:sz w:val="28"/>
          <w:szCs w:val="28"/>
        </w:rPr>
        <w:tab/>
      </w:r>
      <w:r w:rsidR="00B02AF3">
        <w:rPr>
          <w:sz w:val="28"/>
          <w:szCs w:val="28"/>
        </w:rPr>
        <w:t>Elizabeth Ortiz, #012838</w:t>
      </w:r>
    </w:p>
    <w:p w:rsidR="000C48A9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:rsidR="00B02AF3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Arizona Prosecuting Attorneys’</w:t>
      </w:r>
    </w:p>
    <w:p w:rsidR="00B02AF3" w:rsidRPr="006F63FD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Advisory Council</w:t>
      </w:r>
    </w:p>
    <w:p w:rsidR="000C48A9" w:rsidRPr="00CF3F68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0"/>
          <w:szCs w:val="26"/>
        </w:rPr>
      </w:pPr>
    </w:p>
    <w:p w:rsidR="005B11B5" w:rsidRPr="005B11B5" w:rsidRDefault="005B11B5" w:rsidP="000C48A9">
      <w:pPr>
        <w:pStyle w:val="PleadingSignature"/>
        <w:keepNext w:val="0"/>
        <w:keepLines w:val="0"/>
        <w:spacing w:line="240" w:lineRule="auto"/>
        <w:ind w:left="5070"/>
        <w:rPr>
          <w:sz w:val="18"/>
          <w:szCs w:val="26"/>
        </w:rPr>
      </w:pPr>
    </w:p>
    <w:p w:rsidR="00CF3F68" w:rsidRPr="00CF3F68" w:rsidRDefault="00CF3F68" w:rsidP="00CF3F68">
      <w:pPr>
        <w:spacing w:line="240" w:lineRule="auto"/>
        <w:rPr>
          <w:sz w:val="28"/>
          <w:szCs w:val="28"/>
        </w:rPr>
      </w:pPr>
      <w:r w:rsidRPr="00CF3F68">
        <w:rPr>
          <w:sz w:val="28"/>
          <w:szCs w:val="28"/>
        </w:rPr>
        <w:t>Electronic copy filed with the</w:t>
      </w:r>
    </w:p>
    <w:p w:rsidR="00CF3F68" w:rsidRPr="00CF3F68" w:rsidRDefault="00CF3F68" w:rsidP="00CF3F68">
      <w:pPr>
        <w:spacing w:line="240" w:lineRule="auto"/>
        <w:rPr>
          <w:sz w:val="28"/>
          <w:szCs w:val="28"/>
        </w:rPr>
      </w:pPr>
      <w:r w:rsidRPr="00CF3F68">
        <w:rPr>
          <w:sz w:val="28"/>
          <w:szCs w:val="28"/>
        </w:rPr>
        <w:t>Clerk of the Arizona Supreme Court</w:t>
      </w:r>
    </w:p>
    <w:p w:rsidR="00CF3F68" w:rsidRPr="00CF3F68" w:rsidRDefault="00CF3F68" w:rsidP="00CF3F68">
      <w:pPr>
        <w:spacing w:line="240" w:lineRule="auto"/>
        <w:rPr>
          <w:sz w:val="28"/>
          <w:szCs w:val="28"/>
        </w:rPr>
      </w:pPr>
      <w:r w:rsidRPr="00CF3F68">
        <w:rPr>
          <w:sz w:val="28"/>
          <w:szCs w:val="28"/>
        </w:rPr>
        <w:t xml:space="preserve">this </w:t>
      </w:r>
      <w:r w:rsidRPr="00CF3F68">
        <w:rPr>
          <w:sz w:val="28"/>
          <w:szCs w:val="28"/>
          <w:u w:val="single"/>
        </w:rPr>
        <w:t xml:space="preserve">  24</w:t>
      </w:r>
      <w:r w:rsidRPr="00CF3F68">
        <w:rPr>
          <w:sz w:val="28"/>
          <w:szCs w:val="28"/>
          <w:u w:val="single"/>
          <w:vertAlign w:val="superscript"/>
        </w:rPr>
        <w:t>th</w:t>
      </w:r>
      <w:r w:rsidRPr="00CF3F68">
        <w:rPr>
          <w:sz w:val="28"/>
          <w:szCs w:val="28"/>
          <w:u w:val="single"/>
        </w:rPr>
        <w:t xml:space="preserve"> </w:t>
      </w:r>
      <w:r w:rsidRPr="00CF3F68">
        <w:rPr>
          <w:sz w:val="28"/>
          <w:szCs w:val="28"/>
        </w:rPr>
        <w:t>day of</w:t>
      </w:r>
      <w:r w:rsidRPr="00CF3F68">
        <w:rPr>
          <w:sz w:val="28"/>
          <w:szCs w:val="28"/>
          <w:u w:val="single"/>
        </w:rPr>
        <w:t xml:space="preserve">    April   </w:t>
      </w:r>
      <w:r w:rsidRPr="00CF3F68">
        <w:rPr>
          <w:sz w:val="28"/>
          <w:szCs w:val="28"/>
        </w:rPr>
        <w:t>, 2017.</w:t>
      </w:r>
    </w:p>
    <w:p w:rsidR="00CF3F68" w:rsidRPr="00CF3F68" w:rsidRDefault="00CF3F68" w:rsidP="00CF3F68">
      <w:pPr>
        <w:spacing w:line="240" w:lineRule="auto"/>
        <w:rPr>
          <w:sz w:val="28"/>
          <w:szCs w:val="28"/>
        </w:rPr>
      </w:pPr>
    </w:p>
    <w:p w:rsidR="00CF3F68" w:rsidRPr="00CF3F68" w:rsidRDefault="00CF3F68" w:rsidP="00CF3F68">
      <w:pPr>
        <w:spacing w:line="240" w:lineRule="auto"/>
        <w:rPr>
          <w:sz w:val="28"/>
          <w:szCs w:val="28"/>
        </w:rPr>
      </w:pPr>
    </w:p>
    <w:p w:rsidR="00CF3F68" w:rsidRPr="00CF3F68" w:rsidRDefault="00CF3F68" w:rsidP="00CF3F68">
      <w:pPr>
        <w:spacing w:line="240" w:lineRule="auto"/>
        <w:rPr>
          <w:rFonts w:ascii="Lucida Calligraphy" w:hAnsi="Lucida Calligraphy"/>
          <w:sz w:val="28"/>
          <w:szCs w:val="28"/>
          <w:u w:val="single"/>
        </w:rPr>
      </w:pPr>
      <w:r w:rsidRPr="00CF3F68">
        <w:rPr>
          <w:sz w:val="28"/>
          <w:szCs w:val="28"/>
        </w:rPr>
        <w:t xml:space="preserve">by: </w:t>
      </w:r>
      <w:r w:rsidRPr="00CF3F68">
        <w:rPr>
          <w:rFonts w:ascii="Lucida Calligraphy" w:hAnsi="Lucida Calligraphy"/>
          <w:sz w:val="28"/>
          <w:szCs w:val="28"/>
          <w:u w:val="single"/>
        </w:rPr>
        <w:tab/>
      </w:r>
      <w:proofErr w:type="spellStart"/>
      <w:r w:rsidRPr="00CF3F68">
        <w:rPr>
          <w:rFonts w:ascii="Lucida Calligraphy" w:hAnsi="Lucida Calligraphy"/>
          <w:sz w:val="28"/>
          <w:szCs w:val="28"/>
          <w:u w:val="single"/>
        </w:rPr>
        <w:t>D.Cooney</w:t>
      </w:r>
      <w:proofErr w:type="spellEnd"/>
      <w:r>
        <w:rPr>
          <w:rFonts w:ascii="Lucida Calligraphy" w:hAnsi="Lucida Calligraphy"/>
          <w:sz w:val="28"/>
          <w:szCs w:val="28"/>
          <w:u w:val="single"/>
        </w:rPr>
        <w:tab/>
      </w:r>
      <w:r>
        <w:rPr>
          <w:rFonts w:ascii="Lucida Calligraphy" w:hAnsi="Lucida Calligraphy"/>
          <w:sz w:val="28"/>
          <w:szCs w:val="28"/>
          <w:u w:val="single"/>
        </w:rPr>
        <w:tab/>
      </w:r>
      <w:r>
        <w:rPr>
          <w:rFonts w:ascii="Lucida Calligraphy" w:hAnsi="Lucida Calligraphy"/>
          <w:sz w:val="28"/>
          <w:szCs w:val="28"/>
          <w:u w:val="single"/>
        </w:rPr>
        <w:tab/>
      </w:r>
      <w:r>
        <w:rPr>
          <w:rFonts w:ascii="Lucida Calligraphy" w:hAnsi="Lucida Calligraphy"/>
          <w:sz w:val="28"/>
          <w:szCs w:val="28"/>
          <w:u w:val="single"/>
        </w:rPr>
        <w:tab/>
      </w:r>
    </w:p>
    <w:p w:rsidR="00CF3F68" w:rsidRPr="00CF3F68" w:rsidRDefault="00CF3F68" w:rsidP="00CF3F68">
      <w:pPr>
        <w:spacing w:line="240" w:lineRule="auto"/>
        <w:rPr>
          <w:sz w:val="28"/>
          <w:szCs w:val="28"/>
        </w:rPr>
      </w:pPr>
    </w:p>
    <w:p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  <w:bookmarkStart w:id="2" w:name="_GoBack"/>
      <w:bookmarkEnd w:id="2"/>
    </w:p>
    <w:sectPr w:rsidR="00052372" w:rsidRPr="000F7A7F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BF" w:rsidRDefault="001866BF">
      <w:r>
        <w:separator/>
      </w:r>
    </w:p>
  </w:endnote>
  <w:endnote w:type="continuationSeparator" w:id="0">
    <w:p w:rsidR="001866BF" w:rsidRDefault="0018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CB" w:rsidRDefault="007870CB" w:rsidP="00861563">
    <w:pPr>
      <w:pStyle w:val="Footer"/>
      <w:ind w:right="360"/>
    </w:pPr>
  </w:p>
  <w:p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23322A">
          <w:rPr>
            <w:noProof/>
            <w:sz w:val="26"/>
            <w:szCs w:val="26"/>
          </w:rPr>
          <w:t>4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BF" w:rsidRDefault="001866BF">
      <w:r>
        <w:separator/>
      </w:r>
    </w:p>
  </w:footnote>
  <w:footnote w:type="continuationSeparator" w:id="0">
    <w:p w:rsidR="001866BF" w:rsidRDefault="0018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6="http://schemas.microsoft.com/office/drawing/2016/5/12/chartex" xmlns:cx7="http://schemas.microsoft.com/office/drawing/2016/5/13/chartex" xmlns:cx8="http://schemas.microsoft.com/office/drawing/2016/5/14/chartex">
          <w:pict>
            <v:line w14:anchorId="2AF5CC05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6="http://schemas.microsoft.com/office/drawing/2016/5/12/chartex" xmlns:cx7="http://schemas.microsoft.com/office/drawing/2016/5/13/chartex" xmlns:cx8="http://schemas.microsoft.com/office/drawing/2016/5/14/chartex">
          <w:pict>
            <v:line w14:anchorId="2CEED4A0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6="http://schemas.microsoft.com/office/drawing/2016/5/12/chartex" xmlns:cx7="http://schemas.microsoft.com/office/drawing/2016/5/13/chartex" xmlns:cx8="http://schemas.microsoft.com/office/drawing/2016/5/14/chartex">
          <w:pict>
            <v:line w14:anchorId="3DFE7148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4501"/>
    <w:rsid w:val="0004073E"/>
    <w:rsid w:val="000410B3"/>
    <w:rsid w:val="00043D4D"/>
    <w:rsid w:val="0004786F"/>
    <w:rsid w:val="00052372"/>
    <w:rsid w:val="00056CA0"/>
    <w:rsid w:val="0006397E"/>
    <w:rsid w:val="000666D1"/>
    <w:rsid w:val="000829A0"/>
    <w:rsid w:val="000868BC"/>
    <w:rsid w:val="000917C0"/>
    <w:rsid w:val="00093FFC"/>
    <w:rsid w:val="000A1D6B"/>
    <w:rsid w:val="000C48A9"/>
    <w:rsid w:val="000C58DC"/>
    <w:rsid w:val="000E0EE5"/>
    <w:rsid w:val="000F7A7F"/>
    <w:rsid w:val="000F7C13"/>
    <w:rsid w:val="001003C3"/>
    <w:rsid w:val="00106F81"/>
    <w:rsid w:val="00116D61"/>
    <w:rsid w:val="0012408C"/>
    <w:rsid w:val="001242B6"/>
    <w:rsid w:val="00131578"/>
    <w:rsid w:val="00133760"/>
    <w:rsid w:val="00135326"/>
    <w:rsid w:val="00156D8F"/>
    <w:rsid w:val="00182F8A"/>
    <w:rsid w:val="001866BF"/>
    <w:rsid w:val="0018698D"/>
    <w:rsid w:val="0019690A"/>
    <w:rsid w:val="001A2520"/>
    <w:rsid w:val="001A741A"/>
    <w:rsid w:val="001C5E17"/>
    <w:rsid w:val="001D0AAA"/>
    <w:rsid w:val="001E0C75"/>
    <w:rsid w:val="001E6473"/>
    <w:rsid w:val="001F591C"/>
    <w:rsid w:val="001F5A78"/>
    <w:rsid w:val="00213ABC"/>
    <w:rsid w:val="0023322A"/>
    <w:rsid w:val="00262BE7"/>
    <w:rsid w:val="00274D6A"/>
    <w:rsid w:val="002B0C94"/>
    <w:rsid w:val="002D2738"/>
    <w:rsid w:val="002D2E4D"/>
    <w:rsid w:val="002E6D70"/>
    <w:rsid w:val="00303F65"/>
    <w:rsid w:val="00327BB4"/>
    <w:rsid w:val="00331ECE"/>
    <w:rsid w:val="00341028"/>
    <w:rsid w:val="00352347"/>
    <w:rsid w:val="003566D6"/>
    <w:rsid w:val="00356B0E"/>
    <w:rsid w:val="00357F4D"/>
    <w:rsid w:val="003617D1"/>
    <w:rsid w:val="00363622"/>
    <w:rsid w:val="00364150"/>
    <w:rsid w:val="0036551C"/>
    <w:rsid w:val="00365895"/>
    <w:rsid w:val="003700EE"/>
    <w:rsid w:val="00371EDE"/>
    <w:rsid w:val="003755A5"/>
    <w:rsid w:val="00377199"/>
    <w:rsid w:val="00396FC9"/>
    <w:rsid w:val="00397E14"/>
    <w:rsid w:val="003A28AC"/>
    <w:rsid w:val="003B402A"/>
    <w:rsid w:val="003C2FDA"/>
    <w:rsid w:val="003C33ED"/>
    <w:rsid w:val="003D099D"/>
    <w:rsid w:val="003D1B33"/>
    <w:rsid w:val="003F102B"/>
    <w:rsid w:val="003F6DC7"/>
    <w:rsid w:val="00407E2D"/>
    <w:rsid w:val="00415FD2"/>
    <w:rsid w:val="00422F15"/>
    <w:rsid w:val="00431CB5"/>
    <w:rsid w:val="004331B2"/>
    <w:rsid w:val="00440E4C"/>
    <w:rsid w:val="0044693C"/>
    <w:rsid w:val="00455B50"/>
    <w:rsid w:val="00460947"/>
    <w:rsid w:val="00460E63"/>
    <w:rsid w:val="00463734"/>
    <w:rsid w:val="0046578F"/>
    <w:rsid w:val="004833CE"/>
    <w:rsid w:val="004918F5"/>
    <w:rsid w:val="00492B42"/>
    <w:rsid w:val="00494BDF"/>
    <w:rsid w:val="004950D8"/>
    <w:rsid w:val="0049776A"/>
    <w:rsid w:val="00497CE7"/>
    <w:rsid w:val="004A7A9D"/>
    <w:rsid w:val="004C1B73"/>
    <w:rsid w:val="004C3AE3"/>
    <w:rsid w:val="004D6622"/>
    <w:rsid w:val="004D6C64"/>
    <w:rsid w:val="00504E1E"/>
    <w:rsid w:val="00504E81"/>
    <w:rsid w:val="00506859"/>
    <w:rsid w:val="00520F93"/>
    <w:rsid w:val="0052337B"/>
    <w:rsid w:val="00526087"/>
    <w:rsid w:val="005275CC"/>
    <w:rsid w:val="00532975"/>
    <w:rsid w:val="005473E7"/>
    <w:rsid w:val="00550D25"/>
    <w:rsid w:val="00564D07"/>
    <w:rsid w:val="00566856"/>
    <w:rsid w:val="00567D11"/>
    <w:rsid w:val="00594931"/>
    <w:rsid w:val="00594E2D"/>
    <w:rsid w:val="00596E15"/>
    <w:rsid w:val="005971F4"/>
    <w:rsid w:val="005A1A7A"/>
    <w:rsid w:val="005A21B0"/>
    <w:rsid w:val="005A43E2"/>
    <w:rsid w:val="005A5C62"/>
    <w:rsid w:val="005A6282"/>
    <w:rsid w:val="005B11B5"/>
    <w:rsid w:val="005B1356"/>
    <w:rsid w:val="005B2DC1"/>
    <w:rsid w:val="005B3B5D"/>
    <w:rsid w:val="005B5161"/>
    <w:rsid w:val="005C59C8"/>
    <w:rsid w:val="005D598D"/>
    <w:rsid w:val="005D699A"/>
    <w:rsid w:val="005D6AD4"/>
    <w:rsid w:val="006027AB"/>
    <w:rsid w:val="00615EAE"/>
    <w:rsid w:val="0062695B"/>
    <w:rsid w:val="00630510"/>
    <w:rsid w:val="00630F92"/>
    <w:rsid w:val="006338C1"/>
    <w:rsid w:val="00636F5E"/>
    <w:rsid w:val="006410A6"/>
    <w:rsid w:val="006435A1"/>
    <w:rsid w:val="00660556"/>
    <w:rsid w:val="00665CCF"/>
    <w:rsid w:val="006666D1"/>
    <w:rsid w:val="006703FF"/>
    <w:rsid w:val="006721EC"/>
    <w:rsid w:val="00673192"/>
    <w:rsid w:val="00677063"/>
    <w:rsid w:val="00682DAD"/>
    <w:rsid w:val="00682EA7"/>
    <w:rsid w:val="006932BA"/>
    <w:rsid w:val="006A1F70"/>
    <w:rsid w:val="006B4F9A"/>
    <w:rsid w:val="006B60C1"/>
    <w:rsid w:val="006C1366"/>
    <w:rsid w:val="006C5CE4"/>
    <w:rsid w:val="006D6031"/>
    <w:rsid w:val="006F5ECA"/>
    <w:rsid w:val="006F63FD"/>
    <w:rsid w:val="00703AE1"/>
    <w:rsid w:val="00706612"/>
    <w:rsid w:val="00722B0F"/>
    <w:rsid w:val="00727D5D"/>
    <w:rsid w:val="00732169"/>
    <w:rsid w:val="007326C8"/>
    <w:rsid w:val="00735659"/>
    <w:rsid w:val="007479DC"/>
    <w:rsid w:val="0075023C"/>
    <w:rsid w:val="00751E69"/>
    <w:rsid w:val="00752B4C"/>
    <w:rsid w:val="00753914"/>
    <w:rsid w:val="007658D4"/>
    <w:rsid w:val="0077110E"/>
    <w:rsid w:val="0077293F"/>
    <w:rsid w:val="00775B02"/>
    <w:rsid w:val="007870CB"/>
    <w:rsid w:val="007A1558"/>
    <w:rsid w:val="007A2140"/>
    <w:rsid w:val="007A3F0F"/>
    <w:rsid w:val="007B12B3"/>
    <w:rsid w:val="007B457D"/>
    <w:rsid w:val="007B5BD9"/>
    <w:rsid w:val="007C4A3E"/>
    <w:rsid w:val="007D5C49"/>
    <w:rsid w:val="007D6FF9"/>
    <w:rsid w:val="007D73FF"/>
    <w:rsid w:val="008006ED"/>
    <w:rsid w:val="008018A3"/>
    <w:rsid w:val="0081185D"/>
    <w:rsid w:val="00822598"/>
    <w:rsid w:val="00823A4F"/>
    <w:rsid w:val="0083469E"/>
    <w:rsid w:val="008346A7"/>
    <w:rsid w:val="008360A1"/>
    <w:rsid w:val="0084227D"/>
    <w:rsid w:val="008540F9"/>
    <w:rsid w:val="00861563"/>
    <w:rsid w:val="00871AAA"/>
    <w:rsid w:val="00877C59"/>
    <w:rsid w:val="00891AAA"/>
    <w:rsid w:val="00896CBF"/>
    <w:rsid w:val="008B0A9B"/>
    <w:rsid w:val="008B31DD"/>
    <w:rsid w:val="008C1D1B"/>
    <w:rsid w:val="008D64E0"/>
    <w:rsid w:val="008D6D4C"/>
    <w:rsid w:val="008E3ECE"/>
    <w:rsid w:val="008E4760"/>
    <w:rsid w:val="008F64B4"/>
    <w:rsid w:val="008F67E6"/>
    <w:rsid w:val="00902557"/>
    <w:rsid w:val="00907DEE"/>
    <w:rsid w:val="00933EA1"/>
    <w:rsid w:val="00936D70"/>
    <w:rsid w:val="00951416"/>
    <w:rsid w:val="009553ED"/>
    <w:rsid w:val="00960D21"/>
    <w:rsid w:val="00970A6F"/>
    <w:rsid w:val="00981D29"/>
    <w:rsid w:val="00981E11"/>
    <w:rsid w:val="00984B5C"/>
    <w:rsid w:val="009A074A"/>
    <w:rsid w:val="009A5139"/>
    <w:rsid w:val="009C1CAA"/>
    <w:rsid w:val="009D02AB"/>
    <w:rsid w:val="009E153B"/>
    <w:rsid w:val="00A07874"/>
    <w:rsid w:val="00A11510"/>
    <w:rsid w:val="00A12B6E"/>
    <w:rsid w:val="00A12F4B"/>
    <w:rsid w:val="00A133C4"/>
    <w:rsid w:val="00A14B4F"/>
    <w:rsid w:val="00A1564B"/>
    <w:rsid w:val="00A27EB9"/>
    <w:rsid w:val="00A37211"/>
    <w:rsid w:val="00A456B2"/>
    <w:rsid w:val="00A50A82"/>
    <w:rsid w:val="00A5194F"/>
    <w:rsid w:val="00A57220"/>
    <w:rsid w:val="00A622FD"/>
    <w:rsid w:val="00A62C72"/>
    <w:rsid w:val="00A641B3"/>
    <w:rsid w:val="00A81D05"/>
    <w:rsid w:val="00A871D6"/>
    <w:rsid w:val="00A974F6"/>
    <w:rsid w:val="00AA1450"/>
    <w:rsid w:val="00AB18F5"/>
    <w:rsid w:val="00AB401C"/>
    <w:rsid w:val="00AC5069"/>
    <w:rsid w:val="00AD0758"/>
    <w:rsid w:val="00AD4B21"/>
    <w:rsid w:val="00AD6948"/>
    <w:rsid w:val="00AE30C2"/>
    <w:rsid w:val="00AE445C"/>
    <w:rsid w:val="00AE75A0"/>
    <w:rsid w:val="00AF005F"/>
    <w:rsid w:val="00AF282C"/>
    <w:rsid w:val="00AF3FF7"/>
    <w:rsid w:val="00AF4649"/>
    <w:rsid w:val="00AF5A67"/>
    <w:rsid w:val="00AF7028"/>
    <w:rsid w:val="00B02AF3"/>
    <w:rsid w:val="00B0715E"/>
    <w:rsid w:val="00B11617"/>
    <w:rsid w:val="00B12FD4"/>
    <w:rsid w:val="00B1491D"/>
    <w:rsid w:val="00B1673F"/>
    <w:rsid w:val="00B17B8E"/>
    <w:rsid w:val="00B217E4"/>
    <w:rsid w:val="00B314B1"/>
    <w:rsid w:val="00B3627A"/>
    <w:rsid w:val="00B43995"/>
    <w:rsid w:val="00B47B7D"/>
    <w:rsid w:val="00B52333"/>
    <w:rsid w:val="00B5499E"/>
    <w:rsid w:val="00B61F90"/>
    <w:rsid w:val="00B71A3E"/>
    <w:rsid w:val="00B87B69"/>
    <w:rsid w:val="00B92AD8"/>
    <w:rsid w:val="00B92D7E"/>
    <w:rsid w:val="00BB5AD1"/>
    <w:rsid w:val="00BC0ABB"/>
    <w:rsid w:val="00BC2117"/>
    <w:rsid w:val="00C03E0F"/>
    <w:rsid w:val="00C35DE3"/>
    <w:rsid w:val="00C37715"/>
    <w:rsid w:val="00C42E3B"/>
    <w:rsid w:val="00C5164D"/>
    <w:rsid w:val="00C52E56"/>
    <w:rsid w:val="00C5407A"/>
    <w:rsid w:val="00C662B0"/>
    <w:rsid w:val="00C73AF0"/>
    <w:rsid w:val="00C84FD4"/>
    <w:rsid w:val="00C850D2"/>
    <w:rsid w:val="00C958EE"/>
    <w:rsid w:val="00C971E8"/>
    <w:rsid w:val="00CA157F"/>
    <w:rsid w:val="00CB44BE"/>
    <w:rsid w:val="00CC2E2B"/>
    <w:rsid w:val="00CD0F78"/>
    <w:rsid w:val="00CD21FB"/>
    <w:rsid w:val="00CE6871"/>
    <w:rsid w:val="00CE6B8C"/>
    <w:rsid w:val="00CF3F68"/>
    <w:rsid w:val="00CF7E14"/>
    <w:rsid w:val="00D0470C"/>
    <w:rsid w:val="00D05018"/>
    <w:rsid w:val="00D423FE"/>
    <w:rsid w:val="00D442E4"/>
    <w:rsid w:val="00D51D03"/>
    <w:rsid w:val="00D644D4"/>
    <w:rsid w:val="00D6666E"/>
    <w:rsid w:val="00D70DC1"/>
    <w:rsid w:val="00D72D57"/>
    <w:rsid w:val="00D76C9A"/>
    <w:rsid w:val="00D80EDC"/>
    <w:rsid w:val="00D95EA0"/>
    <w:rsid w:val="00DA2F45"/>
    <w:rsid w:val="00DA4A7E"/>
    <w:rsid w:val="00DB5282"/>
    <w:rsid w:val="00DE7701"/>
    <w:rsid w:val="00DF1DF3"/>
    <w:rsid w:val="00DF4F15"/>
    <w:rsid w:val="00E00AF4"/>
    <w:rsid w:val="00E0220D"/>
    <w:rsid w:val="00E047D3"/>
    <w:rsid w:val="00E21F02"/>
    <w:rsid w:val="00E266B7"/>
    <w:rsid w:val="00E321C5"/>
    <w:rsid w:val="00E37197"/>
    <w:rsid w:val="00E42028"/>
    <w:rsid w:val="00E50C76"/>
    <w:rsid w:val="00E5772B"/>
    <w:rsid w:val="00E67511"/>
    <w:rsid w:val="00E734CC"/>
    <w:rsid w:val="00E7565F"/>
    <w:rsid w:val="00E82D0F"/>
    <w:rsid w:val="00E835AA"/>
    <w:rsid w:val="00E950B5"/>
    <w:rsid w:val="00EA2B76"/>
    <w:rsid w:val="00EA2F10"/>
    <w:rsid w:val="00EA458F"/>
    <w:rsid w:val="00EB7FE0"/>
    <w:rsid w:val="00EC4CEE"/>
    <w:rsid w:val="00EE77A3"/>
    <w:rsid w:val="00EF175F"/>
    <w:rsid w:val="00EF31D8"/>
    <w:rsid w:val="00F04926"/>
    <w:rsid w:val="00F05879"/>
    <w:rsid w:val="00F06F5B"/>
    <w:rsid w:val="00F106DB"/>
    <w:rsid w:val="00F22037"/>
    <w:rsid w:val="00F2485D"/>
    <w:rsid w:val="00F33926"/>
    <w:rsid w:val="00F3781F"/>
    <w:rsid w:val="00F423D9"/>
    <w:rsid w:val="00F42C0A"/>
    <w:rsid w:val="00F47B65"/>
    <w:rsid w:val="00F54DF7"/>
    <w:rsid w:val="00F60C61"/>
    <w:rsid w:val="00F64B52"/>
    <w:rsid w:val="00F66881"/>
    <w:rsid w:val="00F67B94"/>
    <w:rsid w:val="00F76EF8"/>
    <w:rsid w:val="00F85E97"/>
    <w:rsid w:val="00F86C53"/>
    <w:rsid w:val="00FA177C"/>
    <w:rsid w:val="00FA2C51"/>
    <w:rsid w:val="00FA711A"/>
    <w:rsid w:val="00FB0EF5"/>
    <w:rsid w:val="00FB5291"/>
    <w:rsid w:val="00FB615D"/>
    <w:rsid w:val="00FD0C85"/>
    <w:rsid w:val="00FD3D4E"/>
    <w:rsid w:val="00FD583A"/>
    <w:rsid w:val="00FE7BE7"/>
    <w:rsid w:val="00FF739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04039D-31F0-4AFE-8A9F-13A0530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F6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Ortiz@apaac.az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1758-B919-4247-B174-AF96EB9D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16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Superior Court</dc:creator>
  <cp:lastModifiedBy>Diana Cooney</cp:lastModifiedBy>
  <cp:revision>9</cp:revision>
  <cp:lastPrinted>2017-04-24T16:38:00Z</cp:lastPrinted>
  <dcterms:created xsi:type="dcterms:W3CDTF">2017-03-13T15:16:00Z</dcterms:created>
  <dcterms:modified xsi:type="dcterms:W3CDTF">2017-04-24T16:38:00Z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