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rsidR="00000C35" w:rsidRDefault="00B02AF3" w:rsidP="00000C35">
            <w:pPr>
              <w:pStyle w:val="FirmInformation"/>
              <w:spacing w:line="240" w:lineRule="auto"/>
              <w:rPr>
                <w:sz w:val="28"/>
                <w:szCs w:val="28"/>
              </w:rPr>
            </w:pPr>
            <w:r>
              <w:rPr>
                <w:sz w:val="28"/>
                <w:szCs w:val="28"/>
              </w:rPr>
              <w:t>Executive Director</w:t>
            </w:r>
          </w:p>
          <w:p w:rsidR="00494BDF" w:rsidRPr="006F63FD" w:rsidRDefault="00B02AF3" w:rsidP="00000C35">
            <w:pPr>
              <w:pStyle w:val="FirmInformation"/>
              <w:spacing w:line="240" w:lineRule="auto"/>
              <w:rPr>
                <w:sz w:val="28"/>
                <w:szCs w:val="28"/>
              </w:rPr>
            </w:pPr>
            <w:r>
              <w:rPr>
                <w:sz w:val="28"/>
                <w:szCs w:val="28"/>
              </w:rPr>
              <w:t>Arizona Prosecuting Attorneys’ Advisory Council</w:t>
            </w:r>
          </w:p>
          <w:p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rsidR="00B02AF3" w:rsidRDefault="00B231FF" w:rsidP="00735659">
            <w:pPr>
              <w:pStyle w:val="FirmInformation"/>
              <w:spacing w:line="240" w:lineRule="auto"/>
              <w:rPr>
                <w:sz w:val="28"/>
                <w:szCs w:val="28"/>
              </w:rPr>
            </w:pPr>
            <w:hyperlink r:id="rId8" w:history="1">
              <w:r w:rsidR="00B02AF3" w:rsidRPr="00FE2EAB">
                <w:rPr>
                  <w:rStyle w:val="Hyperlink"/>
                  <w:sz w:val="28"/>
                  <w:szCs w:val="28"/>
                </w:rPr>
                <w:t>Elizabeth.Ortiz@apaac.az.gov</w:t>
              </w:r>
            </w:hyperlink>
          </w:p>
          <w:p w:rsidR="00B02AF3" w:rsidRPr="00735659" w:rsidRDefault="00B02AF3"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3700EE">
              <w:rPr>
                <w:b/>
                <w:sz w:val="28"/>
                <w:szCs w:val="28"/>
              </w:rPr>
              <w:t xml:space="preserve">RULES 10.2, 15.1, 16.6 OF </w:t>
            </w:r>
            <w:r w:rsidR="00CC2E2B">
              <w:rPr>
                <w:b/>
                <w:sz w:val="28"/>
                <w:szCs w:val="28"/>
              </w:rPr>
              <w:t>THE ARIZONA RULES OF CR</w:t>
            </w:r>
            <w:r w:rsidR="005A5C62">
              <w:rPr>
                <w:b/>
                <w:sz w:val="28"/>
                <w:szCs w:val="28"/>
              </w:rPr>
              <w:t>IMINAL</w:t>
            </w:r>
            <w:r w:rsidR="00B87B69">
              <w:rPr>
                <w:b/>
                <w:sz w:val="28"/>
                <w:szCs w:val="28"/>
              </w:rPr>
              <w:t xml:space="preserve">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CC2E2B">
              <w:rPr>
                <w:sz w:val="28"/>
                <w:szCs w:val="28"/>
              </w:rPr>
              <w:t>7</w:t>
            </w:r>
            <w:r w:rsidR="00B87B69">
              <w:rPr>
                <w:sz w:val="28"/>
                <w:szCs w:val="28"/>
              </w:rPr>
              <w:t>-00</w:t>
            </w:r>
            <w:r w:rsidR="003700EE">
              <w:rPr>
                <w:sz w:val="28"/>
                <w:szCs w:val="28"/>
              </w:rPr>
              <w:t>21</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B02AF3" w:rsidRDefault="00B02AF3" w:rsidP="00B02AF3">
      <w:pPr>
        <w:pStyle w:val="Body"/>
        <w:widowControl w:val="0"/>
        <w:spacing w:line="240" w:lineRule="auto"/>
        <w:ind w:firstLine="720"/>
        <w:jc w:val="both"/>
        <w:rPr>
          <w:sz w:val="28"/>
          <w:szCs w:val="28"/>
        </w:rPr>
      </w:pPr>
    </w:p>
    <w:p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rsidR="00526087" w:rsidRDefault="00526087" w:rsidP="00526087">
      <w:pPr>
        <w:pStyle w:val="Body"/>
        <w:widowControl w:val="0"/>
        <w:spacing w:line="240" w:lineRule="auto"/>
        <w:ind w:firstLine="720"/>
        <w:rPr>
          <w:b/>
          <w:sz w:val="28"/>
          <w:szCs w:val="28"/>
        </w:rPr>
      </w:pPr>
    </w:p>
    <w:p w:rsidR="005971F4" w:rsidRDefault="003700EE" w:rsidP="00E00AF4">
      <w:pPr>
        <w:pStyle w:val="Body"/>
        <w:widowControl w:val="0"/>
        <w:spacing w:line="480" w:lineRule="auto"/>
        <w:ind w:firstLine="720"/>
        <w:jc w:val="both"/>
        <w:rPr>
          <w:sz w:val="28"/>
          <w:szCs w:val="28"/>
        </w:rPr>
      </w:pPr>
      <w:r>
        <w:rPr>
          <w:sz w:val="28"/>
          <w:szCs w:val="28"/>
        </w:rPr>
        <w:t>Attorneys with the Arizona Attorneys for Criminal Justice have asked the Supreme Court to amend several rules of criminal procedure affecting entitlement to a change of judge and notice to seek the death penalty.  The petition targets what it call</w:t>
      </w:r>
      <w:r w:rsidR="001003C3">
        <w:rPr>
          <w:sz w:val="28"/>
          <w:szCs w:val="28"/>
        </w:rPr>
        <w:t>s</w:t>
      </w:r>
      <w:r>
        <w:rPr>
          <w:sz w:val="28"/>
          <w:szCs w:val="28"/>
        </w:rPr>
        <w:t xml:space="preserve"> “strategic dismissals” and would prevent the State from dismissing a prosecution and later, upon charge</w:t>
      </w:r>
      <w:r w:rsidR="006A1DDB">
        <w:rPr>
          <w:sz w:val="28"/>
          <w:szCs w:val="28"/>
        </w:rPr>
        <w:t>s</w:t>
      </w:r>
      <w:r>
        <w:rPr>
          <w:sz w:val="28"/>
          <w:szCs w:val="28"/>
        </w:rPr>
        <w:t xml:space="preserve"> being refiled, obtaining a new notice of change of judge under Rule 10.2 or deadline to file a notice of intent to seek the death penalty under Rule 15.1(i)(1).  </w:t>
      </w:r>
      <w:r w:rsidR="00E00AF4" w:rsidRPr="0023316F">
        <w:rPr>
          <w:sz w:val="28"/>
          <w:szCs w:val="28"/>
        </w:rPr>
        <w:t xml:space="preserve">The </w:t>
      </w:r>
      <w:r w:rsidR="00E00AF4">
        <w:rPr>
          <w:sz w:val="28"/>
          <w:szCs w:val="28"/>
        </w:rPr>
        <w:t xml:space="preserve">Arizona </w:t>
      </w:r>
      <w:r w:rsidR="00FD0C85">
        <w:rPr>
          <w:sz w:val="28"/>
          <w:szCs w:val="28"/>
        </w:rPr>
        <w:t>Prosecuting Attorneys’ Advisory Council (“APAAC”)</w:t>
      </w:r>
      <w:r w:rsidR="00E00AF4" w:rsidRPr="0023316F">
        <w:rPr>
          <w:sz w:val="28"/>
          <w:szCs w:val="28"/>
        </w:rPr>
        <w:t xml:space="preserve"> has considered the proposed change</w:t>
      </w:r>
      <w:r w:rsidR="0036551C">
        <w:rPr>
          <w:sz w:val="28"/>
          <w:szCs w:val="28"/>
        </w:rPr>
        <w:t>s</w:t>
      </w:r>
      <w:r w:rsidR="00FE7BE7">
        <w:rPr>
          <w:sz w:val="28"/>
          <w:szCs w:val="28"/>
        </w:rPr>
        <w:t xml:space="preserve"> </w:t>
      </w:r>
      <w:r>
        <w:rPr>
          <w:sz w:val="28"/>
          <w:szCs w:val="28"/>
        </w:rPr>
        <w:t xml:space="preserve">in the petition and oppose them.  </w:t>
      </w:r>
      <w:r>
        <w:rPr>
          <w:sz w:val="28"/>
          <w:szCs w:val="28"/>
        </w:rPr>
        <w:lastRenderedPageBreak/>
        <w:t xml:space="preserve">Current case law adequately addresses the concerns raised in the petition and prevents new notice deadlines when there is a showing of </w:t>
      </w:r>
      <w:r w:rsidR="001003C3">
        <w:rPr>
          <w:sz w:val="28"/>
          <w:szCs w:val="28"/>
        </w:rPr>
        <w:t>“</w:t>
      </w:r>
      <w:r>
        <w:rPr>
          <w:sz w:val="28"/>
          <w:szCs w:val="28"/>
        </w:rPr>
        <w:t>bad faith</w:t>
      </w:r>
      <w:r w:rsidR="001003C3">
        <w:rPr>
          <w:sz w:val="28"/>
          <w:szCs w:val="28"/>
        </w:rPr>
        <w:t>”</w:t>
      </w:r>
      <w:r>
        <w:rPr>
          <w:sz w:val="28"/>
          <w:szCs w:val="28"/>
        </w:rPr>
        <w:t xml:space="preserve"> or </w:t>
      </w:r>
      <w:r w:rsidR="001003C3">
        <w:rPr>
          <w:sz w:val="28"/>
          <w:szCs w:val="28"/>
        </w:rPr>
        <w:t>“</w:t>
      </w:r>
      <w:r>
        <w:rPr>
          <w:sz w:val="28"/>
          <w:szCs w:val="28"/>
        </w:rPr>
        <w:t>prejudice to the defendant.</w:t>
      </w:r>
      <w:r w:rsidR="001003C3">
        <w:rPr>
          <w:sz w:val="28"/>
          <w:szCs w:val="28"/>
        </w:rPr>
        <w:t xml:space="preserve">”  </w:t>
      </w:r>
      <w:r w:rsidR="001242B6">
        <w:rPr>
          <w:sz w:val="28"/>
          <w:szCs w:val="28"/>
        </w:rPr>
        <w:t xml:space="preserve">This is </w:t>
      </w:r>
      <w:r w:rsidR="006C1EB8">
        <w:rPr>
          <w:sz w:val="28"/>
          <w:szCs w:val="28"/>
        </w:rPr>
        <w:t xml:space="preserve">the </w:t>
      </w:r>
      <w:r w:rsidR="001D30CF">
        <w:rPr>
          <w:sz w:val="28"/>
          <w:szCs w:val="28"/>
        </w:rPr>
        <w:t>more appropriate</w:t>
      </w:r>
      <w:r w:rsidR="006C1EB8">
        <w:rPr>
          <w:sz w:val="28"/>
          <w:szCs w:val="28"/>
        </w:rPr>
        <w:t xml:space="preserve"> app</w:t>
      </w:r>
      <w:r w:rsidR="00F44037">
        <w:rPr>
          <w:sz w:val="28"/>
          <w:szCs w:val="28"/>
        </w:rPr>
        <w:t xml:space="preserve">roach to answering the concerns raised in the petition, which </w:t>
      </w:r>
      <w:r w:rsidR="00095590">
        <w:rPr>
          <w:sz w:val="28"/>
          <w:szCs w:val="28"/>
        </w:rPr>
        <w:t>appear</w:t>
      </w:r>
      <w:r w:rsidR="0040590D">
        <w:rPr>
          <w:sz w:val="28"/>
          <w:szCs w:val="28"/>
        </w:rPr>
        <w:t xml:space="preserve"> to </w:t>
      </w:r>
      <w:r w:rsidR="00095590">
        <w:rPr>
          <w:sz w:val="28"/>
          <w:szCs w:val="28"/>
        </w:rPr>
        <w:t xml:space="preserve">have </w:t>
      </w:r>
      <w:r w:rsidR="0040590D">
        <w:rPr>
          <w:sz w:val="28"/>
          <w:szCs w:val="28"/>
        </w:rPr>
        <w:t>arise</w:t>
      </w:r>
      <w:r w:rsidR="00095590">
        <w:rPr>
          <w:sz w:val="28"/>
          <w:szCs w:val="28"/>
        </w:rPr>
        <w:t>n</w:t>
      </w:r>
      <w:r w:rsidR="0040590D">
        <w:rPr>
          <w:sz w:val="28"/>
          <w:szCs w:val="28"/>
        </w:rPr>
        <w:t xml:space="preserve"> in </w:t>
      </w:r>
      <w:r w:rsidR="008C1DEC">
        <w:rPr>
          <w:sz w:val="28"/>
          <w:szCs w:val="28"/>
        </w:rPr>
        <w:t xml:space="preserve">only </w:t>
      </w:r>
      <w:r w:rsidR="00095590">
        <w:rPr>
          <w:sz w:val="28"/>
          <w:szCs w:val="28"/>
        </w:rPr>
        <w:t>two</w:t>
      </w:r>
      <w:r w:rsidR="008C1DEC">
        <w:rPr>
          <w:sz w:val="28"/>
          <w:szCs w:val="28"/>
        </w:rPr>
        <w:t xml:space="preserve"> cases in Maricopa County</w:t>
      </w:r>
      <w:r w:rsidR="001D30CF">
        <w:rPr>
          <w:sz w:val="28"/>
          <w:szCs w:val="28"/>
        </w:rPr>
        <w:t xml:space="preserve">, </w:t>
      </w:r>
      <w:r w:rsidR="00095590">
        <w:rPr>
          <w:sz w:val="28"/>
          <w:szCs w:val="28"/>
        </w:rPr>
        <w:t>as opposed to</w:t>
      </w:r>
      <w:r w:rsidR="001D30CF">
        <w:rPr>
          <w:sz w:val="28"/>
          <w:szCs w:val="28"/>
        </w:rPr>
        <w:t xml:space="preserve"> changing existing rules of procedure </w:t>
      </w:r>
      <w:r w:rsidR="00095590">
        <w:rPr>
          <w:sz w:val="28"/>
          <w:szCs w:val="28"/>
        </w:rPr>
        <w:t xml:space="preserve">that will </w:t>
      </w:r>
      <w:r w:rsidR="00EA0255">
        <w:rPr>
          <w:sz w:val="28"/>
          <w:szCs w:val="28"/>
        </w:rPr>
        <w:t>affect prosecutors across the state</w:t>
      </w:r>
      <w:r w:rsidR="00095590">
        <w:rPr>
          <w:sz w:val="28"/>
          <w:szCs w:val="28"/>
        </w:rPr>
        <w:t xml:space="preserve">.  </w:t>
      </w:r>
      <w:r w:rsidR="001003C3">
        <w:rPr>
          <w:sz w:val="28"/>
          <w:szCs w:val="28"/>
        </w:rPr>
        <w:t>There are many</w:t>
      </w:r>
      <w:r w:rsidR="00AD4B21">
        <w:rPr>
          <w:sz w:val="28"/>
          <w:szCs w:val="28"/>
        </w:rPr>
        <w:t xml:space="preserve"> non-nefarious</w:t>
      </w:r>
      <w:r w:rsidR="001003C3">
        <w:rPr>
          <w:sz w:val="28"/>
          <w:szCs w:val="28"/>
        </w:rPr>
        <w:t xml:space="preserve"> reasons why a prosecution may be dismissed and later refiled</w:t>
      </w:r>
      <w:r w:rsidR="006D6031">
        <w:rPr>
          <w:sz w:val="28"/>
          <w:szCs w:val="28"/>
        </w:rPr>
        <w:t>; and there are valid reasons why new deadlines for a change of judge or death penalty notification would remain.  T</w:t>
      </w:r>
      <w:r w:rsidR="001003C3">
        <w:rPr>
          <w:sz w:val="28"/>
          <w:szCs w:val="28"/>
        </w:rPr>
        <w:t xml:space="preserve">he need does not exist to create new criminal rules </w:t>
      </w:r>
      <w:r w:rsidR="00AD4B21">
        <w:rPr>
          <w:sz w:val="28"/>
          <w:szCs w:val="28"/>
        </w:rPr>
        <w:t xml:space="preserve">pertaining to </w:t>
      </w:r>
      <w:r w:rsidR="006D6031">
        <w:rPr>
          <w:sz w:val="28"/>
          <w:szCs w:val="28"/>
        </w:rPr>
        <w:t>an issue</w:t>
      </w:r>
      <w:r w:rsidR="00AD4B21">
        <w:rPr>
          <w:sz w:val="28"/>
          <w:szCs w:val="28"/>
        </w:rPr>
        <w:t xml:space="preserve"> already</w:t>
      </w:r>
      <w:r w:rsidR="006D6031">
        <w:rPr>
          <w:sz w:val="28"/>
          <w:szCs w:val="28"/>
        </w:rPr>
        <w:t xml:space="preserve"> clearly addressed by the Arizona Supreme Court.</w:t>
      </w:r>
    </w:p>
    <w:p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526087" w:rsidRDefault="00526087" w:rsidP="00526087">
      <w:pPr>
        <w:pStyle w:val="Body"/>
        <w:widowControl w:val="0"/>
        <w:spacing w:line="240" w:lineRule="auto"/>
        <w:ind w:firstLine="720"/>
        <w:rPr>
          <w:b/>
          <w:sz w:val="28"/>
          <w:szCs w:val="28"/>
        </w:rPr>
      </w:pPr>
    </w:p>
    <w:p w:rsidR="00AD4B21" w:rsidRDefault="004C1B73" w:rsidP="00E00AF4">
      <w:pPr>
        <w:pStyle w:val="Body"/>
        <w:widowControl w:val="0"/>
        <w:spacing w:line="480" w:lineRule="auto"/>
        <w:ind w:right="144" w:firstLine="720"/>
        <w:jc w:val="both"/>
        <w:rPr>
          <w:sz w:val="28"/>
          <w:szCs w:val="28"/>
        </w:rPr>
      </w:pPr>
      <w:r>
        <w:rPr>
          <w:sz w:val="28"/>
          <w:szCs w:val="28"/>
        </w:rPr>
        <w:t xml:space="preserve">This petition seeks to alter existing case law.  </w:t>
      </w:r>
      <w:r w:rsidR="005275CC">
        <w:rPr>
          <w:sz w:val="28"/>
          <w:szCs w:val="28"/>
        </w:rPr>
        <w:t>The petition</w:t>
      </w:r>
      <w:r w:rsidR="00F423D9" w:rsidRPr="00F423D9">
        <w:rPr>
          <w:sz w:val="28"/>
          <w:szCs w:val="28"/>
        </w:rPr>
        <w:t xml:space="preserve"> </w:t>
      </w:r>
      <w:r w:rsidR="00F423D9">
        <w:rPr>
          <w:sz w:val="28"/>
          <w:szCs w:val="28"/>
        </w:rPr>
        <w:t xml:space="preserve">is a reaction to the Arizona Supreme Court’s recent ruling in </w:t>
      </w:r>
      <w:r w:rsidR="00F423D9" w:rsidRPr="00AD4B21">
        <w:rPr>
          <w:i/>
          <w:sz w:val="28"/>
          <w:szCs w:val="28"/>
        </w:rPr>
        <w:t>Mesa v. Granville</w:t>
      </w:r>
      <w:r w:rsidR="00F423D9">
        <w:rPr>
          <w:sz w:val="28"/>
          <w:szCs w:val="28"/>
        </w:rPr>
        <w:t>, 241 Ariz. 201, 386 P.3d 387 (2016)</w:t>
      </w:r>
      <w:r w:rsidR="00331ECE">
        <w:rPr>
          <w:sz w:val="28"/>
          <w:szCs w:val="28"/>
        </w:rPr>
        <w:t>,</w:t>
      </w:r>
      <w:r w:rsidR="00F423D9">
        <w:rPr>
          <w:sz w:val="28"/>
          <w:szCs w:val="28"/>
        </w:rPr>
        <w:t xml:space="preserve"> in which one of the petitioners herein argued the case for the defense.</w:t>
      </w:r>
      <w:r w:rsidR="00AD4B21">
        <w:rPr>
          <w:sz w:val="28"/>
          <w:szCs w:val="28"/>
        </w:rPr>
        <w:t xml:space="preserve">  In </w:t>
      </w:r>
      <w:r w:rsidR="00AD4B21" w:rsidRPr="00AD4B21">
        <w:rPr>
          <w:i/>
          <w:sz w:val="28"/>
          <w:szCs w:val="28"/>
        </w:rPr>
        <w:t>Granville</w:t>
      </w:r>
      <w:r w:rsidR="00AD4B21">
        <w:rPr>
          <w:sz w:val="28"/>
          <w:szCs w:val="28"/>
        </w:rPr>
        <w:t xml:space="preserve">, the Supreme Court held that “absent bad faith by the state or prejudice to the defendant,” the time limits for filing a notice of intent to seek the death penalty restart when the state files a dismissal under Rule 16.6 and obtains a new indictment.  </w:t>
      </w:r>
      <w:r w:rsidR="00AD4B21" w:rsidRPr="00896CBF">
        <w:rPr>
          <w:i/>
          <w:sz w:val="28"/>
          <w:szCs w:val="28"/>
        </w:rPr>
        <w:t>Mesa v. Granville</w:t>
      </w:r>
      <w:r w:rsidR="00896CBF">
        <w:rPr>
          <w:sz w:val="28"/>
          <w:szCs w:val="28"/>
        </w:rPr>
        <w:t>, 241 Ariz. at</w:t>
      </w:r>
      <w:r w:rsidR="00686199">
        <w:rPr>
          <w:sz w:val="28"/>
          <w:szCs w:val="28"/>
        </w:rPr>
        <w:t xml:space="preserve"> ___</w:t>
      </w:r>
      <w:r w:rsidR="00896CBF">
        <w:rPr>
          <w:sz w:val="28"/>
          <w:szCs w:val="28"/>
        </w:rPr>
        <w:t xml:space="preserve"> ¶ 22, 386 P.3d at 391.  This is consistent with the Court’s previous holding in </w:t>
      </w:r>
      <w:r w:rsidR="00896CBF" w:rsidRPr="00896CBF">
        <w:rPr>
          <w:i/>
          <w:sz w:val="28"/>
          <w:szCs w:val="28"/>
        </w:rPr>
        <w:t xml:space="preserve">Godoy v. </w:t>
      </w:r>
      <w:proofErr w:type="spellStart"/>
      <w:r w:rsidR="00896CBF" w:rsidRPr="00896CBF">
        <w:rPr>
          <w:i/>
          <w:sz w:val="28"/>
          <w:szCs w:val="28"/>
        </w:rPr>
        <w:t>Hantman</w:t>
      </w:r>
      <w:proofErr w:type="spellEnd"/>
      <w:r w:rsidR="00896CBF">
        <w:rPr>
          <w:sz w:val="28"/>
          <w:szCs w:val="28"/>
        </w:rPr>
        <w:t>, 20</w:t>
      </w:r>
      <w:r w:rsidR="00970A6F">
        <w:rPr>
          <w:sz w:val="28"/>
          <w:szCs w:val="28"/>
        </w:rPr>
        <w:t xml:space="preserve">5 Ariz. 104, 106, ¶ 8, 67 P.3d 700, 702 (2003) (once indictment is dismissed, State can </w:t>
      </w:r>
      <w:r w:rsidR="00970A6F">
        <w:rPr>
          <w:sz w:val="28"/>
          <w:szCs w:val="28"/>
        </w:rPr>
        <w:lastRenderedPageBreak/>
        <w:t>initiate new criminal proceedings</w:t>
      </w:r>
      <w:r w:rsidR="00775B02">
        <w:rPr>
          <w:sz w:val="28"/>
          <w:szCs w:val="28"/>
        </w:rPr>
        <w:t xml:space="preserve"> in</w:t>
      </w:r>
      <w:r w:rsidR="00970A6F">
        <w:rPr>
          <w:sz w:val="28"/>
          <w:szCs w:val="28"/>
        </w:rPr>
        <w:t xml:space="preserve"> a new case and obtain a peremptory right to change the judge within the time limits permitted by Rule 10.2).  These cases rely on Supreme Court precedent going back over forty years and stress that once a case is dismissed, a new indictment or complaint gives rise to new time limits:</w:t>
      </w:r>
    </w:p>
    <w:p w:rsidR="00970A6F" w:rsidRDefault="00970A6F" w:rsidP="00775B02">
      <w:pPr>
        <w:pStyle w:val="Body"/>
        <w:widowControl w:val="0"/>
        <w:spacing w:line="240" w:lineRule="auto"/>
        <w:ind w:left="720" w:right="720" w:firstLine="0"/>
        <w:jc w:val="both"/>
        <w:rPr>
          <w:sz w:val="28"/>
          <w:szCs w:val="28"/>
        </w:rPr>
      </w:pPr>
      <w:r>
        <w:rPr>
          <w:sz w:val="28"/>
          <w:szCs w:val="28"/>
        </w:rPr>
        <w:t xml:space="preserve">We have considered the effect of the issuance of a new indictment in other contexts.  Arizona courts consistently hold that time limits for purposes of the right to a speedy trial begin to run anew when a grand jury </w:t>
      </w:r>
      <w:proofErr w:type="spellStart"/>
      <w:r>
        <w:rPr>
          <w:sz w:val="28"/>
          <w:szCs w:val="28"/>
        </w:rPr>
        <w:t>reindicts</w:t>
      </w:r>
      <w:proofErr w:type="spellEnd"/>
      <w:r>
        <w:rPr>
          <w:sz w:val="28"/>
          <w:szCs w:val="28"/>
        </w:rPr>
        <w:t xml:space="preserve"> a defendant following the dismissal of an earlier action against the defendant.  </w:t>
      </w:r>
      <w:r w:rsidRPr="00775B02">
        <w:rPr>
          <w:i/>
          <w:sz w:val="28"/>
          <w:szCs w:val="28"/>
        </w:rPr>
        <w:t>E.g., State v. Rose</w:t>
      </w:r>
      <w:r>
        <w:rPr>
          <w:sz w:val="28"/>
          <w:szCs w:val="28"/>
        </w:rPr>
        <w:t xml:space="preserve">, 121 Ariz. 131, 137, 589 P.2d 5, 11 (1978); </w:t>
      </w:r>
      <w:r w:rsidRPr="00775B02">
        <w:rPr>
          <w:i/>
          <w:sz w:val="28"/>
          <w:szCs w:val="28"/>
        </w:rPr>
        <w:t>State v. Johnson</w:t>
      </w:r>
      <w:r>
        <w:rPr>
          <w:sz w:val="28"/>
          <w:szCs w:val="28"/>
        </w:rPr>
        <w:t xml:space="preserve">, 113 Ariz. 506, 510, 557 P.2d 1063, 1067 (1976); </w:t>
      </w:r>
      <w:r w:rsidRPr="00775B02">
        <w:rPr>
          <w:i/>
          <w:sz w:val="28"/>
          <w:szCs w:val="28"/>
        </w:rPr>
        <w:t xml:space="preserve">State v. </w:t>
      </w:r>
      <w:proofErr w:type="spellStart"/>
      <w:r w:rsidRPr="00775B02">
        <w:rPr>
          <w:i/>
          <w:sz w:val="28"/>
          <w:szCs w:val="28"/>
        </w:rPr>
        <w:t>Avriett</w:t>
      </w:r>
      <w:proofErr w:type="spellEnd"/>
      <w:r>
        <w:rPr>
          <w:sz w:val="28"/>
          <w:szCs w:val="28"/>
        </w:rPr>
        <w:t>, 25 Ariz. App. 63, 64, 540 P.2d 1282, 1283 (1975).  We see no reason to treat time limits for filing a notice of change of judge differently.</w:t>
      </w:r>
    </w:p>
    <w:p w:rsidR="00775B02" w:rsidRDefault="00775B02" w:rsidP="00775B02">
      <w:pPr>
        <w:pStyle w:val="Body"/>
        <w:widowControl w:val="0"/>
        <w:spacing w:line="240" w:lineRule="auto"/>
        <w:ind w:left="720" w:right="720" w:firstLine="0"/>
        <w:jc w:val="both"/>
        <w:rPr>
          <w:sz w:val="28"/>
          <w:szCs w:val="28"/>
        </w:rPr>
      </w:pPr>
    </w:p>
    <w:p w:rsidR="00970A6F" w:rsidRDefault="00970A6F" w:rsidP="00970A6F">
      <w:pPr>
        <w:pStyle w:val="Body"/>
        <w:widowControl w:val="0"/>
        <w:spacing w:line="480" w:lineRule="auto"/>
        <w:ind w:right="144" w:firstLine="0"/>
        <w:jc w:val="both"/>
        <w:rPr>
          <w:sz w:val="28"/>
          <w:szCs w:val="28"/>
        </w:rPr>
      </w:pPr>
      <w:r w:rsidRPr="00775B02">
        <w:rPr>
          <w:i/>
          <w:sz w:val="28"/>
          <w:szCs w:val="28"/>
        </w:rPr>
        <w:t>Godoy</w:t>
      </w:r>
      <w:r w:rsidR="00686199">
        <w:rPr>
          <w:i/>
          <w:sz w:val="28"/>
          <w:szCs w:val="28"/>
        </w:rPr>
        <w:t xml:space="preserve"> v. </w:t>
      </w:r>
      <w:proofErr w:type="spellStart"/>
      <w:r w:rsidR="00686199">
        <w:rPr>
          <w:i/>
          <w:sz w:val="28"/>
          <w:szCs w:val="28"/>
        </w:rPr>
        <w:t>Hantman</w:t>
      </w:r>
      <w:proofErr w:type="spellEnd"/>
      <w:r>
        <w:rPr>
          <w:sz w:val="28"/>
          <w:szCs w:val="28"/>
        </w:rPr>
        <w:t xml:space="preserve">, </w:t>
      </w:r>
      <w:r w:rsidR="00775B02">
        <w:rPr>
          <w:sz w:val="28"/>
          <w:szCs w:val="28"/>
        </w:rPr>
        <w:t>205 Ariz. at</w:t>
      </w:r>
      <w:r w:rsidR="00686199">
        <w:rPr>
          <w:sz w:val="28"/>
          <w:szCs w:val="28"/>
        </w:rPr>
        <w:t xml:space="preserve"> 106</w:t>
      </w:r>
      <w:r w:rsidR="00775B02">
        <w:rPr>
          <w:sz w:val="28"/>
          <w:szCs w:val="28"/>
        </w:rPr>
        <w:t xml:space="preserve"> ¶7, 67 P.3d at 702.</w:t>
      </w:r>
    </w:p>
    <w:p w:rsidR="00EF31D8" w:rsidRDefault="00331ECE" w:rsidP="00E00AF4">
      <w:pPr>
        <w:pStyle w:val="Body"/>
        <w:widowControl w:val="0"/>
        <w:spacing w:line="480" w:lineRule="auto"/>
        <w:ind w:right="144" w:firstLine="720"/>
        <w:jc w:val="both"/>
        <w:rPr>
          <w:sz w:val="28"/>
          <w:szCs w:val="28"/>
        </w:rPr>
      </w:pPr>
      <w:r>
        <w:rPr>
          <w:sz w:val="28"/>
          <w:szCs w:val="28"/>
        </w:rPr>
        <w:t xml:space="preserve">Certainly, a prosecutor should not abuse </w:t>
      </w:r>
      <w:r w:rsidR="00EF31D8">
        <w:rPr>
          <w:sz w:val="28"/>
          <w:szCs w:val="28"/>
        </w:rPr>
        <w:t>her</w:t>
      </w:r>
      <w:r>
        <w:rPr>
          <w:sz w:val="28"/>
          <w:szCs w:val="28"/>
        </w:rPr>
        <w:t xml:space="preserve"> discretion in dismissing a criminal proceeding, but </w:t>
      </w:r>
      <w:r w:rsidR="00EF31D8">
        <w:rPr>
          <w:sz w:val="28"/>
          <w:szCs w:val="28"/>
        </w:rPr>
        <w:t>she</w:t>
      </w:r>
      <w:r>
        <w:rPr>
          <w:sz w:val="28"/>
          <w:szCs w:val="28"/>
        </w:rPr>
        <w:t xml:space="preserve"> should be given wide latitude in exercising control over </w:t>
      </w:r>
      <w:r w:rsidR="00EF31D8">
        <w:rPr>
          <w:sz w:val="28"/>
          <w:szCs w:val="28"/>
        </w:rPr>
        <w:t>her</w:t>
      </w:r>
      <w:r>
        <w:rPr>
          <w:sz w:val="28"/>
          <w:szCs w:val="28"/>
        </w:rPr>
        <w:t xml:space="preserve"> own case.  And good faith has always been applied to the prosecutor’s actions </w:t>
      </w:r>
      <w:r w:rsidR="00F423D9">
        <w:rPr>
          <w:sz w:val="28"/>
          <w:szCs w:val="28"/>
        </w:rPr>
        <w:t xml:space="preserve">in dismissing a case without prejudice </w:t>
      </w:r>
      <w:r>
        <w:rPr>
          <w:sz w:val="28"/>
          <w:szCs w:val="28"/>
        </w:rPr>
        <w:t xml:space="preserve">so that he doesn’t operate to circumvent rules related to time limits. </w:t>
      </w:r>
      <w:r w:rsidR="00F423D9">
        <w:rPr>
          <w:sz w:val="28"/>
          <w:szCs w:val="28"/>
        </w:rPr>
        <w:t xml:space="preserve"> </w:t>
      </w:r>
      <w:r w:rsidRPr="00331ECE">
        <w:rPr>
          <w:i/>
          <w:sz w:val="28"/>
          <w:szCs w:val="28"/>
        </w:rPr>
        <w:t>State v. Rose</w:t>
      </w:r>
      <w:r>
        <w:rPr>
          <w:sz w:val="28"/>
          <w:szCs w:val="28"/>
        </w:rPr>
        <w:t>, 121 Ariz. 131, 137, 589 P.2d 5, 11 (1978).</w:t>
      </w:r>
    </w:p>
    <w:p w:rsidR="0052337B" w:rsidRDefault="001242B6" w:rsidP="00E00AF4">
      <w:pPr>
        <w:pStyle w:val="Body"/>
        <w:widowControl w:val="0"/>
        <w:spacing w:line="480" w:lineRule="auto"/>
        <w:ind w:right="144" w:firstLine="720"/>
        <w:jc w:val="both"/>
        <w:rPr>
          <w:sz w:val="28"/>
          <w:szCs w:val="28"/>
        </w:rPr>
      </w:pPr>
      <w:r>
        <w:rPr>
          <w:sz w:val="28"/>
          <w:szCs w:val="28"/>
        </w:rPr>
        <w:t>The fallacy in petitioner’s argument</w:t>
      </w:r>
      <w:r w:rsidR="00F423D9">
        <w:rPr>
          <w:sz w:val="28"/>
          <w:szCs w:val="28"/>
        </w:rPr>
        <w:t xml:space="preserve"> here</w:t>
      </w:r>
      <w:r>
        <w:rPr>
          <w:sz w:val="28"/>
          <w:szCs w:val="28"/>
        </w:rPr>
        <w:t xml:space="preserve"> is in </w:t>
      </w:r>
      <w:r w:rsidRPr="001242B6">
        <w:rPr>
          <w:i/>
          <w:sz w:val="28"/>
          <w:szCs w:val="28"/>
        </w:rPr>
        <w:t>assuming</w:t>
      </w:r>
      <w:r>
        <w:rPr>
          <w:sz w:val="28"/>
          <w:szCs w:val="28"/>
        </w:rPr>
        <w:t xml:space="preserve"> that the intent of a dismissal is to gain the </w:t>
      </w:r>
      <w:r w:rsidR="000D7E6C">
        <w:rPr>
          <w:sz w:val="28"/>
          <w:szCs w:val="28"/>
        </w:rPr>
        <w:t xml:space="preserve">tactical </w:t>
      </w:r>
      <w:r>
        <w:rPr>
          <w:sz w:val="28"/>
          <w:szCs w:val="28"/>
        </w:rPr>
        <w:t>advantage of a new notice</w:t>
      </w:r>
      <w:r w:rsidR="00AE75A0">
        <w:rPr>
          <w:sz w:val="28"/>
          <w:szCs w:val="28"/>
        </w:rPr>
        <w:t>, whether for change of judge or intent to seek the death penalty</w:t>
      </w:r>
      <w:r>
        <w:rPr>
          <w:sz w:val="28"/>
          <w:szCs w:val="28"/>
        </w:rPr>
        <w:t>.</w:t>
      </w:r>
      <w:r w:rsidR="001C31BC">
        <w:rPr>
          <w:sz w:val="28"/>
          <w:szCs w:val="28"/>
        </w:rPr>
        <w:t xml:space="preserve">  There are legitimate and valid reasons why cases are dismissed and later refiled</w:t>
      </w:r>
      <w:r w:rsidR="003E5804">
        <w:rPr>
          <w:sz w:val="28"/>
          <w:szCs w:val="28"/>
        </w:rPr>
        <w:t xml:space="preserve"> by the prosecutor, and unless there is bad </w:t>
      </w:r>
      <w:r w:rsidR="003E5804">
        <w:rPr>
          <w:sz w:val="28"/>
          <w:szCs w:val="28"/>
        </w:rPr>
        <w:lastRenderedPageBreak/>
        <w:t>faith shown</w:t>
      </w:r>
      <w:r w:rsidR="00FE2CAF">
        <w:rPr>
          <w:sz w:val="28"/>
          <w:szCs w:val="28"/>
        </w:rPr>
        <w:t>, those acts are legal and appropriate</w:t>
      </w:r>
      <w:r w:rsidR="001C31BC">
        <w:rPr>
          <w:sz w:val="28"/>
          <w:szCs w:val="28"/>
        </w:rPr>
        <w:t>.</w:t>
      </w:r>
      <w:r w:rsidR="00F423D9">
        <w:rPr>
          <w:sz w:val="28"/>
          <w:szCs w:val="28"/>
        </w:rPr>
        <w:t xml:space="preserve">  Although the defendant </w:t>
      </w:r>
      <w:r w:rsidR="000D7E6C">
        <w:rPr>
          <w:sz w:val="28"/>
          <w:szCs w:val="28"/>
        </w:rPr>
        <w:t xml:space="preserve">had </w:t>
      </w:r>
      <w:r w:rsidR="00F423D9">
        <w:rPr>
          <w:sz w:val="28"/>
          <w:szCs w:val="28"/>
        </w:rPr>
        <w:t xml:space="preserve">argued in </w:t>
      </w:r>
      <w:r w:rsidR="00F423D9" w:rsidRPr="00F423D9">
        <w:rPr>
          <w:i/>
          <w:sz w:val="28"/>
          <w:szCs w:val="28"/>
        </w:rPr>
        <w:t>Granville</w:t>
      </w:r>
      <w:r w:rsidR="00F423D9">
        <w:rPr>
          <w:sz w:val="28"/>
          <w:szCs w:val="28"/>
        </w:rPr>
        <w:t xml:space="preserve"> that the prosecutor acted in bad faith </w:t>
      </w:r>
      <w:r w:rsidR="000D7E6C">
        <w:rPr>
          <w:sz w:val="28"/>
          <w:szCs w:val="28"/>
        </w:rPr>
        <w:t>by dismissing</w:t>
      </w:r>
      <w:r w:rsidR="00F423D9">
        <w:rPr>
          <w:sz w:val="28"/>
          <w:szCs w:val="28"/>
        </w:rPr>
        <w:t xml:space="preserve"> charges and a year later seeking a new indictment, the </w:t>
      </w:r>
      <w:r w:rsidR="004C1B73">
        <w:rPr>
          <w:sz w:val="28"/>
          <w:szCs w:val="28"/>
        </w:rPr>
        <w:t xml:space="preserve">Court found the </w:t>
      </w:r>
      <w:r w:rsidR="00F423D9">
        <w:rPr>
          <w:sz w:val="28"/>
          <w:szCs w:val="28"/>
        </w:rPr>
        <w:t xml:space="preserve">record did not reflect bad faith.  </w:t>
      </w:r>
      <w:r w:rsidR="00F423D9" w:rsidRPr="004C1B73">
        <w:rPr>
          <w:i/>
          <w:sz w:val="28"/>
          <w:szCs w:val="28"/>
        </w:rPr>
        <w:t>Granville</w:t>
      </w:r>
      <w:r w:rsidR="004C1B73">
        <w:rPr>
          <w:sz w:val="28"/>
          <w:szCs w:val="28"/>
        </w:rPr>
        <w:t>, 241 Ariz. at</w:t>
      </w:r>
      <w:r w:rsidR="00686199">
        <w:rPr>
          <w:sz w:val="28"/>
          <w:szCs w:val="28"/>
        </w:rPr>
        <w:t xml:space="preserve"> ___</w:t>
      </w:r>
      <w:r w:rsidR="004C1B73">
        <w:rPr>
          <w:sz w:val="28"/>
          <w:szCs w:val="28"/>
        </w:rPr>
        <w:t xml:space="preserve"> ¶ 12, 386 P.3d at 389 (new indictment filed only after additional information was learned that “significantly changed” defendant’s role in the murder).  Had the rule changes proposed by petitioner been adopted at the time, the state would not have been able to act within its </w:t>
      </w:r>
      <w:r w:rsidR="00AE75A0">
        <w:rPr>
          <w:sz w:val="28"/>
          <w:szCs w:val="28"/>
        </w:rPr>
        <w:t xml:space="preserve">executive </w:t>
      </w:r>
      <w:r w:rsidR="004C1B73">
        <w:rPr>
          <w:sz w:val="28"/>
          <w:szCs w:val="28"/>
        </w:rPr>
        <w:t>power upon learning new information</w:t>
      </w:r>
      <w:r w:rsidR="00AE75A0">
        <w:rPr>
          <w:sz w:val="28"/>
          <w:szCs w:val="28"/>
        </w:rPr>
        <w:t>,</w:t>
      </w:r>
      <w:r w:rsidR="004C1B73">
        <w:rPr>
          <w:sz w:val="28"/>
          <w:szCs w:val="28"/>
        </w:rPr>
        <w:t xml:space="preserve"> and the defendant would have been shielded from </w:t>
      </w:r>
      <w:r w:rsidR="00AE75A0">
        <w:rPr>
          <w:sz w:val="28"/>
          <w:szCs w:val="28"/>
        </w:rPr>
        <w:t>certain</w:t>
      </w:r>
      <w:r w:rsidR="004C1B73">
        <w:rPr>
          <w:sz w:val="28"/>
          <w:szCs w:val="28"/>
        </w:rPr>
        <w:t xml:space="preserve"> penalt</w:t>
      </w:r>
      <w:r w:rsidR="00095590">
        <w:rPr>
          <w:sz w:val="28"/>
          <w:szCs w:val="28"/>
        </w:rPr>
        <w:t>ies</w:t>
      </w:r>
      <w:r w:rsidR="004C1B73">
        <w:rPr>
          <w:sz w:val="28"/>
          <w:szCs w:val="28"/>
        </w:rPr>
        <w:t>.</w:t>
      </w:r>
    </w:p>
    <w:p w:rsidR="00E36AD7" w:rsidRDefault="001242B6" w:rsidP="00E00AF4">
      <w:pPr>
        <w:pStyle w:val="Body"/>
        <w:widowControl w:val="0"/>
        <w:spacing w:line="480" w:lineRule="auto"/>
        <w:ind w:right="144" w:firstLine="720"/>
        <w:jc w:val="both"/>
        <w:rPr>
          <w:sz w:val="28"/>
          <w:szCs w:val="28"/>
        </w:rPr>
      </w:pPr>
      <w:r>
        <w:rPr>
          <w:sz w:val="28"/>
          <w:szCs w:val="28"/>
        </w:rPr>
        <w:t xml:space="preserve">In each of the </w:t>
      </w:r>
      <w:r w:rsidR="00095590">
        <w:rPr>
          <w:sz w:val="28"/>
          <w:szCs w:val="28"/>
        </w:rPr>
        <w:t xml:space="preserve">two </w:t>
      </w:r>
      <w:r>
        <w:rPr>
          <w:sz w:val="28"/>
          <w:szCs w:val="28"/>
        </w:rPr>
        <w:t xml:space="preserve">instances </w:t>
      </w:r>
      <w:r w:rsidR="00AD4B21">
        <w:rPr>
          <w:sz w:val="28"/>
          <w:szCs w:val="28"/>
        </w:rPr>
        <w:t xml:space="preserve">from Maricopa County Superior Court, </w:t>
      </w:r>
      <w:r>
        <w:rPr>
          <w:sz w:val="28"/>
          <w:szCs w:val="28"/>
        </w:rPr>
        <w:t>outlined by the petition as argument in support of the rule changes, the trial courts found</w:t>
      </w:r>
      <w:r w:rsidR="00AD4B21">
        <w:rPr>
          <w:sz w:val="28"/>
          <w:szCs w:val="28"/>
        </w:rPr>
        <w:t xml:space="preserve"> the state had acted i</w:t>
      </w:r>
      <w:r w:rsidR="00241615">
        <w:rPr>
          <w:sz w:val="28"/>
          <w:szCs w:val="28"/>
        </w:rPr>
        <w:t>n bad faith</w:t>
      </w:r>
      <w:r w:rsidR="00AD4B21">
        <w:rPr>
          <w:sz w:val="28"/>
          <w:szCs w:val="28"/>
        </w:rPr>
        <w:t>.</w:t>
      </w:r>
      <w:r w:rsidR="00095590">
        <w:rPr>
          <w:sz w:val="28"/>
          <w:szCs w:val="28"/>
        </w:rPr>
        <w:t xml:space="preserve">  </w:t>
      </w:r>
      <w:r w:rsidR="00241615">
        <w:rPr>
          <w:sz w:val="28"/>
          <w:szCs w:val="28"/>
        </w:rPr>
        <w:t>And i</w:t>
      </w:r>
      <w:r w:rsidR="00095590">
        <w:rPr>
          <w:sz w:val="28"/>
          <w:szCs w:val="28"/>
        </w:rPr>
        <w:t xml:space="preserve">n </w:t>
      </w:r>
      <w:r w:rsidR="00241615">
        <w:rPr>
          <w:sz w:val="28"/>
          <w:szCs w:val="28"/>
        </w:rPr>
        <w:t>each</w:t>
      </w:r>
      <w:r w:rsidR="00095590">
        <w:rPr>
          <w:sz w:val="28"/>
          <w:szCs w:val="28"/>
        </w:rPr>
        <w:t xml:space="preserve"> matter the trial court</w:t>
      </w:r>
      <w:r w:rsidR="00241615">
        <w:rPr>
          <w:sz w:val="28"/>
          <w:szCs w:val="28"/>
        </w:rPr>
        <w:t>s</w:t>
      </w:r>
      <w:r w:rsidR="00095590">
        <w:rPr>
          <w:sz w:val="28"/>
          <w:szCs w:val="28"/>
        </w:rPr>
        <w:t xml:space="preserve"> dismissed the case</w:t>
      </w:r>
      <w:r w:rsidR="00241615">
        <w:rPr>
          <w:sz w:val="28"/>
          <w:szCs w:val="28"/>
        </w:rPr>
        <w:t xml:space="preserve">.  This </w:t>
      </w:r>
      <w:r w:rsidR="00686199">
        <w:rPr>
          <w:sz w:val="28"/>
          <w:szCs w:val="28"/>
        </w:rPr>
        <w:t>underscores</w:t>
      </w:r>
      <w:r w:rsidR="00241615">
        <w:rPr>
          <w:sz w:val="28"/>
          <w:szCs w:val="28"/>
        </w:rPr>
        <w:t xml:space="preserve"> APAAC’s opposition to a criminal rule change, because current case law adequately addresses what may have occurred in </w:t>
      </w:r>
      <w:r w:rsidR="00686199">
        <w:rPr>
          <w:sz w:val="28"/>
          <w:szCs w:val="28"/>
        </w:rPr>
        <w:t>only the</w:t>
      </w:r>
      <w:r w:rsidR="00241615">
        <w:rPr>
          <w:sz w:val="28"/>
          <w:szCs w:val="28"/>
        </w:rPr>
        <w:t xml:space="preserve"> handful of cases</w:t>
      </w:r>
      <w:r w:rsidR="00686199">
        <w:rPr>
          <w:sz w:val="28"/>
          <w:szCs w:val="28"/>
        </w:rPr>
        <w:t xml:space="preserve"> it did</w:t>
      </w:r>
      <w:r w:rsidR="00241615">
        <w:rPr>
          <w:sz w:val="28"/>
          <w:szCs w:val="28"/>
        </w:rPr>
        <w:t xml:space="preserve">.  </w:t>
      </w:r>
      <w:r w:rsidR="003915C8">
        <w:rPr>
          <w:sz w:val="28"/>
          <w:szCs w:val="28"/>
        </w:rPr>
        <w:t xml:space="preserve">The petition is a reaction to a </w:t>
      </w:r>
      <w:r w:rsidR="002C1637">
        <w:rPr>
          <w:sz w:val="28"/>
          <w:szCs w:val="28"/>
        </w:rPr>
        <w:t xml:space="preserve">perceived </w:t>
      </w:r>
      <w:r w:rsidR="003915C8">
        <w:rPr>
          <w:sz w:val="28"/>
          <w:szCs w:val="28"/>
        </w:rPr>
        <w:t>problem that is n</w:t>
      </w:r>
      <w:r w:rsidR="002C1637">
        <w:rPr>
          <w:sz w:val="28"/>
          <w:szCs w:val="28"/>
        </w:rPr>
        <w:t>either</w:t>
      </w:r>
      <w:r w:rsidR="003915C8">
        <w:rPr>
          <w:sz w:val="28"/>
          <w:szCs w:val="28"/>
        </w:rPr>
        <w:t xml:space="preserve"> widespread</w:t>
      </w:r>
      <w:r w:rsidR="002C1637">
        <w:rPr>
          <w:sz w:val="28"/>
          <w:szCs w:val="28"/>
        </w:rPr>
        <w:t xml:space="preserve"> in practice nor, as the court found in </w:t>
      </w:r>
      <w:r w:rsidR="002C1637" w:rsidRPr="00B204ED">
        <w:rPr>
          <w:i/>
          <w:sz w:val="28"/>
          <w:szCs w:val="28"/>
        </w:rPr>
        <w:t>Granville</w:t>
      </w:r>
      <w:r w:rsidR="002C1637">
        <w:rPr>
          <w:sz w:val="28"/>
          <w:szCs w:val="28"/>
        </w:rPr>
        <w:t>, even existent.</w:t>
      </w:r>
      <w:r w:rsidR="00B204ED">
        <w:rPr>
          <w:sz w:val="28"/>
          <w:szCs w:val="28"/>
        </w:rPr>
        <w:t xml:space="preserve">  There is no need to create new rules of criminal procedure </w:t>
      </w:r>
      <w:r w:rsidR="00185887">
        <w:rPr>
          <w:sz w:val="28"/>
          <w:szCs w:val="28"/>
        </w:rPr>
        <w:t>or</w:t>
      </w:r>
      <w:r w:rsidR="00F202F9">
        <w:rPr>
          <w:sz w:val="28"/>
          <w:szCs w:val="28"/>
        </w:rPr>
        <w:t xml:space="preserve"> </w:t>
      </w:r>
      <w:r w:rsidR="00686199">
        <w:rPr>
          <w:sz w:val="28"/>
          <w:szCs w:val="28"/>
        </w:rPr>
        <w:t xml:space="preserve">to </w:t>
      </w:r>
      <w:r w:rsidR="00F202F9">
        <w:rPr>
          <w:sz w:val="28"/>
          <w:szCs w:val="28"/>
        </w:rPr>
        <w:t xml:space="preserve">change long-established case law </w:t>
      </w:r>
      <w:r w:rsidR="00B204ED">
        <w:rPr>
          <w:sz w:val="28"/>
          <w:szCs w:val="28"/>
        </w:rPr>
        <w:t xml:space="preserve">to </w:t>
      </w:r>
      <w:r w:rsidR="001D081E">
        <w:rPr>
          <w:sz w:val="28"/>
          <w:szCs w:val="28"/>
        </w:rPr>
        <w:t>counter</w:t>
      </w:r>
      <w:r w:rsidR="0028288E">
        <w:rPr>
          <w:sz w:val="28"/>
          <w:szCs w:val="28"/>
        </w:rPr>
        <w:t xml:space="preserve"> an issue the Supreme Court has clearly</w:t>
      </w:r>
      <w:r w:rsidR="00F202F9">
        <w:rPr>
          <w:sz w:val="28"/>
          <w:szCs w:val="28"/>
        </w:rPr>
        <w:t xml:space="preserve"> </w:t>
      </w:r>
      <w:r w:rsidR="001D081E">
        <w:rPr>
          <w:sz w:val="28"/>
          <w:szCs w:val="28"/>
        </w:rPr>
        <w:t xml:space="preserve">addressed and </w:t>
      </w:r>
      <w:r w:rsidR="00F202F9">
        <w:rPr>
          <w:sz w:val="28"/>
          <w:szCs w:val="28"/>
        </w:rPr>
        <w:t>ruled upon</w:t>
      </w:r>
      <w:r w:rsidR="00EB481F">
        <w:rPr>
          <w:sz w:val="28"/>
          <w:szCs w:val="28"/>
        </w:rPr>
        <w:t>.</w:t>
      </w:r>
    </w:p>
    <w:p w:rsidR="00087BEF" w:rsidRDefault="00087BEF" w:rsidP="00E00AF4">
      <w:pPr>
        <w:pStyle w:val="Body"/>
        <w:widowControl w:val="0"/>
        <w:spacing w:line="480" w:lineRule="auto"/>
        <w:ind w:right="144" w:firstLine="720"/>
        <w:jc w:val="both"/>
        <w:rPr>
          <w:sz w:val="28"/>
          <w:szCs w:val="28"/>
        </w:rPr>
      </w:pPr>
      <w:r>
        <w:rPr>
          <w:sz w:val="28"/>
          <w:szCs w:val="28"/>
        </w:rPr>
        <w:t xml:space="preserve">Finally, altering the rules of criminal procedure as suggested in the petition fails to consider the due process rights of crime victims.  The Arizona Constitution </w:t>
      </w:r>
      <w:r>
        <w:rPr>
          <w:sz w:val="28"/>
          <w:szCs w:val="28"/>
        </w:rPr>
        <w:lastRenderedPageBreak/>
        <w:t xml:space="preserve">explicitly preserves and protects a crime victim’s rights to justice and due process.  </w:t>
      </w:r>
      <w:r w:rsidRPr="008871FE">
        <w:rPr>
          <w:sz w:val="28"/>
          <w:szCs w:val="28"/>
        </w:rPr>
        <w:t xml:space="preserve">Ariz. Const. art. II, § </w:t>
      </w:r>
      <w:r>
        <w:rPr>
          <w:sz w:val="28"/>
          <w:szCs w:val="28"/>
        </w:rPr>
        <w:t xml:space="preserve">2.1.  </w:t>
      </w:r>
      <w:r w:rsidR="00870CB4">
        <w:rPr>
          <w:sz w:val="28"/>
          <w:szCs w:val="28"/>
        </w:rPr>
        <w:t xml:space="preserve">Ensuring those rights would certainly include allowing the State to exercise its right to seek a change of judge or file a death penalty notification when the circumstances dictate.  </w:t>
      </w:r>
      <w:r>
        <w:rPr>
          <w:sz w:val="28"/>
          <w:szCs w:val="28"/>
        </w:rPr>
        <w:t>Removing the State’s ability to file</w:t>
      </w:r>
      <w:r w:rsidR="00870CB4">
        <w:rPr>
          <w:sz w:val="28"/>
          <w:szCs w:val="28"/>
        </w:rPr>
        <w:t xml:space="preserve"> a notice of change of judge or death penalty</w:t>
      </w:r>
      <w:r>
        <w:rPr>
          <w:sz w:val="28"/>
          <w:szCs w:val="28"/>
        </w:rPr>
        <w:t xml:space="preserve"> has the concurrent effect of </w:t>
      </w:r>
      <w:r w:rsidR="00870CB4">
        <w:rPr>
          <w:sz w:val="28"/>
          <w:szCs w:val="28"/>
        </w:rPr>
        <w:t>undermining a victim’s constitutional rights to justice and due process.</w:t>
      </w:r>
      <w:r>
        <w:rPr>
          <w:sz w:val="28"/>
          <w:szCs w:val="28"/>
        </w:rPr>
        <w:t xml:space="preserve"> </w:t>
      </w:r>
    </w:p>
    <w:p w:rsidR="00526087" w:rsidRPr="00104F4E" w:rsidRDefault="00526087" w:rsidP="00526087">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rsidR="00526087" w:rsidRPr="00CF58A1" w:rsidRDefault="00E00AF4" w:rsidP="009C5CB1">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EB481F">
        <w:rPr>
          <w:sz w:val="28"/>
          <w:szCs w:val="28"/>
        </w:rPr>
        <w:t>urges this Court to</w:t>
      </w:r>
      <w:r w:rsidR="0042754E">
        <w:rPr>
          <w:sz w:val="28"/>
          <w:szCs w:val="28"/>
        </w:rPr>
        <w:t xml:space="preserve"> deny the changes proposed in R-17-0021.  The proposal </w:t>
      </w:r>
      <w:r w:rsidR="00241615">
        <w:rPr>
          <w:sz w:val="28"/>
          <w:szCs w:val="28"/>
        </w:rPr>
        <w:t>alters</w:t>
      </w:r>
      <w:r w:rsidR="0042754E">
        <w:rPr>
          <w:sz w:val="28"/>
          <w:szCs w:val="28"/>
        </w:rPr>
        <w:t xml:space="preserve"> </w:t>
      </w:r>
      <w:r w:rsidR="005A4FF7">
        <w:rPr>
          <w:sz w:val="28"/>
          <w:szCs w:val="28"/>
        </w:rPr>
        <w:t>well-established case law</w:t>
      </w:r>
      <w:r w:rsidR="00962D8F">
        <w:rPr>
          <w:sz w:val="28"/>
          <w:szCs w:val="28"/>
        </w:rPr>
        <w:t xml:space="preserve"> and addresses a problem that, if it even</w:t>
      </w:r>
      <w:r w:rsidR="00D40846">
        <w:rPr>
          <w:sz w:val="28"/>
          <w:szCs w:val="28"/>
        </w:rPr>
        <w:t xml:space="preserve"> exists, has clearly and recently been addressed by the Supreme Court.</w:t>
      </w:r>
      <w:r w:rsidR="00C66B8A">
        <w:rPr>
          <w:sz w:val="28"/>
          <w:szCs w:val="28"/>
        </w:rPr>
        <w:t xml:space="preserve">  There is no need to alter the existing criminal rules</w:t>
      </w:r>
      <w:r w:rsidR="005E26C2">
        <w:rPr>
          <w:sz w:val="28"/>
          <w:szCs w:val="28"/>
        </w:rPr>
        <w:t>,</w:t>
      </w:r>
      <w:r w:rsidR="00241615">
        <w:rPr>
          <w:sz w:val="28"/>
          <w:szCs w:val="28"/>
        </w:rPr>
        <w:t xml:space="preserve"> and public policy should operate in favor of allowing the executive branch the power to decide how cases should be filed and handled</w:t>
      </w:r>
      <w:r w:rsidR="00C66B8A">
        <w:rPr>
          <w:sz w:val="28"/>
          <w:szCs w:val="28"/>
        </w:rPr>
        <w:t>.</w:t>
      </w:r>
    </w:p>
    <w:p w:rsidR="00E649D9" w:rsidRPr="00E649D9" w:rsidRDefault="00E649D9" w:rsidP="00E649D9">
      <w:pPr>
        <w:pStyle w:val="Body"/>
        <w:ind w:firstLine="720"/>
        <w:rPr>
          <w:sz w:val="28"/>
          <w:szCs w:val="28"/>
        </w:rPr>
      </w:pPr>
      <w:r w:rsidRPr="00E649D9">
        <w:rPr>
          <w:sz w:val="28"/>
          <w:szCs w:val="28"/>
        </w:rPr>
        <w:t xml:space="preserve">RESPECTFULLY SUBMITTED this </w:t>
      </w:r>
      <w:r w:rsidRPr="00E649D9">
        <w:rPr>
          <w:sz w:val="28"/>
          <w:szCs w:val="28"/>
          <w:u w:val="single"/>
        </w:rPr>
        <w:t xml:space="preserve">  24</w:t>
      </w:r>
      <w:r w:rsidRPr="00E649D9">
        <w:rPr>
          <w:sz w:val="28"/>
          <w:szCs w:val="28"/>
          <w:u w:val="single"/>
          <w:vertAlign w:val="superscript"/>
        </w:rPr>
        <w:t>th</w:t>
      </w:r>
      <w:r w:rsidRPr="00E649D9">
        <w:rPr>
          <w:sz w:val="28"/>
          <w:szCs w:val="28"/>
          <w:u w:val="single"/>
        </w:rPr>
        <w:t xml:space="preserve"> </w:t>
      </w:r>
      <w:r w:rsidRPr="00E649D9">
        <w:rPr>
          <w:sz w:val="28"/>
          <w:szCs w:val="28"/>
        </w:rPr>
        <w:t>day of</w:t>
      </w:r>
      <w:r w:rsidRPr="00E649D9">
        <w:rPr>
          <w:sz w:val="28"/>
          <w:szCs w:val="28"/>
          <w:u w:val="single"/>
        </w:rPr>
        <w:t xml:space="preserve"> </w:t>
      </w:r>
      <w:r w:rsidRPr="00E649D9">
        <w:rPr>
          <w:sz w:val="28"/>
          <w:szCs w:val="28"/>
          <w:u w:val="single"/>
        </w:rPr>
        <w:tab/>
        <w:t>April</w:t>
      </w:r>
      <w:r w:rsidRPr="00E649D9">
        <w:rPr>
          <w:sz w:val="28"/>
          <w:szCs w:val="28"/>
          <w:u w:val="single"/>
        </w:rPr>
        <w:tab/>
        <w:t xml:space="preserve"> </w:t>
      </w:r>
      <w:r w:rsidRPr="00E649D9">
        <w:rPr>
          <w:sz w:val="28"/>
          <w:szCs w:val="28"/>
        </w:rPr>
        <w:t>, 2017.</w:t>
      </w:r>
    </w:p>
    <w:p w:rsidR="00FD0C85" w:rsidRPr="009C5CB1" w:rsidRDefault="00FD0C85" w:rsidP="00FD0C85">
      <w:pPr>
        <w:pStyle w:val="Body"/>
        <w:widowControl w:val="0"/>
        <w:tabs>
          <w:tab w:val="left" w:pos="720"/>
        </w:tabs>
        <w:ind w:firstLine="0"/>
        <w:rPr>
          <w:sz w:val="8"/>
          <w:szCs w:val="28"/>
        </w:rPr>
      </w:pPr>
    </w:p>
    <w:p w:rsidR="000C48A9" w:rsidRPr="006F63FD" w:rsidRDefault="00A86BC5" w:rsidP="00FD0C85">
      <w:pPr>
        <w:pStyle w:val="Body"/>
        <w:widowControl w:val="0"/>
        <w:tabs>
          <w:tab w:val="left" w:pos="720"/>
        </w:tabs>
        <w:spacing w:line="240" w:lineRule="auto"/>
        <w:ind w:firstLine="0"/>
        <w:rPr>
          <w:sz w:val="28"/>
          <w:szCs w:val="28"/>
        </w:rPr>
      </w:pP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rPr>
        <w:tab/>
      </w:r>
      <w:r w:rsidRPr="00F34CCA">
        <w:rPr>
          <w:sz w:val="28"/>
          <w:szCs w:val="28"/>
          <w:u w:val="single"/>
        </w:rPr>
        <w:t xml:space="preserve">/s/  </w:t>
      </w:r>
      <w:r w:rsidRPr="00F34CCA">
        <w:rPr>
          <w:rFonts w:ascii="Lucida Handwriting" w:hAnsi="Lucida Handwriting"/>
          <w:sz w:val="28"/>
          <w:szCs w:val="28"/>
          <w:u w:val="single"/>
        </w:rPr>
        <w:t>Elizabeth Ortiz</w:t>
      </w:r>
      <w:r w:rsidRPr="00F34CCA">
        <w:rPr>
          <w:rFonts w:ascii="Lucida Handwriting" w:hAnsi="Lucida Handwriting"/>
          <w:sz w:val="28"/>
          <w:szCs w:val="28"/>
          <w:u w:val="single"/>
        </w:rPr>
        <w:tab/>
      </w:r>
      <w:r>
        <w:rPr>
          <w:sz w:val="28"/>
          <w:szCs w:val="28"/>
          <w:u w:val="single"/>
        </w:rPr>
        <w:tab/>
      </w:r>
      <w:r w:rsidRPr="00F34CCA">
        <w:rPr>
          <w:sz w:val="28"/>
          <w:szCs w:val="28"/>
          <w:u w:val="single"/>
        </w:rPr>
        <w:tab/>
      </w:r>
      <w:r w:rsidRPr="00F34CCA">
        <w:rPr>
          <w:sz w:val="28"/>
          <w:szCs w:val="28"/>
          <w:u w:val="single"/>
        </w:rPr>
        <w:tab/>
      </w:r>
      <w:r w:rsidR="00FD0C85">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FD0C85">
        <w:rPr>
          <w:sz w:val="28"/>
          <w:szCs w:val="28"/>
        </w:rPr>
        <w:tab/>
      </w:r>
      <w:r w:rsidR="00B02AF3">
        <w:rPr>
          <w:sz w:val="28"/>
          <w:szCs w:val="28"/>
        </w:rPr>
        <w:t>Elizabeth Ortiz, #012838</w:t>
      </w:r>
    </w:p>
    <w:p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rsidR="00B02AF3" w:rsidRPr="006F63FD" w:rsidRDefault="00B02AF3" w:rsidP="00FD0C85">
      <w:pPr>
        <w:pStyle w:val="PleadingSignature"/>
        <w:keepNext w:val="0"/>
        <w:keepLines w:val="0"/>
        <w:spacing w:line="240" w:lineRule="auto"/>
        <w:ind w:left="3600" w:firstLine="720"/>
        <w:rPr>
          <w:sz w:val="28"/>
          <w:szCs w:val="28"/>
        </w:rPr>
      </w:pPr>
      <w:r>
        <w:rPr>
          <w:sz w:val="28"/>
          <w:szCs w:val="28"/>
        </w:rPr>
        <w:t>Advisory Council</w:t>
      </w:r>
    </w:p>
    <w:p w:rsidR="000C48A9" w:rsidRPr="009C5CB1" w:rsidRDefault="000C48A9" w:rsidP="000C48A9">
      <w:pPr>
        <w:pStyle w:val="PleadingSignature"/>
        <w:keepNext w:val="0"/>
        <w:keepLines w:val="0"/>
        <w:spacing w:line="240" w:lineRule="auto"/>
        <w:ind w:left="5070"/>
        <w:rPr>
          <w:sz w:val="2"/>
          <w:szCs w:val="26"/>
        </w:rPr>
      </w:pPr>
    </w:p>
    <w:p w:rsidR="009C5CB1" w:rsidRPr="00CF3F68" w:rsidRDefault="009C5CB1" w:rsidP="009C5CB1">
      <w:pPr>
        <w:spacing w:line="240" w:lineRule="auto"/>
        <w:rPr>
          <w:sz w:val="28"/>
          <w:szCs w:val="28"/>
        </w:rPr>
      </w:pPr>
      <w:r w:rsidRPr="00CF3F68">
        <w:rPr>
          <w:sz w:val="28"/>
          <w:szCs w:val="28"/>
        </w:rPr>
        <w:t>Electronic copy filed with the</w:t>
      </w:r>
    </w:p>
    <w:p w:rsidR="009C5CB1" w:rsidRPr="00CF3F68" w:rsidRDefault="009C5CB1" w:rsidP="009C5CB1">
      <w:pPr>
        <w:spacing w:line="240" w:lineRule="auto"/>
        <w:rPr>
          <w:sz w:val="28"/>
          <w:szCs w:val="28"/>
        </w:rPr>
      </w:pPr>
      <w:r w:rsidRPr="00CF3F68">
        <w:rPr>
          <w:sz w:val="28"/>
          <w:szCs w:val="28"/>
        </w:rPr>
        <w:t>Clerk of the Arizona Supreme Court</w:t>
      </w:r>
    </w:p>
    <w:p w:rsidR="009C5CB1" w:rsidRDefault="009C5CB1" w:rsidP="009C5CB1">
      <w:pPr>
        <w:spacing w:line="240" w:lineRule="auto"/>
        <w:rPr>
          <w:sz w:val="28"/>
          <w:szCs w:val="28"/>
        </w:rPr>
      </w:pPr>
      <w:r w:rsidRPr="00CF3F68">
        <w:rPr>
          <w:sz w:val="28"/>
          <w:szCs w:val="28"/>
        </w:rPr>
        <w:t xml:space="preserve">this </w:t>
      </w:r>
      <w:r w:rsidRPr="00CF3F68">
        <w:rPr>
          <w:sz w:val="28"/>
          <w:szCs w:val="28"/>
          <w:u w:val="single"/>
        </w:rPr>
        <w:t xml:space="preserve">  24</w:t>
      </w:r>
      <w:r w:rsidRPr="00CF3F68">
        <w:rPr>
          <w:sz w:val="28"/>
          <w:szCs w:val="28"/>
          <w:u w:val="single"/>
          <w:vertAlign w:val="superscript"/>
        </w:rPr>
        <w:t>th</w:t>
      </w:r>
      <w:r w:rsidRPr="00CF3F68">
        <w:rPr>
          <w:sz w:val="28"/>
          <w:szCs w:val="28"/>
          <w:u w:val="single"/>
        </w:rPr>
        <w:t xml:space="preserve"> </w:t>
      </w:r>
      <w:r w:rsidRPr="00CF3F68">
        <w:rPr>
          <w:sz w:val="28"/>
          <w:szCs w:val="28"/>
        </w:rPr>
        <w:t>day of</w:t>
      </w:r>
      <w:r w:rsidRPr="00CF3F68">
        <w:rPr>
          <w:sz w:val="28"/>
          <w:szCs w:val="28"/>
          <w:u w:val="single"/>
        </w:rPr>
        <w:t xml:space="preserve">    April   </w:t>
      </w:r>
      <w:r w:rsidRPr="00CF3F68">
        <w:rPr>
          <w:sz w:val="28"/>
          <w:szCs w:val="28"/>
        </w:rPr>
        <w:t>, 2017.</w:t>
      </w:r>
    </w:p>
    <w:p w:rsidR="009C5CB1" w:rsidRPr="009C5CB1" w:rsidRDefault="009C5CB1" w:rsidP="009C5CB1">
      <w:pPr>
        <w:spacing w:line="240" w:lineRule="auto"/>
        <w:rPr>
          <w:sz w:val="22"/>
          <w:szCs w:val="28"/>
        </w:rPr>
      </w:pPr>
    </w:p>
    <w:p w:rsidR="00052372" w:rsidRPr="000F7A7F" w:rsidRDefault="009C5CB1" w:rsidP="009C5CB1">
      <w:pPr>
        <w:spacing w:line="240" w:lineRule="auto"/>
        <w:rPr>
          <w:sz w:val="26"/>
          <w:szCs w:val="26"/>
        </w:rPr>
      </w:pPr>
      <w:r w:rsidRPr="00CF3F68">
        <w:rPr>
          <w:sz w:val="28"/>
          <w:szCs w:val="28"/>
        </w:rPr>
        <w:t xml:space="preserve">by: </w:t>
      </w:r>
      <w:r w:rsidRPr="00CF3F68">
        <w:rPr>
          <w:rFonts w:ascii="Lucida Calligraphy" w:hAnsi="Lucida Calligraphy"/>
          <w:sz w:val="28"/>
          <w:szCs w:val="28"/>
          <w:u w:val="single"/>
        </w:rPr>
        <w:tab/>
      </w:r>
      <w:proofErr w:type="spellStart"/>
      <w:r w:rsidRPr="00CF3F68">
        <w:rPr>
          <w:rFonts w:ascii="Lucida Calligraphy" w:hAnsi="Lucida Calligraphy"/>
          <w:sz w:val="28"/>
          <w:szCs w:val="28"/>
          <w:u w:val="single"/>
        </w:rPr>
        <w:t>D.Cooney</w:t>
      </w:r>
      <w:proofErr w:type="spellEnd"/>
      <w:r>
        <w:rPr>
          <w:rFonts w:ascii="Lucida Calligraphy" w:hAnsi="Lucida Calligraphy"/>
          <w:sz w:val="28"/>
          <w:szCs w:val="28"/>
          <w:u w:val="single"/>
        </w:rPr>
        <w:tab/>
      </w:r>
      <w:r>
        <w:rPr>
          <w:rFonts w:ascii="Lucida Calligraphy" w:hAnsi="Lucida Calligraphy"/>
          <w:sz w:val="28"/>
          <w:szCs w:val="28"/>
          <w:u w:val="single"/>
        </w:rPr>
        <w:tab/>
      </w:r>
      <w:r>
        <w:rPr>
          <w:rFonts w:ascii="Lucida Calligraphy" w:hAnsi="Lucida Calligraphy"/>
          <w:sz w:val="28"/>
          <w:szCs w:val="28"/>
          <w:u w:val="single"/>
        </w:rPr>
        <w:tab/>
      </w:r>
      <w:r>
        <w:rPr>
          <w:rFonts w:ascii="Lucida Calligraphy" w:hAnsi="Lucida Calligraphy"/>
          <w:sz w:val="28"/>
          <w:szCs w:val="28"/>
          <w:u w:val="single"/>
        </w:rPr>
        <w:tab/>
      </w:r>
      <w:bookmarkStart w:id="2" w:name="_GoBack"/>
      <w:bookmarkEnd w:id="2"/>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1FF" w:rsidRDefault="00B231FF">
      <w:r>
        <w:separator/>
      </w:r>
    </w:p>
  </w:endnote>
  <w:endnote w:type="continuationSeparator" w:id="0">
    <w:p w:rsidR="00B231FF" w:rsidRDefault="00B2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9C5CB1">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1FF" w:rsidRDefault="00B231FF">
      <w:r>
        <w:separator/>
      </w:r>
    </w:p>
  </w:footnote>
  <w:footnote w:type="continuationSeparator" w:id="0">
    <w:p w:rsidR="00B231FF" w:rsidRDefault="00B23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2AF5CC05"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2CEED4A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3DFE714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410B3"/>
    <w:rsid w:val="00043D4D"/>
    <w:rsid w:val="0004786F"/>
    <w:rsid w:val="00052372"/>
    <w:rsid w:val="00056CA0"/>
    <w:rsid w:val="0006397E"/>
    <w:rsid w:val="000666D1"/>
    <w:rsid w:val="000829A0"/>
    <w:rsid w:val="000868BC"/>
    <w:rsid w:val="00087BEF"/>
    <w:rsid w:val="000917C0"/>
    <w:rsid w:val="00095590"/>
    <w:rsid w:val="000A1D6B"/>
    <w:rsid w:val="000C48A9"/>
    <w:rsid w:val="000C58DC"/>
    <w:rsid w:val="000D7E6C"/>
    <w:rsid w:val="000F7A7F"/>
    <w:rsid w:val="000F7C13"/>
    <w:rsid w:val="001003C3"/>
    <w:rsid w:val="00116D61"/>
    <w:rsid w:val="0012408C"/>
    <w:rsid w:val="001242B6"/>
    <w:rsid w:val="00131578"/>
    <w:rsid w:val="00133760"/>
    <w:rsid w:val="00135326"/>
    <w:rsid w:val="00156D8F"/>
    <w:rsid w:val="00185887"/>
    <w:rsid w:val="0019690A"/>
    <w:rsid w:val="001A2520"/>
    <w:rsid w:val="001A741A"/>
    <w:rsid w:val="001C31BC"/>
    <w:rsid w:val="001C5E17"/>
    <w:rsid w:val="001D081E"/>
    <w:rsid w:val="001D0AAA"/>
    <w:rsid w:val="001D30CF"/>
    <w:rsid w:val="001E6473"/>
    <w:rsid w:val="001F591C"/>
    <w:rsid w:val="00213ABC"/>
    <w:rsid w:val="00241615"/>
    <w:rsid w:val="00262BE7"/>
    <w:rsid w:val="00274D6A"/>
    <w:rsid w:val="0028288E"/>
    <w:rsid w:val="002B0C94"/>
    <w:rsid w:val="002C1637"/>
    <w:rsid w:val="002D2738"/>
    <w:rsid w:val="002D2E4D"/>
    <w:rsid w:val="002E6D70"/>
    <w:rsid w:val="00300AA4"/>
    <w:rsid w:val="00303F65"/>
    <w:rsid w:val="00327BB4"/>
    <w:rsid w:val="00331ECE"/>
    <w:rsid w:val="00341028"/>
    <w:rsid w:val="00352347"/>
    <w:rsid w:val="003566D6"/>
    <w:rsid w:val="00357F4D"/>
    <w:rsid w:val="003617D1"/>
    <w:rsid w:val="00364150"/>
    <w:rsid w:val="0036551C"/>
    <w:rsid w:val="003700EE"/>
    <w:rsid w:val="003755A5"/>
    <w:rsid w:val="00377199"/>
    <w:rsid w:val="003915C8"/>
    <w:rsid w:val="00397E14"/>
    <w:rsid w:val="003A28AC"/>
    <w:rsid w:val="003B402A"/>
    <w:rsid w:val="003C2FDA"/>
    <w:rsid w:val="003C33ED"/>
    <w:rsid w:val="003D1B33"/>
    <w:rsid w:val="003E5804"/>
    <w:rsid w:val="0040590D"/>
    <w:rsid w:val="00407E2D"/>
    <w:rsid w:val="00415FD2"/>
    <w:rsid w:val="00422F15"/>
    <w:rsid w:val="0042754E"/>
    <w:rsid w:val="00431CB5"/>
    <w:rsid w:val="004331B2"/>
    <w:rsid w:val="00440E4C"/>
    <w:rsid w:val="0044693C"/>
    <w:rsid w:val="00460947"/>
    <w:rsid w:val="00460E63"/>
    <w:rsid w:val="00463734"/>
    <w:rsid w:val="0046578F"/>
    <w:rsid w:val="004833CE"/>
    <w:rsid w:val="004918F5"/>
    <w:rsid w:val="00492B42"/>
    <w:rsid w:val="00494BDF"/>
    <w:rsid w:val="0049776A"/>
    <w:rsid w:val="00497CE7"/>
    <w:rsid w:val="004A7A9D"/>
    <w:rsid w:val="004C1B73"/>
    <w:rsid w:val="004C3AE3"/>
    <w:rsid w:val="004D6622"/>
    <w:rsid w:val="004D6C64"/>
    <w:rsid w:val="00504E1E"/>
    <w:rsid w:val="00504E81"/>
    <w:rsid w:val="00506859"/>
    <w:rsid w:val="00520F93"/>
    <w:rsid w:val="0052337B"/>
    <w:rsid w:val="00526087"/>
    <w:rsid w:val="005275CC"/>
    <w:rsid w:val="00532975"/>
    <w:rsid w:val="00550D25"/>
    <w:rsid w:val="00564D07"/>
    <w:rsid w:val="00566856"/>
    <w:rsid w:val="00594E2D"/>
    <w:rsid w:val="005971F4"/>
    <w:rsid w:val="005A1A7A"/>
    <w:rsid w:val="005A21B0"/>
    <w:rsid w:val="005A4FF7"/>
    <w:rsid w:val="005A5C62"/>
    <w:rsid w:val="005A6282"/>
    <w:rsid w:val="005B1356"/>
    <w:rsid w:val="005B2DC1"/>
    <w:rsid w:val="005B3B5D"/>
    <w:rsid w:val="005B5161"/>
    <w:rsid w:val="005B6FF3"/>
    <w:rsid w:val="005C59C8"/>
    <w:rsid w:val="005D598D"/>
    <w:rsid w:val="005D699A"/>
    <w:rsid w:val="005D6AD4"/>
    <w:rsid w:val="005E26C2"/>
    <w:rsid w:val="006027AB"/>
    <w:rsid w:val="0062695B"/>
    <w:rsid w:val="00630F92"/>
    <w:rsid w:val="006313CD"/>
    <w:rsid w:val="006338C1"/>
    <w:rsid w:val="00636F5E"/>
    <w:rsid w:val="006410A6"/>
    <w:rsid w:val="006435A1"/>
    <w:rsid w:val="00660556"/>
    <w:rsid w:val="00665CCF"/>
    <w:rsid w:val="006666D1"/>
    <w:rsid w:val="006721EC"/>
    <w:rsid w:val="00673192"/>
    <w:rsid w:val="00677063"/>
    <w:rsid w:val="00682EA7"/>
    <w:rsid w:val="00686199"/>
    <w:rsid w:val="006932BA"/>
    <w:rsid w:val="006A1DDB"/>
    <w:rsid w:val="006B4F9A"/>
    <w:rsid w:val="006B4FAB"/>
    <w:rsid w:val="006C1366"/>
    <w:rsid w:val="006C1EB8"/>
    <w:rsid w:val="006C5CE4"/>
    <w:rsid w:val="006D6031"/>
    <w:rsid w:val="006F5ECA"/>
    <w:rsid w:val="006F63FD"/>
    <w:rsid w:val="00703AE1"/>
    <w:rsid w:val="00722B0F"/>
    <w:rsid w:val="00727D5D"/>
    <w:rsid w:val="00732169"/>
    <w:rsid w:val="007326C8"/>
    <w:rsid w:val="00735659"/>
    <w:rsid w:val="007479DC"/>
    <w:rsid w:val="00751E69"/>
    <w:rsid w:val="00752B4C"/>
    <w:rsid w:val="00753914"/>
    <w:rsid w:val="007658D4"/>
    <w:rsid w:val="0077110E"/>
    <w:rsid w:val="00775B02"/>
    <w:rsid w:val="007870CB"/>
    <w:rsid w:val="007A2140"/>
    <w:rsid w:val="007A3F0F"/>
    <w:rsid w:val="007B12B3"/>
    <w:rsid w:val="007B5BD9"/>
    <w:rsid w:val="007C4A3E"/>
    <w:rsid w:val="007D5C49"/>
    <w:rsid w:val="007D73FF"/>
    <w:rsid w:val="008006ED"/>
    <w:rsid w:val="0081185D"/>
    <w:rsid w:val="00822598"/>
    <w:rsid w:val="0083469E"/>
    <w:rsid w:val="008360A1"/>
    <w:rsid w:val="0084227D"/>
    <w:rsid w:val="008540F9"/>
    <w:rsid w:val="00861563"/>
    <w:rsid w:val="00870CB4"/>
    <w:rsid w:val="00871AAA"/>
    <w:rsid w:val="00877C59"/>
    <w:rsid w:val="008819A3"/>
    <w:rsid w:val="00891AAA"/>
    <w:rsid w:val="00896CBF"/>
    <w:rsid w:val="008B31DD"/>
    <w:rsid w:val="008C1DEC"/>
    <w:rsid w:val="008D6D4C"/>
    <w:rsid w:val="008F64B4"/>
    <w:rsid w:val="008F67E6"/>
    <w:rsid w:val="00902557"/>
    <w:rsid w:val="00933EA1"/>
    <w:rsid w:val="00951416"/>
    <w:rsid w:val="00960D21"/>
    <w:rsid w:val="00962D8F"/>
    <w:rsid w:val="00970A6F"/>
    <w:rsid w:val="00981D29"/>
    <w:rsid w:val="00981E11"/>
    <w:rsid w:val="009C1CAA"/>
    <w:rsid w:val="009C5CB1"/>
    <w:rsid w:val="009E153B"/>
    <w:rsid w:val="00A07874"/>
    <w:rsid w:val="00A11510"/>
    <w:rsid w:val="00A117E1"/>
    <w:rsid w:val="00A133C4"/>
    <w:rsid w:val="00A14B4F"/>
    <w:rsid w:val="00A1564B"/>
    <w:rsid w:val="00A27EB9"/>
    <w:rsid w:val="00A37211"/>
    <w:rsid w:val="00A50A82"/>
    <w:rsid w:val="00A5194F"/>
    <w:rsid w:val="00A57220"/>
    <w:rsid w:val="00A622FD"/>
    <w:rsid w:val="00A62C72"/>
    <w:rsid w:val="00A641B3"/>
    <w:rsid w:val="00A86BC5"/>
    <w:rsid w:val="00A871D6"/>
    <w:rsid w:val="00AB401C"/>
    <w:rsid w:val="00AB470A"/>
    <w:rsid w:val="00AC5069"/>
    <w:rsid w:val="00AD4B21"/>
    <w:rsid w:val="00AD6948"/>
    <w:rsid w:val="00AE30C2"/>
    <w:rsid w:val="00AE75A0"/>
    <w:rsid w:val="00AF005F"/>
    <w:rsid w:val="00AF282C"/>
    <w:rsid w:val="00AF3FF7"/>
    <w:rsid w:val="00AF4649"/>
    <w:rsid w:val="00AF7028"/>
    <w:rsid w:val="00B02AF3"/>
    <w:rsid w:val="00B0715E"/>
    <w:rsid w:val="00B11617"/>
    <w:rsid w:val="00B12FD4"/>
    <w:rsid w:val="00B1491D"/>
    <w:rsid w:val="00B1673F"/>
    <w:rsid w:val="00B204ED"/>
    <w:rsid w:val="00B231FF"/>
    <w:rsid w:val="00B3627A"/>
    <w:rsid w:val="00B43995"/>
    <w:rsid w:val="00B45004"/>
    <w:rsid w:val="00B47B7D"/>
    <w:rsid w:val="00B5499E"/>
    <w:rsid w:val="00B87B69"/>
    <w:rsid w:val="00B92D7E"/>
    <w:rsid w:val="00BB5AD1"/>
    <w:rsid w:val="00BC0ABB"/>
    <w:rsid w:val="00C03E0F"/>
    <w:rsid w:val="00C35DE3"/>
    <w:rsid w:val="00C37715"/>
    <w:rsid w:val="00C42E3B"/>
    <w:rsid w:val="00C52E56"/>
    <w:rsid w:val="00C5407A"/>
    <w:rsid w:val="00C662B0"/>
    <w:rsid w:val="00C66B8A"/>
    <w:rsid w:val="00C84FD4"/>
    <w:rsid w:val="00C958EE"/>
    <w:rsid w:val="00CC2E2B"/>
    <w:rsid w:val="00CD21FB"/>
    <w:rsid w:val="00CE2425"/>
    <w:rsid w:val="00CE6871"/>
    <w:rsid w:val="00CF7E14"/>
    <w:rsid w:val="00D0470C"/>
    <w:rsid w:val="00D05018"/>
    <w:rsid w:val="00D40846"/>
    <w:rsid w:val="00D423FE"/>
    <w:rsid w:val="00D442E4"/>
    <w:rsid w:val="00D51D03"/>
    <w:rsid w:val="00D6666E"/>
    <w:rsid w:val="00D70DC1"/>
    <w:rsid w:val="00D72D57"/>
    <w:rsid w:val="00D76C9A"/>
    <w:rsid w:val="00D80EDC"/>
    <w:rsid w:val="00D95EA0"/>
    <w:rsid w:val="00DA2F45"/>
    <w:rsid w:val="00DE7701"/>
    <w:rsid w:val="00DF4F15"/>
    <w:rsid w:val="00E00AF4"/>
    <w:rsid w:val="00E0220D"/>
    <w:rsid w:val="00E047D3"/>
    <w:rsid w:val="00E21F02"/>
    <w:rsid w:val="00E266B7"/>
    <w:rsid w:val="00E321C5"/>
    <w:rsid w:val="00E36AD7"/>
    <w:rsid w:val="00E37197"/>
    <w:rsid w:val="00E42028"/>
    <w:rsid w:val="00E5772B"/>
    <w:rsid w:val="00E649D9"/>
    <w:rsid w:val="00E67511"/>
    <w:rsid w:val="00E734CC"/>
    <w:rsid w:val="00E7565F"/>
    <w:rsid w:val="00E82D0F"/>
    <w:rsid w:val="00E950B5"/>
    <w:rsid w:val="00EA0255"/>
    <w:rsid w:val="00EA2B76"/>
    <w:rsid w:val="00EB481F"/>
    <w:rsid w:val="00EB7FE0"/>
    <w:rsid w:val="00EC4CEE"/>
    <w:rsid w:val="00EF175F"/>
    <w:rsid w:val="00EF31D8"/>
    <w:rsid w:val="00F05879"/>
    <w:rsid w:val="00F06F5B"/>
    <w:rsid w:val="00F202F9"/>
    <w:rsid w:val="00F22037"/>
    <w:rsid w:val="00F2485D"/>
    <w:rsid w:val="00F33926"/>
    <w:rsid w:val="00F423D9"/>
    <w:rsid w:val="00F44037"/>
    <w:rsid w:val="00F54DF7"/>
    <w:rsid w:val="00F60C61"/>
    <w:rsid w:val="00F64B52"/>
    <w:rsid w:val="00F66881"/>
    <w:rsid w:val="00F86C53"/>
    <w:rsid w:val="00FA177C"/>
    <w:rsid w:val="00FA711A"/>
    <w:rsid w:val="00FB0EF5"/>
    <w:rsid w:val="00FB5291"/>
    <w:rsid w:val="00FB615D"/>
    <w:rsid w:val="00FD0C85"/>
    <w:rsid w:val="00FD3D4E"/>
    <w:rsid w:val="00FD583A"/>
    <w:rsid w:val="00FE2CAF"/>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F69DD"/>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0F79-A775-4362-98EE-D4839041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76</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7</cp:revision>
  <cp:lastPrinted>2017-02-23T00:41:00Z</cp:lastPrinted>
  <dcterms:created xsi:type="dcterms:W3CDTF">2017-03-13T14:19:00Z</dcterms:created>
  <dcterms:modified xsi:type="dcterms:W3CDTF">2017-04-24T16:31:00Z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