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B8247" w14:textId="27127E68" w:rsidR="009F7002" w:rsidRDefault="00647C00" w:rsidP="009F7002">
      <w:pPr>
        <w:rPr>
          <w:sz w:val="28"/>
          <w:szCs w:val="28"/>
        </w:rPr>
      </w:pPr>
      <w:r>
        <w:rPr>
          <w:sz w:val="28"/>
          <w:szCs w:val="28"/>
        </w:rPr>
        <w:t>James C. Mitchell</w:t>
      </w:r>
    </w:p>
    <w:p w14:paraId="3D01524A" w14:textId="0B270E5A" w:rsidR="00647C00" w:rsidRDefault="00647C00" w:rsidP="009F7002">
      <w:pPr>
        <w:rPr>
          <w:sz w:val="28"/>
          <w:szCs w:val="28"/>
        </w:rPr>
      </w:pPr>
      <w:r>
        <w:rPr>
          <w:sz w:val="28"/>
          <w:szCs w:val="28"/>
        </w:rPr>
        <w:t>State Bar of Arizona No. 017387</w:t>
      </w:r>
    </w:p>
    <w:p w14:paraId="3B11706B" w14:textId="4794B1E1" w:rsidR="00647C00" w:rsidRDefault="00647C00" w:rsidP="009F7002">
      <w:pPr>
        <w:rPr>
          <w:sz w:val="28"/>
          <w:szCs w:val="28"/>
        </w:rPr>
      </w:pPr>
      <w:r>
        <w:rPr>
          <w:sz w:val="28"/>
          <w:szCs w:val="28"/>
        </w:rPr>
        <w:t>1098 W. Shoal Creek Lane</w:t>
      </w:r>
    </w:p>
    <w:p w14:paraId="0B8824D7" w14:textId="12616235" w:rsidR="00647C00" w:rsidRDefault="00647C00" w:rsidP="009F7002">
      <w:pPr>
        <w:rPr>
          <w:sz w:val="28"/>
          <w:szCs w:val="28"/>
        </w:rPr>
      </w:pPr>
      <w:r>
        <w:rPr>
          <w:sz w:val="28"/>
          <w:szCs w:val="28"/>
        </w:rPr>
        <w:t>Oro Valley, AZ 85737</w:t>
      </w:r>
    </w:p>
    <w:p w14:paraId="2E78EACB" w14:textId="3A4FFF41" w:rsidR="00647C00" w:rsidRDefault="00647C00" w:rsidP="009F7002">
      <w:pPr>
        <w:rPr>
          <w:sz w:val="28"/>
          <w:szCs w:val="28"/>
        </w:rPr>
      </w:pPr>
      <w:r>
        <w:rPr>
          <w:sz w:val="28"/>
          <w:szCs w:val="28"/>
        </w:rPr>
        <w:t>Phone 520-907-2478</w:t>
      </w:r>
    </w:p>
    <w:p w14:paraId="7475F08C" w14:textId="361EEAD2" w:rsidR="00647C00" w:rsidRDefault="00647C00" w:rsidP="009F7002">
      <w:pPr>
        <w:rPr>
          <w:sz w:val="28"/>
          <w:szCs w:val="28"/>
        </w:rPr>
      </w:pPr>
      <w:r>
        <w:rPr>
          <w:sz w:val="28"/>
          <w:szCs w:val="28"/>
        </w:rPr>
        <w:t xml:space="preserve">email </w:t>
      </w:r>
      <w:r w:rsidRPr="00E3642A">
        <w:rPr>
          <w:sz w:val="28"/>
          <w:szCs w:val="28"/>
        </w:rPr>
        <w:t>mitchell@email.arizona.edu</w:t>
      </w:r>
    </w:p>
    <w:p w14:paraId="31327AFD" w14:textId="77777777" w:rsidR="00E3642A" w:rsidRDefault="00E3642A" w:rsidP="003D3F61">
      <w:pPr>
        <w:rPr>
          <w:b/>
          <w:sz w:val="28"/>
          <w:szCs w:val="28"/>
        </w:rPr>
      </w:pPr>
    </w:p>
    <w:p w14:paraId="78A50ACE" w14:textId="77777777" w:rsidR="00E3642A" w:rsidRDefault="00E3642A" w:rsidP="00E3642A">
      <w:pPr>
        <w:ind w:firstLine="432"/>
        <w:jc w:val="center"/>
        <w:rPr>
          <w:b/>
          <w:sz w:val="28"/>
          <w:szCs w:val="28"/>
        </w:rPr>
      </w:pPr>
    </w:p>
    <w:p w14:paraId="6E9C8B4D" w14:textId="77777777" w:rsidR="00E3642A" w:rsidRDefault="00E3642A" w:rsidP="00E3642A">
      <w:pPr>
        <w:ind w:firstLine="432"/>
        <w:jc w:val="center"/>
        <w:rPr>
          <w:b/>
          <w:sz w:val="28"/>
          <w:szCs w:val="28"/>
        </w:rPr>
      </w:pPr>
    </w:p>
    <w:p w14:paraId="265A8D3E" w14:textId="77777777" w:rsidR="00E3642A" w:rsidRDefault="00E3642A" w:rsidP="00E3642A">
      <w:pPr>
        <w:ind w:firstLine="432"/>
        <w:jc w:val="center"/>
        <w:rPr>
          <w:b/>
          <w:sz w:val="28"/>
          <w:szCs w:val="28"/>
        </w:rPr>
      </w:pPr>
      <w:r>
        <w:rPr>
          <w:b/>
          <w:sz w:val="28"/>
          <w:szCs w:val="28"/>
        </w:rPr>
        <w:t>IN THE SUPREME COURT</w:t>
      </w:r>
    </w:p>
    <w:p w14:paraId="7AE94C5A" w14:textId="77777777" w:rsidR="00E3642A" w:rsidRPr="0057475A" w:rsidRDefault="00E3642A" w:rsidP="00E3642A">
      <w:pPr>
        <w:ind w:firstLine="432"/>
        <w:jc w:val="center"/>
        <w:rPr>
          <w:b/>
          <w:sz w:val="28"/>
          <w:szCs w:val="28"/>
        </w:rPr>
      </w:pPr>
      <w:r>
        <w:rPr>
          <w:b/>
          <w:sz w:val="28"/>
          <w:szCs w:val="28"/>
        </w:rPr>
        <w:t>STATE OF ARIZONA</w:t>
      </w:r>
    </w:p>
    <w:p w14:paraId="632307D0" w14:textId="77777777" w:rsidR="00E3642A" w:rsidRDefault="00E3642A" w:rsidP="00E3642A">
      <w:pPr>
        <w:rPr>
          <w:sz w:val="28"/>
          <w:szCs w:val="28"/>
        </w:rPr>
      </w:pPr>
    </w:p>
    <w:p w14:paraId="51EF9EC9" w14:textId="77777777" w:rsidR="00E3642A" w:rsidRDefault="00E3642A" w:rsidP="00E3642A">
      <w:pPr>
        <w:ind w:firstLine="432"/>
        <w:rPr>
          <w:sz w:val="28"/>
          <w:szCs w:val="28"/>
        </w:rPr>
      </w:pPr>
      <w:r>
        <w:rPr>
          <w:noProof/>
        </w:rPr>
        <mc:AlternateContent>
          <mc:Choice Requires="wps">
            <w:drawing>
              <wp:anchor distT="0" distB="0" distL="114300" distR="114300" simplePos="0" relativeHeight="251659264" behindDoc="0" locked="0" layoutInCell="1" allowOverlap="1" wp14:anchorId="5C5A40DD" wp14:editId="5ACB35DE">
                <wp:simplePos x="0" y="0"/>
                <wp:positionH relativeFrom="column">
                  <wp:posOffset>2567093</wp:posOffset>
                </wp:positionH>
                <wp:positionV relativeFrom="paragraph">
                  <wp:posOffset>85513</wp:posOffset>
                </wp:positionV>
                <wp:extent cx="3598" cy="1143000"/>
                <wp:effectExtent l="0" t="0" r="47625" b="25400"/>
                <wp:wrapNone/>
                <wp:docPr id="1" name="Straight Connector 1"/>
                <wp:cNvGraphicFramePr/>
                <a:graphic xmlns:a="http://schemas.openxmlformats.org/drawingml/2006/main">
                  <a:graphicData uri="http://schemas.microsoft.com/office/word/2010/wordprocessingShape">
                    <wps:wsp>
                      <wps:cNvCnPr/>
                      <wps:spPr>
                        <a:xfrm>
                          <a:off x="0" y="0"/>
                          <a:ext cx="3598" cy="114300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4F3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15pt,6.75pt" to="202.45pt,9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" strokecolor="black [3213]" strokeweight=".5pt">
                <v:stroke joinstyle="miter"/>
              </v:line>
            </w:pict>
          </mc:Fallback>
        </mc:AlternateContent>
      </w:r>
    </w:p>
    <w:p w14:paraId="70AB7842" w14:textId="13DDE4FE" w:rsidR="00E3642A" w:rsidRDefault="00E3642A" w:rsidP="00E3642A">
      <w:pPr>
        <w:rPr>
          <w:sz w:val="28"/>
          <w:szCs w:val="28"/>
        </w:rPr>
      </w:pPr>
      <w:r>
        <w:rPr>
          <w:sz w:val="28"/>
          <w:szCs w:val="28"/>
        </w:rPr>
        <w:t>In the Mat</w:t>
      </w:r>
      <w:r w:rsidR="003D3F61">
        <w:rPr>
          <w:sz w:val="28"/>
          <w:szCs w:val="28"/>
        </w:rPr>
        <w:t>ter of</w:t>
      </w:r>
      <w:r w:rsidR="003D3F61">
        <w:rPr>
          <w:sz w:val="28"/>
          <w:szCs w:val="28"/>
        </w:rPr>
        <w:tab/>
      </w:r>
      <w:r w:rsidR="003D3F61">
        <w:rPr>
          <w:sz w:val="28"/>
          <w:szCs w:val="28"/>
        </w:rPr>
        <w:tab/>
      </w:r>
      <w:r w:rsidR="003D3F61">
        <w:rPr>
          <w:sz w:val="28"/>
          <w:szCs w:val="28"/>
        </w:rPr>
        <w:tab/>
      </w:r>
      <w:r w:rsidR="003D3F61">
        <w:rPr>
          <w:sz w:val="28"/>
          <w:szCs w:val="28"/>
        </w:rPr>
        <w:tab/>
        <w:t>Supreme Court No. R-16-004</w:t>
      </w:r>
      <w:r>
        <w:rPr>
          <w:sz w:val="28"/>
          <w:szCs w:val="28"/>
        </w:rPr>
        <w:t>2</w:t>
      </w:r>
    </w:p>
    <w:p w14:paraId="7D3163C0" w14:textId="77777777" w:rsidR="00E3642A" w:rsidRDefault="00E3642A" w:rsidP="00E3642A">
      <w:pPr>
        <w:rPr>
          <w:sz w:val="28"/>
          <w:szCs w:val="28"/>
        </w:rPr>
      </w:pPr>
      <w:r>
        <w:rPr>
          <w:sz w:val="28"/>
          <w:szCs w:val="28"/>
        </w:rPr>
        <w:t>PETITION TO AMEND</w:t>
      </w:r>
      <w:r>
        <w:rPr>
          <w:sz w:val="28"/>
          <w:szCs w:val="28"/>
        </w:rPr>
        <w:tab/>
      </w:r>
      <w:r>
        <w:rPr>
          <w:sz w:val="28"/>
          <w:szCs w:val="28"/>
        </w:rPr>
        <w:tab/>
      </w:r>
      <w:r>
        <w:rPr>
          <w:sz w:val="28"/>
          <w:szCs w:val="28"/>
        </w:rPr>
        <w:tab/>
      </w:r>
    </w:p>
    <w:p w14:paraId="6ACCAC9E" w14:textId="4EF11000" w:rsidR="00E3642A" w:rsidRPr="00364718" w:rsidRDefault="00456E7D" w:rsidP="00E3642A">
      <w:pPr>
        <w:rPr>
          <w:b/>
          <w:sz w:val="28"/>
          <w:szCs w:val="28"/>
        </w:rPr>
      </w:pPr>
      <w:r>
        <w:rPr>
          <w:sz w:val="28"/>
          <w:szCs w:val="28"/>
        </w:rPr>
        <w:t>RULES</w:t>
      </w:r>
      <w:r w:rsidR="003D3F61">
        <w:rPr>
          <w:sz w:val="28"/>
          <w:szCs w:val="28"/>
        </w:rPr>
        <w:t xml:space="preserve"> 34(b</w:t>
      </w:r>
      <w:r>
        <w:rPr>
          <w:sz w:val="28"/>
          <w:szCs w:val="28"/>
        </w:rPr>
        <w:t>)(1)</w:t>
      </w:r>
      <w:r w:rsidR="003D3F61">
        <w:rPr>
          <w:sz w:val="28"/>
          <w:szCs w:val="28"/>
        </w:rPr>
        <w:t>(D) and (f</w:t>
      </w:r>
      <w:r>
        <w:rPr>
          <w:sz w:val="28"/>
          <w:szCs w:val="28"/>
        </w:rPr>
        <w:t>)(1)(B)</w:t>
      </w:r>
      <w:r w:rsidR="00E3642A">
        <w:rPr>
          <w:sz w:val="28"/>
          <w:szCs w:val="28"/>
        </w:rPr>
        <w:tab/>
      </w:r>
      <w:r w:rsidR="00E3642A">
        <w:rPr>
          <w:b/>
          <w:sz w:val="28"/>
          <w:szCs w:val="28"/>
        </w:rPr>
        <w:t>Comment in Support of</w:t>
      </w:r>
      <w:r w:rsidR="003D3F61">
        <w:rPr>
          <w:b/>
          <w:sz w:val="28"/>
          <w:szCs w:val="28"/>
        </w:rPr>
        <w:t xml:space="preserve"> Petition</w:t>
      </w:r>
    </w:p>
    <w:p w14:paraId="49070A95" w14:textId="3A3A9941" w:rsidR="00E3642A" w:rsidRDefault="003D3F61" w:rsidP="00E3642A">
      <w:pPr>
        <w:ind w:left="4320" w:hanging="4320"/>
        <w:rPr>
          <w:b/>
          <w:sz w:val="28"/>
          <w:szCs w:val="28"/>
        </w:rPr>
      </w:pPr>
      <w:r>
        <w:rPr>
          <w:sz w:val="28"/>
          <w:szCs w:val="28"/>
        </w:rPr>
        <w:t>Rules of the Supreme Court</w:t>
      </w:r>
      <w:r w:rsidR="00E3642A">
        <w:rPr>
          <w:sz w:val="28"/>
          <w:szCs w:val="28"/>
        </w:rPr>
        <w:t xml:space="preserve">            </w:t>
      </w:r>
      <w:r w:rsidR="00456E7D">
        <w:rPr>
          <w:sz w:val="28"/>
          <w:szCs w:val="28"/>
        </w:rPr>
        <w:tab/>
      </w:r>
      <w:r w:rsidR="00E3642A">
        <w:rPr>
          <w:b/>
          <w:sz w:val="28"/>
          <w:szCs w:val="28"/>
        </w:rPr>
        <w:t>to Amend Arizona</w:t>
      </w:r>
      <w:r w:rsidR="00E3642A">
        <w:rPr>
          <w:sz w:val="28"/>
          <w:szCs w:val="28"/>
        </w:rPr>
        <w:t xml:space="preserve"> </w:t>
      </w:r>
      <w:r w:rsidR="00E3642A">
        <w:rPr>
          <w:b/>
          <w:sz w:val="28"/>
          <w:szCs w:val="28"/>
        </w:rPr>
        <w:t xml:space="preserve">Supreme </w:t>
      </w:r>
      <w:r>
        <w:rPr>
          <w:b/>
          <w:sz w:val="28"/>
          <w:szCs w:val="28"/>
        </w:rPr>
        <w:t>Court</w:t>
      </w:r>
    </w:p>
    <w:p w14:paraId="2E2DC03C" w14:textId="27512635" w:rsidR="00E3642A" w:rsidRPr="007805FB" w:rsidRDefault="00E3642A" w:rsidP="00E3642A">
      <w:pPr>
        <w:ind w:left="4320" w:hanging="4320"/>
        <w:rPr>
          <w:b/>
          <w:sz w:val="28"/>
          <w:szCs w:val="28"/>
        </w:rPr>
      </w:pPr>
      <w:r w:rsidRPr="007805FB">
        <w:rPr>
          <w:sz w:val="28"/>
          <w:szCs w:val="28"/>
        </w:rPr>
        <w:t>___________________________</w:t>
      </w:r>
      <w:r w:rsidR="00456E7D">
        <w:rPr>
          <w:sz w:val="28"/>
          <w:szCs w:val="28"/>
        </w:rPr>
        <w:t>__</w:t>
      </w:r>
      <w:r w:rsidR="003D3F61">
        <w:rPr>
          <w:sz w:val="28"/>
          <w:szCs w:val="28"/>
        </w:rPr>
        <w:t xml:space="preserve">    </w:t>
      </w:r>
      <w:r w:rsidR="003D3F61">
        <w:rPr>
          <w:b/>
          <w:sz w:val="28"/>
          <w:szCs w:val="28"/>
        </w:rPr>
        <w:t>Rules 34(b</w:t>
      </w:r>
      <w:r w:rsidRPr="007805FB">
        <w:rPr>
          <w:b/>
          <w:sz w:val="28"/>
          <w:szCs w:val="28"/>
        </w:rPr>
        <w:t>)</w:t>
      </w:r>
      <w:r w:rsidR="003D3F61">
        <w:rPr>
          <w:b/>
          <w:sz w:val="28"/>
          <w:szCs w:val="28"/>
        </w:rPr>
        <w:t>(1)(D) and (f</w:t>
      </w:r>
      <w:r w:rsidRPr="007805FB">
        <w:rPr>
          <w:b/>
          <w:sz w:val="28"/>
          <w:szCs w:val="28"/>
        </w:rPr>
        <w:t>)</w:t>
      </w:r>
      <w:r w:rsidR="003D3F61">
        <w:rPr>
          <w:b/>
          <w:sz w:val="28"/>
          <w:szCs w:val="28"/>
        </w:rPr>
        <w:t>(1)(B)</w:t>
      </w:r>
    </w:p>
    <w:p w14:paraId="2C3489ED" w14:textId="77777777" w:rsidR="00E3642A" w:rsidRDefault="00E3642A" w:rsidP="00E3642A">
      <w:pPr>
        <w:rPr>
          <w:sz w:val="28"/>
          <w:szCs w:val="28"/>
        </w:rPr>
      </w:pPr>
    </w:p>
    <w:p w14:paraId="769C118D" w14:textId="77777777" w:rsidR="00E3642A" w:rsidRDefault="00E3642A" w:rsidP="00E3642A">
      <w:pPr>
        <w:ind w:left="4320" w:hanging="4320"/>
        <w:rPr>
          <w:sz w:val="28"/>
          <w:szCs w:val="28"/>
        </w:rPr>
      </w:pPr>
    </w:p>
    <w:p w14:paraId="1E11B47D" w14:textId="56984AF0" w:rsidR="009F7002" w:rsidRDefault="003D3F61" w:rsidP="003D3F61">
      <w:pPr>
        <w:spacing w:line="480" w:lineRule="auto"/>
        <w:ind w:firstLine="432"/>
        <w:rPr>
          <w:sz w:val="28"/>
          <w:szCs w:val="28"/>
        </w:rPr>
      </w:pPr>
      <w:r>
        <w:rPr>
          <w:sz w:val="28"/>
          <w:szCs w:val="28"/>
        </w:rPr>
        <w:t>Pursuant to Rule 28(D), Rules of the Supreme Court, the undersigned respectfully submits this Comment for the Court’s consideration.</w:t>
      </w:r>
    </w:p>
    <w:p w14:paraId="537C41F5" w14:textId="377B260B" w:rsidR="006D4A15" w:rsidRDefault="006D4A15" w:rsidP="00BC56F2">
      <w:pPr>
        <w:spacing w:line="480" w:lineRule="auto"/>
        <w:ind w:firstLine="432"/>
        <w:rPr>
          <w:sz w:val="28"/>
          <w:szCs w:val="28"/>
        </w:rPr>
      </w:pPr>
      <w:r>
        <w:rPr>
          <w:sz w:val="28"/>
          <w:szCs w:val="28"/>
        </w:rPr>
        <w:t>Here’s how to tell whether or not applicants are qualified to sit for the Arizona bar examination: administer the exam and check the scores.</w:t>
      </w:r>
    </w:p>
    <w:p w14:paraId="2E8238C4" w14:textId="3CDAAD9E" w:rsidR="005D3B7A" w:rsidRDefault="006D4A15" w:rsidP="00BC56F2">
      <w:pPr>
        <w:spacing w:line="480" w:lineRule="auto"/>
        <w:ind w:firstLine="432"/>
        <w:rPr>
          <w:sz w:val="28"/>
          <w:szCs w:val="28"/>
        </w:rPr>
      </w:pPr>
      <w:r>
        <w:rPr>
          <w:sz w:val="28"/>
          <w:szCs w:val="28"/>
        </w:rPr>
        <w:t>What? Like</w:t>
      </w:r>
      <w:r w:rsidR="00155C0D">
        <w:rPr>
          <w:sz w:val="28"/>
          <w:szCs w:val="28"/>
        </w:rPr>
        <w:t>,</w:t>
      </w:r>
      <w:r>
        <w:rPr>
          <w:sz w:val="28"/>
          <w:szCs w:val="28"/>
        </w:rPr>
        <w:t xml:space="preserve"> it’s hard?</w:t>
      </w:r>
      <w:r w:rsidR="005D3B7A">
        <w:rPr>
          <w:rStyle w:val="FootnoteReference"/>
          <w:sz w:val="28"/>
          <w:szCs w:val="28"/>
        </w:rPr>
        <w:footnoteReference w:id="1"/>
      </w:r>
      <w:r w:rsidR="005D3B7A">
        <w:rPr>
          <w:sz w:val="28"/>
          <w:szCs w:val="28"/>
        </w:rPr>
        <w:t xml:space="preserve"> If they pass, they were qualified to take it. If they don’t, they weren’t. Where and how they learned their law is irrelevant.</w:t>
      </w:r>
    </w:p>
    <w:p w14:paraId="5A4B40A7" w14:textId="4AC1E3A3" w:rsidR="00846934" w:rsidRDefault="005D3B7A" w:rsidP="003D3F61">
      <w:pPr>
        <w:spacing w:line="480" w:lineRule="auto"/>
        <w:ind w:firstLine="432"/>
        <w:rPr>
          <w:sz w:val="28"/>
          <w:szCs w:val="28"/>
        </w:rPr>
      </w:pPr>
      <w:r>
        <w:rPr>
          <w:sz w:val="28"/>
          <w:szCs w:val="28"/>
        </w:rPr>
        <w:lastRenderedPageBreak/>
        <w:t xml:space="preserve">Petitioner’s proposal would </w:t>
      </w:r>
      <w:r w:rsidR="000432BA">
        <w:rPr>
          <w:sz w:val="28"/>
          <w:szCs w:val="28"/>
        </w:rPr>
        <w:t>benefit</w:t>
      </w:r>
      <w:r>
        <w:rPr>
          <w:sz w:val="28"/>
          <w:szCs w:val="28"/>
        </w:rPr>
        <w:t xml:space="preserve"> not only Concord Law School and its graduates, but all of us. </w:t>
      </w:r>
      <w:r w:rsidR="000E76A6">
        <w:rPr>
          <w:sz w:val="28"/>
          <w:szCs w:val="28"/>
        </w:rPr>
        <w:t xml:space="preserve">Anything that brings indefatigable people with </w:t>
      </w:r>
      <w:r w:rsidR="00076C72">
        <w:rPr>
          <w:sz w:val="28"/>
          <w:szCs w:val="28"/>
        </w:rPr>
        <w:t xml:space="preserve">proven abilities and </w:t>
      </w:r>
      <w:r w:rsidR="000E76A6">
        <w:rPr>
          <w:sz w:val="28"/>
          <w:szCs w:val="28"/>
        </w:rPr>
        <w:t xml:space="preserve">varied backgrounds to our bar is a win for Arizona. </w:t>
      </w:r>
      <w:r w:rsidR="001E305E">
        <w:rPr>
          <w:sz w:val="28"/>
          <w:szCs w:val="28"/>
        </w:rPr>
        <w:t xml:space="preserve">Under this proposal, we can do so without lowering our standards even a tiny bit. </w:t>
      </w:r>
      <w:r>
        <w:rPr>
          <w:sz w:val="28"/>
          <w:szCs w:val="28"/>
        </w:rPr>
        <w:t xml:space="preserve">I support the proposal as a transitional measure. It would be a logical first step in modernizing our clunky, costly, discriminatory admissions system. </w:t>
      </w:r>
    </w:p>
    <w:p w14:paraId="13FC2ED2" w14:textId="5363E1FA" w:rsidR="00846934" w:rsidRPr="00846934" w:rsidRDefault="00DF6880" w:rsidP="00DF6880">
      <w:pPr>
        <w:spacing w:line="480" w:lineRule="auto"/>
        <w:jc w:val="center"/>
        <w:rPr>
          <w:b/>
          <w:sz w:val="28"/>
          <w:szCs w:val="28"/>
        </w:rPr>
      </w:pPr>
      <w:r>
        <w:rPr>
          <w:b/>
          <w:sz w:val="28"/>
          <w:szCs w:val="28"/>
        </w:rPr>
        <w:t>ABA Approval Neither Guarantees Quality Nor Thwarts Weak Schools.</w:t>
      </w:r>
    </w:p>
    <w:p w14:paraId="3AE8CC08" w14:textId="3926CCC7" w:rsidR="005D3B7A" w:rsidRDefault="005D3B7A" w:rsidP="00BC56F2">
      <w:pPr>
        <w:spacing w:line="480" w:lineRule="auto"/>
        <w:ind w:firstLine="432"/>
        <w:rPr>
          <w:sz w:val="28"/>
          <w:szCs w:val="28"/>
        </w:rPr>
      </w:pPr>
      <w:r>
        <w:rPr>
          <w:sz w:val="28"/>
          <w:szCs w:val="28"/>
        </w:rPr>
        <w:t xml:space="preserve">Among other problems, the current process disadvantages prospective lawyers who wish to—or must—seek a solid legal education without the puffed-up pedigree of </w:t>
      </w:r>
      <w:r w:rsidR="004E4FA8">
        <w:rPr>
          <w:sz w:val="28"/>
          <w:szCs w:val="28"/>
        </w:rPr>
        <w:t xml:space="preserve">the </w:t>
      </w:r>
      <w:r>
        <w:rPr>
          <w:sz w:val="28"/>
          <w:szCs w:val="28"/>
        </w:rPr>
        <w:t>A</w:t>
      </w:r>
      <w:r w:rsidR="00627453">
        <w:rPr>
          <w:sz w:val="28"/>
          <w:szCs w:val="28"/>
        </w:rPr>
        <w:t>merican Bar Association</w:t>
      </w:r>
      <w:r w:rsidR="00920700">
        <w:rPr>
          <w:sz w:val="28"/>
          <w:szCs w:val="28"/>
        </w:rPr>
        <w:t>. Demanding</w:t>
      </w:r>
      <w:r>
        <w:rPr>
          <w:sz w:val="28"/>
          <w:szCs w:val="28"/>
        </w:rPr>
        <w:t xml:space="preserve"> ABA </w:t>
      </w:r>
      <w:r w:rsidR="00627453">
        <w:rPr>
          <w:sz w:val="28"/>
          <w:szCs w:val="28"/>
        </w:rPr>
        <w:t>approval</w:t>
      </w:r>
      <w:r>
        <w:rPr>
          <w:sz w:val="28"/>
          <w:szCs w:val="28"/>
        </w:rPr>
        <w:t xml:space="preserve"> makes little more sense than requiring all applicants to drive Packards or wear their hair in snoods. Nothing wrong with either, if done voluntarily, but hardly</w:t>
      </w:r>
      <w:r w:rsidR="00A06EA1">
        <w:rPr>
          <w:sz w:val="28"/>
          <w:szCs w:val="28"/>
        </w:rPr>
        <w:t xml:space="preserve"> essential when adequate, sensibly</w:t>
      </w:r>
      <w:r>
        <w:rPr>
          <w:sz w:val="28"/>
          <w:szCs w:val="28"/>
        </w:rPr>
        <w:t>-priced twenty-first century alternatives are so readily available.</w:t>
      </w:r>
    </w:p>
    <w:p w14:paraId="5D38FD77" w14:textId="3F3CA34E" w:rsidR="005D3B7A" w:rsidRDefault="005D3B7A" w:rsidP="00BC56F2">
      <w:pPr>
        <w:spacing w:line="480" w:lineRule="auto"/>
        <w:ind w:firstLine="432"/>
        <w:rPr>
          <w:sz w:val="28"/>
          <w:szCs w:val="28"/>
        </w:rPr>
      </w:pPr>
      <w:r>
        <w:rPr>
          <w:sz w:val="28"/>
          <w:szCs w:val="28"/>
        </w:rPr>
        <w:t>Law schools’ educati</w:t>
      </w:r>
      <w:r w:rsidR="00E431C3">
        <w:rPr>
          <w:sz w:val="28"/>
          <w:szCs w:val="28"/>
        </w:rPr>
        <w:t xml:space="preserve">onal value should </w:t>
      </w:r>
      <w:r w:rsidR="00BC3FF0">
        <w:rPr>
          <w:sz w:val="28"/>
          <w:szCs w:val="28"/>
        </w:rPr>
        <w:t xml:space="preserve">not </w:t>
      </w:r>
      <w:r w:rsidR="00E431C3">
        <w:rPr>
          <w:sz w:val="28"/>
          <w:szCs w:val="28"/>
        </w:rPr>
        <w:t>be measured by</w:t>
      </w:r>
      <w:r>
        <w:rPr>
          <w:sz w:val="28"/>
          <w:szCs w:val="28"/>
        </w:rPr>
        <w:t xml:space="preserve"> how </w:t>
      </w:r>
      <w:r w:rsidR="004115BB">
        <w:rPr>
          <w:sz w:val="28"/>
          <w:szCs w:val="28"/>
        </w:rPr>
        <w:t>closely</w:t>
      </w:r>
      <w:r>
        <w:rPr>
          <w:sz w:val="28"/>
          <w:szCs w:val="28"/>
        </w:rPr>
        <w:t xml:space="preserve"> they conform to the musty requirements of an organization cheerfully ignored by about seventy percent of American lawyers.</w:t>
      </w:r>
      <w:r>
        <w:rPr>
          <w:rStyle w:val="FootnoteReference"/>
          <w:sz w:val="28"/>
          <w:szCs w:val="28"/>
        </w:rPr>
        <w:footnoteReference w:id="2"/>
      </w:r>
      <w:r>
        <w:rPr>
          <w:sz w:val="28"/>
          <w:szCs w:val="28"/>
        </w:rPr>
        <w:t xml:space="preserve"> Oh, and there was that unpleasantness with the consent decree</w:t>
      </w:r>
      <w:r w:rsidR="009C5EB1">
        <w:rPr>
          <w:sz w:val="28"/>
          <w:szCs w:val="28"/>
        </w:rPr>
        <w:t>. That was</w:t>
      </w:r>
      <w:r>
        <w:rPr>
          <w:sz w:val="28"/>
          <w:szCs w:val="28"/>
        </w:rPr>
        <w:t xml:space="preserve"> when the United States Department of Justice charged the ABA with misuse of accreditation procedures</w:t>
      </w:r>
      <w:r w:rsidR="009C5EB1">
        <w:rPr>
          <w:sz w:val="28"/>
          <w:szCs w:val="28"/>
        </w:rPr>
        <w:t>, then had to go back to court to force the ABA to perform in accordance with the remedial agreement it had accepted</w:t>
      </w:r>
      <w:r>
        <w:rPr>
          <w:sz w:val="28"/>
          <w:szCs w:val="28"/>
        </w:rPr>
        <w:t>.</w:t>
      </w:r>
      <w:r>
        <w:rPr>
          <w:rStyle w:val="FootnoteReference"/>
          <w:sz w:val="28"/>
          <w:szCs w:val="28"/>
        </w:rPr>
        <w:footnoteReference w:id="3"/>
      </w:r>
      <w:r>
        <w:rPr>
          <w:sz w:val="28"/>
          <w:szCs w:val="28"/>
        </w:rPr>
        <w:t xml:space="preserve"> If we’re looking for </w:t>
      </w:r>
      <w:r w:rsidR="00371DFF">
        <w:rPr>
          <w:sz w:val="28"/>
          <w:szCs w:val="28"/>
        </w:rPr>
        <w:t>a paragon</w:t>
      </w:r>
      <w:r w:rsidR="002B32C7">
        <w:rPr>
          <w:sz w:val="28"/>
          <w:szCs w:val="28"/>
        </w:rPr>
        <w:t xml:space="preserve"> of pedagogic probity</w:t>
      </w:r>
      <w:r>
        <w:rPr>
          <w:sz w:val="28"/>
          <w:szCs w:val="28"/>
        </w:rPr>
        <w:t>, we can do better.</w:t>
      </w:r>
      <w:r w:rsidR="00B050BE">
        <w:rPr>
          <w:sz w:val="28"/>
          <w:szCs w:val="28"/>
        </w:rPr>
        <w:t xml:space="preserve"> Neither the</w:t>
      </w:r>
      <w:r w:rsidR="006800D7">
        <w:rPr>
          <w:sz w:val="28"/>
          <w:szCs w:val="28"/>
        </w:rPr>
        <w:t xml:space="preserve"> ABA nor any other external organization should have a veto power over </w:t>
      </w:r>
      <w:r w:rsidR="00B050BE">
        <w:rPr>
          <w:sz w:val="28"/>
          <w:szCs w:val="28"/>
        </w:rPr>
        <w:t>potential Arizona attorneys.</w:t>
      </w:r>
    </w:p>
    <w:p w14:paraId="7A4DA9FE" w14:textId="7D838007" w:rsidR="005D3B7A" w:rsidRDefault="005D3B7A" w:rsidP="00BC56F2">
      <w:pPr>
        <w:spacing w:line="480" w:lineRule="auto"/>
        <w:ind w:firstLine="432"/>
        <w:rPr>
          <w:sz w:val="28"/>
          <w:szCs w:val="28"/>
        </w:rPr>
      </w:pPr>
      <w:r>
        <w:rPr>
          <w:sz w:val="28"/>
          <w:szCs w:val="28"/>
        </w:rPr>
        <w:t xml:space="preserve">Sure, Concord’s admission standards are likely less demanding than those of most ABA-approved law schools. Sure, its bar exam pass </w:t>
      </w:r>
      <w:r w:rsidR="00167FD1">
        <w:rPr>
          <w:sz w:val="28"/>
          <w:szCs w:val="28"/>
        </w:rPr>
        <w:t xml:space="preserve">rates in California may be </w:t>
      </w:r>
      <w:r>
        <w:rPr>
          <w:sz w:val="28"/>
          <w:szCs w:val="28"/>
        </w:rPr>
        <w:t xml:space="preserve">low. So what? </w:t>
      </w:r>
      <w:r w:rsidR="006F7260">
        <w:rPr>
          <w:sz w:val="28"/>
          <w:szCs w:val="28"/>
        </w:rPr>
        <w:t>The fact that good students attended a school with below-average bar passage rates should</w:t>
      </w:r>
      <w:r w:rsidR="005E3BAE">
        <w:rPr>
          <w:sz w:val="28"/>
          <w:szCs w:val="28"/>
        </w:rPr>
        <w:t xml:space="preserve"> not block</w:t>
      </w:r>
      <w:bookmarkStart w:id="0" w:name="_GoBack"/>
      <w:bookmarkEnd w:id="0"/>
      <w:r w:rsidR="006F7260">
        <w:rPr>
          <w:sz w:val="28"/>
          <w:szCs w:val="28"/>
        </w:rPr>
        <w:t xml:space="preserve"> those students’ opportunity to prove </w:t>
      </w:r>
      <w:r w:rsidR="00083AD4">
        <w:rPr>
          <w:sz w:val="28"/>
          <w:szCs w:val="28"/>
        </w:rPr>
        <w:t xml:space="preserve">the effectiveness of </w:t>
      </w:r>
      <w:r w:rsidR="006F7260">
        <w:rPr>
          <w:sz w:val="28"/>
          <w:szCs w:val="28"/>
        </w:rPr>
        <w:t xml:space="preserve">their </w:t>
      </w:r>
      <w:r w:rsidR="00083AD4">
        <w:rPr>
          <w:sz w:val="28"/>
          <w:szCs w:val="28"/>
        </w:rPr>
        <w:t xml:space="preserve">own </w:t>
      </w:r>
      <w:r w:rsidR="006F7260">
        <w:rPr>
          <w:sz w:val="28"/>
          <w:szCs w:val="28"/>
        </w:rPr>
        <w:t xml:space="preserve">preparation. </w:t>
      </w:r>
      <w:r>
        <w:rPr>
          <w:sz w:val="28"/>
          <w:szCs w:val="28"/>
        </w:rPr>
        <w:t>If Concord graduates don’t have what</w:t>
      </w:r>
      <w:r w:rsidR="001D79FE">
        <w:rPr>
          <w:sz w:val="28"/>
          <w:szCs w:val="28"/>
        </w:rPr>
        <w:t xml:space="preserve"> it takes, they’ll fail </w:t>
      </w:r>
      <w:r>
        <w:rPr>
          <w:sz w:val="28"/>
          <w:szCs w:val="28"/>
        </w:rPr>
        <w:t xml:space="preserve">our bar exam. The profession and the public here will be no worse off because of the Concord students’ efforts. </w:t>
      </w:r>
    </w:p>
    <w:p w14:paraId="0D242BF3" w14:textId="605C4E42" w:rsidR="005D3B7A" w:rsidRDefault="00167FD1" w:rsidP="00BC56F2">
      <w:pPr>
        <w:spacing w:line="480" w:lineRule="auto"/>
        <w:ind w:firstLine="432"/>
        <w:rPr>
          <w:sz w:val="28"/>
          <w:szCs w:val="28"/>
        </w:rPr>
      </w:pPr>
      <w:r>
        <w:rPr>
          <w:sz w:val="28"/>
          <w:szCs w:val="28"/>
        </w:rPr>
        <w:t>Yes</w:t>
      </w:r>
      <w:r w:rsidR="005D3B7A">
        <w:rPr>
          <w:sz w:val="28"/>
          <w:szCs w:val="28"/>
        </w:rPr>
        <w:t xml:space="preserve">, Concord </w:t>
      </w:r>
      <w:r w:rsidR="002E4674">
        <w:rPr>
          <w:sz w:val="28"/>
          <w:szCs w:val="28"/>
        </w:rPr>
        <w:t>(and some ABA-approved schools, too</w:t>
      </w:r>
      <w:r w:rsidR="00495675">
        <w:rPr>
          <w:rStyle w:val="FootnoteReference"/>
          <w:sz w:val="28"/>
          <w:szCs w:val="28"/>
        </w:rPr>
        <w:footnoteReference w:id="4"/>
      </w:r>
      <w:r w:rsidR="002E4674">
        <w:rPr>
          <w:sz w:val="28"/>
          <w:szCs w:val="28"/>
        </w:rPr>
        <w:t xml:space="preserve">) </w:t>
      </w:r>
      <w:r w:rsidR="005D3B7A">
        <w:rPr>
          <w:sz w:val="28"/>
          <w:szCs w:val="28"/>
        </w:rPr>
        <w:t>may be</w:t>
      </w:r>
      <w:r w:rsidR="002E4674">
        <w:rPr>
          <w:sz w:val="28"/>
          <w:szCs w:val="28"/>
        </w:rPr>
        <w:t xml:space="preserve"> offering false hope to prospects</w:t>
      </w:r>
      <w:r w:rsidR="005D3B7A">
        <w:rPr>
          <w:sz w:val="28"/>
          <w:szCs w:val="28"/>
        </w:rPr>
        <w:t xml:space="preserve"> who simply don’t have </w:t>
      </w:r>
      <w:r w:rsidR="006B3579">
        <w:rPr>
          <w:sz w:val="28"/>
          <w:szCs w:val="28"/>
        </w:rPr>
        <w:t>whatever it takes</w:t>
      </w:r>
      <w:r w:rsidR="005D3B7A">
        <w:rPr>
          <w:sz w:val="28"/>
          <w:szCs w:val="28"/>
        </w:rPr>
        <w:t xml:space="preserve"> to pass a bar exam. </w:t>
      </w:r>
      <w:r w:rsidR="002E4674">
        <w:rPr>
          <w:sz w:val="28"/>
          <w:szCs w:val="28"/>
        </w:rPr>
        <w:t>Send those students</w:t>
      </w:r>
      <w:r w:rsidR="004E74E4">
        <w:rPr>
          <w:sz w:val="28"/>
          <w:szCs w:val="28"/>
        </w:rPr>
        <w:t xml:space="preserve"> to Yale</w:t>
      </w:r>
      <w:r w:rsidR="005D3B7A">
        <w:rPr>
          <w:sz w:val="28"/>
          <w:szCs w:val="28"/>
        </w:rPr>
        <w:t xml:space="preserve"> </w:t>
      </w:r>
      <w:r w:rsidR="004941EA">
        <w:rPr>
          <w:sz w:val="28"/>
          <w:szCs w:val="28"/>
        </w:rPr>
        <w:t xml:space="preserve">or Chicago or Berkeley </w:t>
      </w:r>
      <w:r w:rsidR="005D3B7A">
        <w:rPr>
          <w:sz w:val="28"/>
          <w:szCs w:val="28"/>
        </w:rPr>
        <w:t>and they would still fail, this thinking goes. Perha</w:t>
      </w:r>
      <w:r w:rsidR="002E4674">
        <w:rPr>
          <w:sz w:val="28"/>
          <w:szCs w:val="28"/>
        </w:rPr>
        <w:t>ps that’s true for some</w:t>
      </w:r>
      <w:r w:rsidR="005D3B7A">
        <w:rPr>
          <w:sz w:val="28"/>
          <w:szCs w:val="28"/>
        </w:rPr>
        <w:t>, but it’s not as though they would be suckered into Concord’s program. Concord’s bar exam pass rates would no</w:t>
      </w:r>
      <w:r w:rsidR="00A82435">
        <w:rPr>
          <w:sz w:val="28"/>
          <w:szCs w:val="28"/>
        </w:rPr>
        <w:t>t be kept secret. Its record</w:t>
      </w:r>
      <w:r w:rsidR="005D3B7A">
        <w:rPr>
          <w:sz w:val="28"/>
          <w:szCs w:val="28"/>
        </w:rPr>
        <w:t xml:space="preserve"> would be right out there with every other school’s for potential students to examine. They’ll know the odds.</w:t>
      </w:r>
    </w:p>
    <w:p w14:paraId="139AA3E4" w14:textId="03D9BC47" w:rsidR="005D3B7A" w:rsidRDefault="005D3B7A" w:rsidP="00BC56F2">
      <w:pPr>
        <w:spacing w:line="480" w:lineRule="auto"/>
        <w:ind w:firstLine="432"/>
        <w:rPr>
          <w:sz w:val="28"/>
          <w:szCs w:val="28"/>
        </w:rPr>
      </w:pPr>
      <w:r>
        <w:rPr>
          <w:sz w:val="28"/>
          <w:szCs w:val="28"/>
        </w:rPr>
        <w:t xml:space="preserve">And there’s this: one of the great joys in American life is watching underrated people—those given no chance of success—fool us and succeed anyway. </w:t>
      </w:r>
    </w:p>
    <w:p w14:paraId="22D3E49A" w14:textId="616CF353" w:rsidR="00846934" w:rsidRPr="00846934" w:rsidRDefault="00846934" w:rsidP="00846934">
      <w:pPr>
        <w:spacing w:line="480" w:lineRule="auto"/>
        <w:jc w:val="center"/>
        <w:rPr>
          <w:b/>
          <w:sz w:val="28"/>
          <w:szCs w:val="28"/>
        </w:rPr>
      </w:pPr>
      <w:r>
        <w:rPr>
          <w:b/>
          <w:sz w:val="28"/>
          <w:szCs w:val="28"/>
        </w:rPr>
        <w:t>Nontraditional Education Works.</w:t>
      </w:r>
    </w:p>
    <w:p w14:paraId="76CE51A2" w14:textId="6DEE65F6" w:rsidR="005D3B7A" w:rsidRDefault="005D3B7A" w:rsidP="00BC56F2">
      <w:pPr>
        <w:spacing w:line="480" w:lineRule="auto"/>
        <w:ind w:firstLine="432"/>
        <w:rPr>
          <w:sz w:val="28"/>
          <w:szCs w:val="28"/>
        </w:rPr>
      </w:pPr>
      <w:r>
        <w:rPr>
          <w:sz w:val="28"/>
          <w:szCs w:val="28"/>
        </w:rPr>
        <w:t xml:space="preserve">I have no connection with Concord. I don’t know the Petitioner. I am a retired Arizona attorney who came to the law in the usual way: earned an undergraduate degree from an accredited university, graduated from an ABA-approved law school, then passed the Arizona bar examination and met </w:t>
      </w:r>
      <w:r w:rsidR="00743020">
        <w:rPr>
          <w:sz w:val="28"/>
          <w:szCs w:val="28"/>
        </w:rPr>
        <w:t xml:space="preserve">the </w:t>
      </w:r>
      <w:r>
        <w:rPr>
          <w:sz w:val="28"/>
          <w:szCs w:val="28"/>
        </w:rPr>
        <w:t xml:space="preserve">other requirements for admission to practice here. </w:t>
      </w:r>
    </w:p>
    <w:p w14:paraId="31552018" w14:textId="2DFDABFD" w:rsidR="005D3B7A" w:rsidRDefault="005D3B7A" w:rsidP="00031BD7">
      <w:pPr>
        <w:spacing w:line="480" w:lineRule="auto"/>
        <w:ind w:firstLine="432"/>
        <w:rPr>
          <w:sz w:val="28"/>
          <w:szCs w:val="28"/>
        </w:rPr>
      </w:pPr>
      <w:r>
        <w:rPr>
          <w:sz w:val="28"/>
          <w:szCs w:val="28"/>
        </w:rPr>
        <w:t>My path was not entirely traditional, however. Like many young people, I left college early to pursue a career. Work in journalism encouraged me to attend law</w:t>
      </w:r>
      <w:r w:rsidR="002E4674">
        <w:rPr>
          <w:sz w:val="28"/>
          <w:szCs w:val="28"/>
        </w:rPr>
        <w:t xml:space="preserve"> school, but I had no undergraduate</w:t>
      </w:r>
      <w:r>
        <w:rPr>
          <w:sz w:val="28"/>
          <w:szCs w:val="28"/>
        </w:rPr>
        <w:t xml:space="preserve"> degree. I earned one through the University of the State of New York’s trailblazing programs of distance education and credit by examination, nontraditional then, but fully accredited by the appropriate regional authority. That got me into law school. It’s why I respect the resourcefulness of stude</w:t>
      </w:r>
      <w:r w:rsidR="00876B31">
        <w:rPr>
          <w:sz w:val="28"/>
          <w:szCs w:val="28"/>
        </w:rPr>
        <w:t>nts who find appropriate—albeit</w:t>
      </w:r>
      <w:r>
        <w:rPr>
          <w:sz w:val="28"/>
          <w:szCs w:val="28"/>
        </w:rPr>
        <w:t xml:space="preserve"> unconventional—ways to reach their goal of serving the public as attorneys.</w:t>
      </w:r>
      <w:r w:rsidR="00876B31">
        <w:rPr>
          <w:sz w:val="28"/>
          <w:szCs w:val="28"/>
        </w:rPr>
        <w:t xml:space="preserve"> </w:t>
      </w:r>
    </w:p>
    <w:p w14:paraId="38891778" w14:textId="0D1C4C84" w:rsidR="005D3B7A" w:rsidRDefault="005D3B7A" w:rsidP="00BC56F2">
      <w:pPr>
        <w:spacing w:line="480" w:lineRule="auto"/>
        <w:ind w:firstLine="432"/>
        <w:rPr>
          <w:sz w:val="28"/>
          <w:szCs w:val="28"/>
        </w:rPr>
      </w:pPr>
      <w:r>
        <w:rPr>
          <w:sz w:val="28"/>
          <w:szCs w:val="28"/>
        </w:rPr>
        <w:t xml:space="preserve">I also had a big helping of good fortune not available to many prospective law students today. A very fine company had employed me for more than a decade; the company shared its </w:t>
      </w:r>
      <w:r w:rsidR="00583CC2">
        <w:rPr>
          <w:sz w:val="28"/>
          <w:szCs w:val="28"/>
        </w:rPr>
        <w:t xml:space="preserve">financial </w:t>
      </w:r>
      <w:r>
        <w:rPr>
          <w:sz w:val="28"/>
          <w:szCs w:val="28"/>
        </w:rPr>
        <w:t xml:space="preserve">success with employees. As a result, I could afford to become a full-time law student without working while in school… and this was in an era when my public university law school tuition was only $900 per semester. Today’s students cannot depend on such luck or low cost. </w:t>
      </w:r>
    </w:p>
    <w:p w14:paraId="41F846A0" w14:textId="046D8D78" w:rsidR="006F7260" w:rsidRDefault="005D3B7A" w:rsidP="006F7260">
      <w:pPr>
        <w:spacing w:line="480" w:lineRule="auto"/>
        <w:ind w:firstLine="432"/>
        <w:rPr>
          <w:sz w:val="28"/>
          <w:szCs w:val="28"/>
        </w:rPr>
      </w:pPr>
      <w:r>
        <w:rPr>
          <w:sz w:val="28"/>
          <w:szCs w:val="28"/>
        </w:rPr>
        <w:t>For m</w:t>
      </w:r>
      <w:r w:rsidR="004A7715">
        <w:rPr>
          <w:sz w:val="28"/>
          <w:szCs w:val="28"/>
        </w:rPr>
        <w:t>ost of the last quarter-century</w:t>
      </w:r>
      <w:r>
        <w:rPr>
          <w:sz w:val="28"/>
          <w:szCs w:val="28"/>
        </w:rPr>
        <w:t>, I have taught news media law courses at the University of Arizo</w:t>
      </w:r>
      <w:r w:rsidR="00BA4CF9">
        <w:rPr>
          <w:sz w:val="28"/>
          <w:szCs w:val="28"/>
        </w:rPr>
        <w:t>na School of Journalism. Some</w:t>
      </w:r>
      <w:r>
        <w:rPr>
          <w:sz w:val="28"/>
          <w:szCs w:val="28"/>
        </w:rPr>
        <w:t xml:space="preserve"> of my students have gone on to ABA-approved law schools and become attorneys. That’s great. But it’s now 2017, and there is no reason why the old way should be the only game in town.</w:t>
      </w:r>
    </w:p>
    <w:p w14:paraId="40BAEFD1" w14:textId="77777777" w:rsidR="006F7260" w:rsidRDefault="005D3B7A" w:rsidP="00031BD7">
      <w:pPr>
        <w:spacing w:line="480" w:lineRule="auto"/>
        <w:ind w:firstLine="432"/>
        <w:rPr>
          <w:sz w:val="28"/>
          <w:szCs w:val="28"/>
        </w:rPr>
      </w:pPr>
      <w:r>
        <w:rPr>
          <w:sz w:val="28"/>
          <w:szCs w:val="28"/>
        </w:rPr>
        <w:t xml:space="preserve">Online learning is </w:t>
      </w:r>
      <w:r>
        <w:rPr>
          <w:i/>
          <w:sz w:val="28"/>
          <w:szCs w:val="28"/>
        </w:rPr>
        <w:t>terra incognita</w:t>
      </w:r>
      <w:r>
        <w:rPr>
          <w:sz w:val="28"/>
          <w:szCs w:val="28"/>
        </w:rPr>
        <w:t xml:space="preserve"> to most law schools, but serious online programs are firmly established and respected in the higher education world. </w:t>
      </w:r>
    </w:p>
    <w:p w14:paraId="07E0950C" w14:textId="515AE142" w:rsidR="006F7260" w:rsidRDefault="006F7260" w:rsidP="00C77B10">
      <w:pPr>
        <w:rPr>
          <w:sz w:val="28"/>
          <w:szCs w:val="28"/>
        </w:rPr>
      </w:pPr>
      <w:r>
        <w:rPr>
          <w:sz w:val="28"/>
          <w:szCs w:val="28"/>
        </w:rPr>
        <w:t>Today, Arizona’s public universities offer online degrees in many subject areas.</w:t>
      </w:r>
    </w:p>
    <w:p w14:paraId="26807CC4" w14:textId="77777777" w:rsidR="00C77B10" w:rsidRDefault="00C77B10" w:rsidP="00C77B10">
      <w:pPr>
        <w:rPr>
          <w:sz w:val="28"/>
          <w:szCs w:val="28"/>
        </w:rPr>
      </w:pPr>
    </w:p>
    <w:tbl>
      <w:tblPr>
        <w:tblStyle w:val="TableGrid"/>
        <w:tblW w:w="0" w:type="auto"/>
        <w:tblLook w:val="04A0" w:firstRow="1" w:lastRow="0" w:firstColumn="1" w:lastColumn="0" w:noHBand="0" w:noVBand="1"/>
      </w:tblPr>
      <w:tblGrid>
        <w:gridCol w:w="4135"/>
        <w:gridCol w:w="3060"/>
        <w:gridCol w:w="2155"/>
      </w:tblGrid>
      <w:tr w:rsidR="006F7260" w14:paraId="20930955" w14:textId="77777777" w:rsidTr="00A57483">
        <w:tc>
          <w:tcPr>
            <w:tcW w:w="4135" w:type="dxa"/>
          </w:tcPr>
          <w:p w14:paraId="4DC2AA47" w14:textId="77777777" w:rsidR="006F7260" w:rsidRPr="00D17E90" w:rsidRDefault="006F7260" w:rsidP="00A57483">
            <w:pPr>
              <w:jc w:val="center"/>
              <w:rPr>
                <w:smallCaps/>
              </w:rPr>
            </w:pPr>
            <w:r w:rsidRPr="00D17E90">
              <w:rPr>
                <w:smallCaps/>
              </w:rPr>
              <w:t>Institution</w:t>
            </w:r>
          </w:p>
        </w:tc>
        <w:tc>
          <w:tcPr>
            <w:tcW w:w="3060" w:type="dxa"/>
          </w:tcPr>
          <w:p w14:paraId="400B331F" w14:textId="77777777" w:rsidR="006F7260" w:rsidRPr="00D17E90" w:rsidRDefault="006F7260" w:rsidP="00A57483">
            <w:pPr>
              <w:jc w:val="center"/>
              <w:rPr>
                <w:smallCaps/>
              </w:rPr>
            </w:pPr>
            <w:r w:rsidRPr="00D17E90">
              <w:rPr>
                <w:smallCaps/>
              </w:rPr>
              <w:t>Undergraduate Fields</w:t>
            </w:r>
          </w:p>
        </w:tc>
        <w:tc>
          <w:tcPr>
            <w:tcW w:w="2155" w:type="dxa"/>
          </w:tcPr>
          <w:p w14:paraId="08B4F120" w14:textId="77777777" w:rsidR="006F7260" w:rsidRPr="00D17E90" w:rsidRDefault="006F7260" w:rsidP="00A57483">
            <w:pPr>
              <w:jc w:val="center"/>
              <w:rPr>
                <w:smallCaps/>
              </w:rPr>
            </w:pPr>
            <w:r w:rsidRPr="00D17E90">
              <w:rPr>
                <w:smallCaps/>
              </w:rPr>
              <w:t>Graduate Fields</w:t>
            </w:r>
          </w:p>
        </w:tc>
      </w:tr>
      <w:tr w:rsidR="006F7260" w14:paraId="6D408545" w14:textId="77777777" w:rsidTr="00A57483">
        <w:tc>
          <w:tcPr>
            <w:tcW w:w="4135" w:type="dxa"/>
          </w:tcPr>
          <w:p w14:paraId="43D9B7E7" w14:textId="77777777" w:rsidR="006F7260" w:rsidRDefault="006F7260" w:rsidP="00A57483">
            <w:pPr>
              <w:rPr>
                <w:sz w:val="28"/>
                <w:szCs w:val="28"/>
              </w:rPr>
            </w:pPr>
            <w:r>
              <w:rPr>
                <w:sz w:val="28"/>
                <w:szCs w:val="28"/>
              </w:rPr>
              <w:t>University of Arizona</w:t>
            </w:r>
          </w:p>
        </w:tc>
        <w:tc>
          <w:tcPr>
            <w:tcW w:w="3060" w:type="dxa"/>
          </w:tcPr>
          <w:p w14:paraId="1270F156" w14:textId="77777777" w:rsidR="006F7260" w:rsidRDefault="006F7260" w:rsidP="00A57483">
            <w:pPr>
              <w:jc w:val="center"/>
              <w:rPr>
                <w:sz w:val="28"/>
                <w:szCs w:val="28"/>
              </w:rPr>
            </w:pPr>
            <w:r>
              <w:rPr>
                <w:sz w:val="28"/>
                <w:szCs w:val="28"/>
              </w:rPr>
              <w:t>29</w:t>
            </w:r>
          </w:p>
        </w:tc>
        <w:tc>
          <w:tcPr>
            <w:tcW w:w="2155" w:type="dxa"/>
          </w:tcPr>
          <w:p w14:paraId="11E7309C" w14:textId="77777777" w:rsidR="006F7260" w:rsidRDefault="006F7260" w:rsidP="00A57483">
            <w:pPr>
              <w:jc w:val="center"/>
              <w:rPr>
                <w:sz w:val="28"/>
                <w:szCs w:val="28"/>
              </w:rPr>
            </w:pPr>
            <w:r>
              <w:rPr>
                <w:sz w:val="28"/>
                <w:szCs w:val="28"/>
              </w:rPr>
              <w:t>23</w:t>
            </w:r>
          </w:p>
        </w:tc>
      </w:tr>
      <w:tr w:rsidR="006F7260" w14:paraId="409E8426" w14:textId="77777777" w:rsidTr="00A57483">
        <w:tc>
          <w:tcPr>
            <w:tcW w:w="4135" w:type="dxa"/>
          </w:tcPr>
          <w:p w14:paraId="5F459589" w14:textId="77777777" w:rsidR="006F7260" w:rsidRDefault="006F7260" w:rsidP="00A57483">
            <w:pPr>
              <w:rPr>
                <w:sz w:val="28"/>
                <w:szCs w:val="28"/>
              </w:rPr>
            </w:pPr>
            <w:r>
              <w:rPr>
                <w:sz w:val="28"/>
                <w:szCs w:val="28"/>
              </w:rPr>
              <w:t>Arizona State University</w:t>
            </w:r>
          </w:p>
        </w:tc>
        <w:tc>
          <w:tcPr>
            <w:tcW w:w="3060" w:type="dxa"/>
          </w:tcPr>
          <w:p w14:paraId="0B869126" w14:textId="77777777" w:rsidR="006F7260" w:rsidRDefault="006F7260" w:rsidP="00A57483">
            <w:pPr>
              <w:jc w:val="center"/>
              <w:rPr>
                <w:sz w:val="28"/>
                <w:szCs w:val="28"/>
              </w:rPr>
            </w:pPr>
            <w:r>
              <w:rPr>
                <w:sz w:val="28"/>
                <w:szCs w:val="28"/>
              </w:rPr>
              <w:t>63</w:t>
            </w:r>
          </w:p>
        </w:tc>
        <w:tc>
          <w:tcPr>
            <w:tcW w:w="2155" w:type="dxa"/>
          </w:tcPr>
          <w:p w14:paraId="447B1341" w14:textId="77777777" w:rsidR="006F7260" w:rsidRDefault="006F7260" w:rsidP="00A57483">
            <w:pPr>
              <w:jc w:val="center"/>
              <w:rPr>
                <w:sz w:val="28"/>
                <w:szCs w:val="28"/>
              </w:rPr>
            </w:pPr>
            <w:r>
              <w:rPr>
                <w:sz w:val="28"/>
                <w:szCs w:val="28"/>
              </w:rPr>
              <w:t>57</w:t>
            </w:r>
          </w:p>
        </w:tc>
      </w:tr>
      <w:tr w:rsidR="006F7260" w14:paraId="06DA2773" w14:textId="77777777" w:rsidTr="00A57483">
        <w:tc>
          <w:tcPr>
            <w:tcW w:w="4135" w:type="dxa"/>
          </w:tcPr>
          <w:p w14:paraId="1C406FFC" w14:textId="77777777" w:rsidR="006F7260" w:rsidRDefault="006F7260" w:rsidP="00A57483">
            <w:pPr>
              <w:rPr>
                <w:sz w:val="28"/>
                <w:szCs w:val="28"/>
              </w:rPr>
            </w:pPr>
            <w:r>
              <w:rPr>
                <w:sz w:val="28"/>
                <w:szCs w:val="28"/>
              </w:rPr>
              <w:t>Northern Arizona University</w:t>
            </w:r>
          </w:p>
        </w:tc>
        <w:tc>
          <w:tcPr>
            <w:tcW w:w="3060" w:type="dxa"/>
          </w:tcPr>
          <w:p w14:paraId="6F14E9A4" w14:textId="77777777" w:rsidR="006F7260" w:rsidRDefault="006F7260" w:rsidP="00A57483">
            <w:pPr>
              <w:jc w:val="center"/>
              <w:rPr>
                <w:sz w:val="28"/>
                <w:szCs w:val="28"/>
              </w:rPr>
            </w:pPr>
            <w:r>
              <w:rPr>
                <w:sz w:val="28"/>
                <w:szCs w:val="28"/>
              </w:rPr>
              <w:t>47</w:t>
            </w:r>
          </w:p>
        </w:tc>
        <w:tc>
          <w:tcPr>
            <w:tcW w:w="2155" w:type="dxa"/>
          </w:tcPr>
          <w:p w14:paraId="10542347" w14:textId="77777777" w:rsidR="006F7260" w:rsidRDefault="006F7260" w:rsidP="00A57483">
            <w:pPr>
              <w:jc w:val="center"/>
              <w:rPr>
                <w:sz w:val="28"/>
                <w:szCs w:val="28"/>
              </w:rPr>
            </w:pPr>
            <w:r>
              <w:rPr>
                <w:sz w:val="28"/>
                <w:szCs w:val="28"/>
              </w:rPr>
              <w:t>23</w:t>
            </w:r>
          </w:p>
        </w:tc>
      </w:tr>
    </w:tbl>
    <w:p w14:paraId="7A281348" w14:textId="77777777" w:rsidR="006F7260" w:rsidRDefault="006F7260" w:rsidP="006F7260">
      <w:pPr>
        <w:rPr>
          <w:sz w:val="28"/>
          <w:szCs w:val="28"/>
        </w:rPr>
      </w:pPr>
    </w:p>
    <w:p w14:paraId="46F85684" w14:textId="187EB330" w:rsidR="005D3B7A" w:rsidRDefault="006F7260" w:rsidP="006F7260">
      <w:pPr>
        <w:spacing w:line="480" w:lineRule="auto"/>
        <w:ind w:firstLine="432"/>
        <w:rPr>
          <w:sz w:val="28"/>
          <w:szCs w:val="28"/>
        </w:rPr>
      </w:pPr>
      <w:r>
        <w:rPr>
          <w:sz w:val="28"/>
          <w:szCs w:val="28"/>
        </w:rPr>
        <w:t>The names and numbers make it clear: online education is here to stay in a big way. When honestly run and properly managed, it’s no fly-</w:t>
      </w:r>
      <w:r w:rsidR="00F4488F">
        <w:rPr>
          <w:sz w:val="28"/>
          <w:szCs w:val="28"/>
        </w:rPr>
        <w:t>by-night scheme or diploma mill</w:t>
      </w:r>
      <w:r>
        <w:rPr>
          <w:sz w:val="28"/>
          <w:szCs w:val="28"/>
        </w:rPr>
        <w:t>.</w:t>
      </w:r>
      <w:r w:rsidR="005D3B7A">
        <w:rPr>
          <w:rStyle w:val="FootnoteReference"/>
          <w:sz w:val="28"/>
          <w:szCs w:val="28"/>
        </w:rPr>
        <w:footnoteReference w:id="5"/>
      </w:r>
      <w:r w:rsidR="005D3B7A">
        <w:rPr>
          <w:sz w:val="28"/>
          <w:szCs w:val="28"/>
        </w:rPr>
        <w:t xml:space="preserve"> </w:t>
      </w:r>
      <w:r w:rsidR="00F4488F">
        <w:rPr>
          <w:sz w:val="28"/>
          <w:szCs w:val="28"/>
        </w:rPr>
        <w:t>Our three excellent public universities find it sufficiently rigorous to confer their degrees—and thus stake their reputations—upon students who earn their credits online.</w:t>
      </w:r>
    </w:p>
    <w:p w14:paraId="52CD5F18" w14:textId="0309B28B" w:rsidR="00F80816" w:rsidRPr="00F80816" w:rsidRDefault="00F80816" w:rsidP="00F80816">
      <w:pPr>
        <w:spacing w:line="480" w:lineRule="auto"/>
        <w:jc w:val="center"/>
        <w:rPr>
          <w:b/>
          <w:sz w:val="28"/>
          <w:szCs w:val="28"/>
        </w:rPr>
      </w:pPr>
      <w:r>
        <w:rPr>
          <w:b/>
          <w:sz w:val="28"/>
          <w:szCs w:val="28"/>
        </w:rPr>
        <w:t>Merit-Based Inclusiveness</w:t>
      </w:r>
      <w:r w:rsidR="001A5595">
        <w:rPr>
          <w:b/>
          <w:sz w:val="28"/>
          <w:szCs w:val="28"/>
        </w:rPr>
        <w:t xml:space="preserve"> Is Necessary and Achievable</w:t>
      </w:r>
      <w:r>
        <w:rPr>
          <w:b/>
          <w:sz w:val="28"/>
          <w:szCs w:val="28"/>
        </w:rPr>
        <w:t>.</w:t>
      </w:r>
    </w:p>
    <w:p w14:paraId="6DD22B2C" w14:textId="20C58017" w:rsidR="005D3B7A" w:rsidRDefault="005D3B7A" w:rsidP="00BC56F2">
      <w:pPr>
        <w:spacing w:line="480" w:lineRule="auto"/>
        <w:ind w:firstLine="432"/>
        <w:rPr>
          <w:sz w:val="28"/>
          <w:szCs w:val="28"/>
        </w:rPr>
      </w:pPr>
      <w:r>
        <w:rPr>
          <w:sz w:val="28"/>
          <w:szCs w:val="28"/>
        </w:rPr>
        <w:t>We lawyers are neither a priesthood nor a cartel. We are a learned profession that should welcome all who de</w:t>
      </w:r>
      <w:r w:rsidR="00BC26F7">
        <w:rPr>
          <w:sz w:val="28"/>
          <w:szCs w:val="28"/>
        </w:rPr>
        <w:t>monstrate their fitness. We should</w:t>
      </w:r>
      <w:r>
        <w:rPr>
          <w:sz w:val="28"/>
          <w:szCs w:val="28"/>
        </w:rPr>
        <w:t xml:space="preserve"> not impose an anachronisti</w:t>
      </w:r>
      <w:r w:rsidR="00BC26F7">
        <w:rPr>
          <w:sz w:val="28"/>
          <w:szCs w:val="28"/>
        </w:rPr>
        <w:t>c arbitrary ban or limitation of</w:t>
      </w:r>
      <w:r>
        <w:rPr>
          <w:sz w:val="28"/>
          <w:szCs w:val="28"/>
        </w:rPr>
        <w:t xml:space="preserve"> online study when any worthy </w:t>
      </w:r>
      <w:r w:rsidR="002E4674">
        <w:rPr>
          <w:sz w:val="28"/>
          <w:szCs w:val="28"/>
        </w:rPr>
        <w:t xml:space="preserve">bar </w:t>
      </w:r>
      <w:r>
        <w:rPr>
          <w:sz w:val="28"/>
          <w:szCs w:val="28"/>
        </w:rPr>
        <w:t xml:space="preserve">applicants can readily </w:t>
      </w:r>
      <w:r w:rsidRPr="00FD516E">
        <w:rPr>
          <w:i/>
          <w:sz w:val="28"/>
          <w:szCs w:val="28"/>
        </w:rPr>
        <w:t>prove</w:t>
      </w:r>
      <w:r w:rsidR="00F4488F">
        <w:rPr>
          <w:sz w:val="28"/>
          <w:szCs w:val="28"/>
        </w:rPr>
        <w:t xml:space="preserve"> their preparation. A Concord candidate must pass</w:t>
      </w:r>
      <w:r>
        <w:rPr>
          <w:sz w:val="28"/>
          <w:szCs w:val="28"/>
        </w:rPr>
        <w:t xml:space="preserve"> the same bar exam and the same professional r</w:t>
      </w:r>
      <w:r w:rsidR="00F4488F">
        <w:rPr>
          <w:sz w:val="28"/>
          <w:szCs w:val="28"/>
        </w:rPr>
        <w:t>esponsibility test and satisfy</w:t>
      </w:r>
      <w:r>
        <w:rPr>
          <w:sz w:val="28"/>
          <w:szCs w:val="28"/>
        </w:rPr>
        <w:t xml:space="preserve"> the same character and fitnes</w:t>
      </w:r>
      <w:r w:rsidR="008B141D">
        <w:rPr>
          <w:sz w:val="28"/>
          <w:szCs w:val="28"/>
        </w:rPr>
        <w:t>s checks applicable to everyone. W</w:t>
      </w:r>
      <w:r>
        <w:rPr>
          <w:sz w:val="28"/>
          <w:szCs w:val="28"/>
        </w:rPr>
        <w:t xml:space="preserve">hy in the modern world would we insist on ivy-covered bricks and mortar on his or her résumé? </w:t>
      </w:r>
    </w:p>
    <w:p w14:paraId="094BC323" w14:textId="2D82C5C5" w:rsidR="005D3B7A" w:rsidRDefault="005D3B7A" w:rsidP="00BC56F2">
      <w:pPr>
        <w:spacing w:line="480" w:lineRule="auto"/>
        <w:ind w:firstLine="432"/>
        <w:rPr>
          <w:sz w:val="28"/>
          <w:szCs w:val="28"/>
        </w:rPr>
      </w:pPr>
      <w:r>
        <w:rPr>
          <w:sz w:val="28"/>
          <w:szCs w:val="28"/>
        </w:rPr>
        <w:t>Some beneficiaries of our current clubby res</w:t>
      </w:r>
      <w:r w:rsidR="002E4674">
        <w:rPr>
          <w:sz w:val="28"/>
          <w:szCs w:val="28"/>
        </w:rPr>
        <w:t>triction may harrumph, “No, no. T</w:t>
      </w:r>
      <w:r>
        <w:rPr>
          <w:sz w:val="28"/>
          <w:szCs w:val="28"/>
        </w:rPr>
        <w:t>hese online barbarians will storm our gates</w:t>
      </w:r>
      <w:r w:rsidR="000D5F9A">
        <w:rPr>
          <w:sz w:val="28"/>
          <w:szCs w:val="28"/>
        </w:rPr>
        <w:t>, undercutting our tuition by</w:t>
      </w:r>
      <w:r>
        <w:rPr>
          <w:sz w:val="28"/>
          <w:szCs w:val="28"/>
        </w:rPr>
        <w:t xml:space="preserve"> off</w:t>
      </w:r>
      <w:r w:rsidR="005B5997">
        <w:rPr>
          <w:sz w:val="28"/>
          <w:szCs w:val="28"/>
        </w:rPr>
        <w:t>ering a less ennobling, cheapie</w:t>
      </w:r>
      <w:r w:rsidR="00C77B10">
        <w:rPr>
          <w:sz w:val="28"/>
          <w:szCs w:val="28"/>
        </w:rPr>
        <w:t xml:space="preserve"> legal education.” S</w:t>
      </w:r>
      <w:r>
        <w:rPr>
          <w:sz w:val="28"/>
          <w:szCs w:val="28"/>
        </w:rPr>
        <w:t>uch a</w:t>
      </w:r>
      <w:r w:rsidR="00C77B10">
        <w:rPr>
          <w:sz w:val="28"/>
          <w:szCs w:val="28"/>
        </w:rPr>
        <w:t xml:space="preserve"> view would be </w:t>
      </w:r>
      <w:r>
        <w:rPr>
          <w:sz w:val="28"/>
          <w:szCs w:val="28"/>
        </w:rPr>
        <w:t xml:space="preserve">alarmist. The education of a determined student, </w:t>
      </w:r>
      <w:r w:rsidR="00E73CF4">
        <w:rPr>
          <w:sz w:val="28"/>
          <w:szCs w:val="28"/>
        </w:rPr>
        <w:t xml:space="preserve">one </w:t>
      </w:r>
      <w:r w:rsidR="002E4674">
        <w:rPr>
          <w:sz w:val="28"/>
          <w:szCs w:val="28"/>
        </w:rPr>
        <w:t>finding new ways to conquer</w:t>
      </w:r>
      <w:r>
        <w:rPr>
          <w:sz w:val="28"/>
          <w:szCs w:val="28"/>
        </w:rPr>
        <w:t xml:space="preserve"> long odds, </w:t>
      </w:r>
      <w:r w:rsidRPr="005A62D8">
        <w:rPr>
          <w:i/>
          <w:sz w:val="28"/>
          <w:szCs w:val="28"/>
        </w:rPr>
        <w:t>is</w:t>
      </w:r>
      <w:r>
        <w:rPr>
          <w:sz w:val="28"/>
          <w:szCs w:val="28"/>
        </w:rPr>
        <w:t xml:space="preserve"> ennobling. </w:t>
      </w:r>
    </w:p>
    <w:p w14:paraId="39349735" w14:textId="196B6620" w:rsidR="005D3B7A" w:rsidRDefault="00C77B10" w:rsidP="00912E8A">
      <w:pPr>
        <w:spacing w:line="480" w:lineRule="auto"/>
        <w:ind w:firstLine="432"/>
        <w:rPr>
          <w:sz w:val="28"/>
          <w:szCs w:val="28"/>
        </w:rPr>
      </w:pPr>
      <w:r>
        <w:rPr>
          <w:sz w:val="28"/>
          <w:szCs w:val="28"/>
        </w:rPr>
        <w:t>W</w:t>
      </w:r>
      <w:r w:rsidR="005D3B7A">
        <w:rPr>
          <w:sz w:val="28"/>
          <w:szCs w:val="28"/>
        </w:rPr>
        <w:t>e all have much to gain</w:t>
      </w:r>
      <w:r>
        <w:rPr>
          <w:sz w:val="28"/>
          <w:szCs w:val="28"/>
        </w:rPr>
        <w:t xml:space="preserve"> from such students’ efforts</w:t>
      </w:r>
      <w:r w:rsidR="005D3B7A">
        <w:rPr>
          <w:sz w:val="28"/>
          <w:szCs w:val="28"/>
        </w:rPr>
        <w:t>. As Petitioner and commenters here have explained, many applicants to Concord simply could not attend a traditional law school. Some may have been rejected by ABA-approved schools, but generally their obstacles appear to be time, money, family responsibilities, military transfers and other unique circumstances. If Concord</w:t>
      </w:r>
      <w:r w:rsidR="00096355">
        <w:rPr>
          <w:sz w:val="28"/>
          <w:szCs w:val="28"/>
        </w:rPr>
        <w:t>’s approach prepares them well</w:t>
      </w:r>
      <w:r w:rsidR="00D8420E">
        <w:rPr>
          <w:sz w:val="28"/>
          <w:szCs w:val="28"/>
        </w:rPr>
        <w:t xml:space="preserve"> enough</w:t>
      </w:r>
      <w:r w:rsidR="005D3B7A">
        <w:rPr>
          <w:sz w:val="28"/>
          <w:szCs w:val="28"/>
        </w:rPr>
        <w:t xml:space="preserve"> to pass the Arizona</w:t>
      </w:r>
      <w:r w:rsidR="002E4674">
        <w:rPr>
          <w:sz w:val="28"/>
          <w:szCs w:val="28"/>
        </w:rPr>
        <w:t xml:space="preserve"> bar exam, that should end our i</w:t>
      </w:r>
      <w:r w:rsidR="005D3B7A">
        <w:rPr>
          <w:sz w:val="28"/>
          <w:szCs w:val="28"/>
        </w:rPr>
        <w:t xml:space="preserve">nquiry. </w:t>
      </w:r>
    </w:p>
    <w:p w14:paraId="7137709F" w14:textId="130D7F12" w:rsidR="005D3B7A" w:rsidRDefault="005D3B7A" w:rsidP="00912E8A">
      <w:pPr>
        <w:spacing w:line="480" w:lineRule="auto"/>
        <w:ind w:firstLine="432"/>
        <w:rPr>
          <w:sz w:val="28"/>
          <w:szCs w:val="28"/>
        </w:rPr>
      </w:pPr>
      <w:r>
        <w:rPr>
          <w:sz w:val="28"/>
          <w:szCs w:val="28"/>
        </w:rPr>
        <w:t xml:space="preserve">This may be hard for regulators to believe, but reduced regulation can be a step forward. Here, it allows us to expand opportunity for proven qualified students who show an abundance of grit and dedication. We should be </w:t>
      </w:r>
      <w:r w:rsidRPr="00F80816">
        <w:rPr>
          <w:i/>
          <w:sz w:val="28"/>
          <w:szCs w:val="28"/>
        </w:rPr>
        <w:t>recruiting</w:t>
      </w:r>
      <w:r>
        <w:rPr>
          <w:sz w:val="28"/>
          <w:szCs w:val="28"/>
        </w:rPr>
        <w:t xml:space="preserve"> such people, not rejecting them out of hand.</w:t>
      </w:r>
    </w:p>
    <w:p w14:paraId="49ED1C00" w14:textId="48398861" w:rsidR="00846934" w:rsidRPr="00846934" w:rsidRDefault="00846934" w:rsidP="00846934">
      <w:pPr>
        <w:spacing w:line="480" w:lineRule="auto"/>
        <w:jc w:val="center"/>
        <w:rPr>
          <w:b/>
          <w:sz w:val="28"/>
          <w:szCs w:val="28"/>
        </w:rPr>
      </w:pPr>
      <w:r>
        <w:rPr>
          <w:b/>
          <w:sz w:val="28"/>
          <w:szCs w:val="28"/>
        </w:rPr>
        <w:t xml:space="preserve">Our </w:t>
      </w:r>
      <w:r w:rsidR="00096355">
        <w:rPr>
          <w:b/>
          <w:sz w:val="28"/>
          <w:szCs w:val="28"/>
        </w:rPr>
        <w:t xml:space="preserve">Entire </w:t>
      </w:r>
      <w:r>
        <w:rPr>
          <w:b/>
          <w:sz w:val="28"/>
          <w:szCs w:val="28"/>
        </w:rPr>
        <w:t>Admissions Process Needs Fresh Thinking.</w:t>
      </w:r>
    </w:p>
    <w:p w14:paraId="04813634" w14:textId="1F96F6CC" w:rsidR="005D3B7A" w:rsidRDefault="005D3B7A" w:rsidP="00912E8A">
      <w:pPr>
        <w:spacing w:line="480" w:lineRule="auto"/>
        <w:ind w:firstLine="432"/>
        <w:rPr>
          <w:sz w:val="28"/>
          <w:szCs w:val="28"/>
        </w:rPr>
      </w:pPr>
      <w:r>
        <w:rPr>
          <w:sz w:val="28"/>
          <w:szCs w:val="28"/>
        </w:rPr>
        <w:t>Early in this comment, I supported a transition to more practical rules. Why, I wonder, m</w:t>
      </w:r>
      <w:r w:rsidR="006E33FD">
        <w:rPr>
          <w:sz w:val="28"/>
          <w:szCs w:val="28"/>
        </w:rPr>
        <w:t>ust we require law school as the sole mode of law education</w:t>
      </w:r>
      <w:r>
        <w:rPr>
          <w:sz w:val="28"/>
          <w:szCs w:val="28"/>
        </w:rPr>
        <w:t xml:space="preserve">? Suppose that a recent college graduate asked one of Arizona’s excellent experienced lawyers—perhaps even one of the former Justices of this Court, still practicing law—for a rigorous multi-year apprenticeship in lieu of law school? Wouldn’t such a fortunate student emerge with brilliant preparation for the bar exam and a deeply-imbued sense of a lawyer’s ethical responsibilities? Of course. </w:t>
      </w:r>
      <w:r w:rsidR="003463E8">
        <w:rPr>
          <w:sz w:val="28"/>
          <w:szCs w:val="28"/>
        </w:rPr>
        <w:t xml:space="preserve">Suppose that a student took an Abe Lincoln approach, self-directed, hungrily reading law long into the night? </w:t>
      </w:r>
      <w:r w:rsidR="00390894">
        <w:rPr>
          <w:sz w:val="28"/>
          <w:szCs w:val="28"/>
        </w:rPr>
        <w:t xml:space="preserve">Abe </w:t>
      </w:r>
      <w:r w:rsidR="00DE1501">
        <w:rPr>
          <w:sz w:val="28"/>
          <w:szCs w:val="28"/>
        </w:rPr>
        <w:t>did well</w:t>
      </w:r>
      <w:r w:rsidR="00390894">
        <w:rPr>
          <w:sz w:val="28"/>
          <w:szCs w:val="28"/>
        </w:rPr>
        <w:t xml:space="preserve">. </w:t>
      </w:r>
      <w:r>
        <w:rPr>
          <w:sz w:val="28"/>
          <w:szCs w:val="28"/>
        </w:rPr>
        <w:t xml:space="preserve">What matters is the knowledge itself, </w:t>
      </w:r>
      <w:r w:rsidR="002E4674">
        <w:rPr>
          <w:sz w:val="28"/>
          <w:szCs w:val="28"/>
        </w:rPr>
        <w:t>not having obtained it only through</w:t>
      </w:r>
      <w:r w:rsidR="003463E8">
        <w:rPr>
          <w:sz w:val="28"/>
          <w:szCs w:val="28"/>
        </w:rPr>
        <w:t xml:space="preserve"> some narrowly-defined educratic</w:t>
      </w:r>
      <w:r>
        <w:rPr>
          <w:sz w:val="28"/>
          <w:szCs w:val="28"/>
        </w:rPr>
        <w:t xml:space="preserve"> process.</w:t>
      </w:r>
    </w:p>
    <w:p w14:paraId="4A8A0082" w14:textId="6613611E" w:rsidR="005D3B7A" w:rsidRDefault="005D3B7A" w:rsidP="00404465">
      <w:pPr>
        <w:spacing w:line="480" w:lineRule="auto"/>
        <w:ind w:firstLine="432"/>
        <w:rPr>
          <w:sz w:val="28"/>
          <w:szCs w:val="28"/>
        </w:rPr>
      </w:pPr>
      <w:r>
        <w:rPr>
          <w:sz w:val="28"/>
          <w:szCs w:val="28"/>
        </w:rPr>
        <w:t>In any event, we have no responsibility to provide full employment in perpetuity for traditional law schools. If they cannot thrive in competition with an innovative approach, their problems may lie elsewhere. I’m betting on them to do just fine.</w:t>
      </w:r>
    </w:p>
    <w:p w14:paraId="06B61F82" w14:textId="3B3C7CD1" w:rsidR="00647C00" w:rsidRDefault="00306C60" w:rsidP="006541F0">
      <w:pPr>
        <w:spacing w:line="480" w:lineRule="auto"/>
        <w:ind w:firstLine="432"/>
        <w:rPr>
          <w:sz w:val="28"/>
          <w:szCs w:val="28"/>
        </w:rPr>
      </w:pPr>
      <w:r>
        <w:rPr>
          <w:sz w:val="28"/>
          <w:szCs w:val="28"/>
        </w:rPr>
        <w:t>I</w:t>
      </w:r>
      <w:r w:rsidR="005D3B7A">
        <w:rPr>
          <w:sz w:val="28"/>
          <w:szCs w:val="28"/>
        </w:rPr>
        <w:t xml:space="preserve">f we want to give our own ABA-approved in-state law schools a special place in the education process, why not implement </w:t>
      </w:r>
      <w:r w:rsidR="00096355">
        <w:rPr>
          <w:sz w:val="28"/>
          <w:szCs w:val="28"/>
        </w:rPr>
        <w:t xml:space="preserve">a </w:t>
      </w:r>
      <w:r w:rsidR="005D3B7A">
        <w:rPr>
          <w:sz w:val="28"/>
          <w:szCs w:val="28"/>
        </w:rPr>
        <w:t xml:space="preserve">diploma privilege </w:t>
      </w:r>
      <w:r w:rsidR="00096355">
        <w:rPr>
          <w:sz w:val="28"/>
          <w:szCs w:val="28"/>
        </w:rPr>
        <w:t xml:space="preserve">option </w:t>
      </w:r>
      <w:r w:rsidR="005D3B7A">
        <w:rPr>
          <w:sz w:val="28"/>
          <w:szCs w:val="28"/>
        </w:rPr>
        <w:t>for their graduates, perhaps with a minimum grade point average a</w:t>
      </w:r>
      <w:r w:rsidR="00F80816">
        <w:rPr>
          <w:sz w:val="28"/>
          <w:szCs w:val="28"/>
        </w:rPr>
        <w:t xml:space="preserve">nd/or core course requirement? </w:t>
      </w:r>
      <w:r w:rsidR="005D3B7A">
        <w:rPr>
          <w:sz w:val="28"/>
          <w:szCs w:val="28"/>
        </w:rPr>
        <w:t xml:space="preserve">Wisconsin </w:t>
      </w:r>
      <w:r w:rsidR="00F80816">
        <w:rPr>
          <w:sz w:val="28"/>
          <w:szCs w:val="28"/>
        </w:rPr>
        <w:t xml:space="preserve">has done it successfully </w:t>
      </w:r>
      <w:r w:rsidR="005D3B7A">
        <w:rPr>
          <w:sz w:val="28"/>
          <w:szCs w:val="28"/>
        </w:rPr>
        <w:t>for almost 150 years.</w:t>
      </w:r>
      <w:r w:rsidR="005D3B7A">
        <w:rPr>
          <w:rStyle w:val="FootnoteReference"/>
          <w:sz w:val="28"/>
          <w:szCs w:val="28"/>
        </w:rPr>
        <w:footnoteReference w:id="6"/>
      </w:r>
      <w:r w:rsidR="002B7267">
        <w:rPr>
          <w:sz w:val="28"/>
          <w:szCs w:val="28"/>
        </w:rPr>
        <w:t xml:space="preserve"> New Hampshire has</w:t>
      </w:r>
      <w:r w:rsidR="005D3B7A">
        <w:rPr>
          <w:sz w:val="28"/>
          <w:szCs w:val="28"/>
        </w:rPr>
        <w:t xml:space="preserve"> adopted a study and apprentic</w:t>
      </w:r>
      <w:r w:rsidR="006651A3">
        <w:rPr>
          <w:sz w:val="28"/>
          <w:szCs w:val="28"/>
        </w:rPr>
        <w:t>eship curriculum</w:t>
      </w:r>
      <w:r w:rsidR="00F80816">
        <w:rPr>
          <w:sz w:val="28"/>
          <w:szCs w:val="28"/>
        </w:rPr>
        <w:t xml:space="preserve"> that allows </w:t>
      </w:r>
      <w:r w:rsidR="005D3B7A">
        <w:rPr>
          <w:sz w:val="28"/>
          <w:szCs w:val="28"/>
        </w:rPr>
        <w:t xml:space="preserve">selected students </w:t>
      </w:r>
      <w:r w:rsidR="00475F8A">
        <w:rPr>
          <w:sz w:val="28"/>
          <w:szCs w:val="28"/>
        </w:rPr>
        <w:t xml:space="preserve">at the University of New Hampshire School of Law </w:t>
      </w:r>
      <w:r w:rsidR="005D3B7A">
        <w:rPr>
          <w:sz w:val="28"/>
          <w:szCs w:val="28"/>
        </w:rPr>
        <w:t>to forego the bar exam.</w:t>
      </w:r>
      <w:r w:rsidR="005D3B7A">
        <w:rPr>
          <w:rStyle w:val="FootnoteReference"/>
          <w:sz w:val="28"/>
          <w:szCs w:val="28"/>
        </w:rPr>
        <w:footnoteReference w:id="7"/>
      </w:r>
      <w:r w:rsidR="005D3B7A">
        <w:rPr>
          <w:sz w:val="28"/>
          <w:szCs w:val="28"/>
        </w:rPr>
        <w:t xml:space="preserve"> </w:t>
      </w:r>
      <w:r w:rsidR="006651A3">
        <w:rPr>
          <w:sz w:val="28"/>
          <w:szCs w:val="28"/>
        </w:rPr>
        <w:t>An exemption from the Arizona bar exam</w:t>
      </w:r>
      <w:r w:rsidR="0062602F">
        <w:rPr>
          <w:sz w:val="28"/>
          <w:szCs w:val="28"/>
        </w:rPr>
        <w:t xml:space="preserve"> would save our state’s</w:t>
      </w:r>
      <w:r w:rsidR="007A7F6A">
        <w:rPr>
          <w:sz w:val="28"/>
          <w:szCs w:val="28"/>
        </w:rPr>
        <w:t xml:space="preserve"> law graduates weeks of </w:t>
      </w:r>
      <w:r w:rsidR="00921E68">
        <w:rPr>
          <w:sz w:val="28"/>
          <w:szCs w:val="28"/>
        </w:rPr>
        <w:t xml:space="preserve">pointless </w:t>
      </w:r>
      <w:r w:rsidR="007A7F6A">
        <w:rPr>
          <w:sz w:val="28"/>
          <w:szCs w:val="28"/>
        </w:rPr>
        <w:t xml:space="preserve">cramming </w:t>
      </w:r>
      <w:r w:rsidR="00647C00">
        <w:rPr>
          <w:sz w:val="28"/>
          <w:szCs w:val="28"/>
        </w:rPr>
        <w:t>and waiting time</w:t>
      </w:r>
      <w:r w:rsidR="00ED181A">
        <w:rPr>
          <w:sz w:val="28"/>
          <w:szCs w:val="28"/>
        </w:rPr>
        <w:t>, not to mention</w:t>
      </w:r>
      <w:r w:rsidR="007A7F6A">
        <w:rPr>
          <w:sz w:val="28"/>
          <w:szCs w:val="28"/>
        </w:rPr>
        <w:t xml:space="preserve"> t</w:t>
      </w:r>
      <w:r w:rsidR="00014783">
        <w:rPr>
          <w:sz w:val="28"/>
          <w:szCs w:val="28"/>
        </w:rPr>
        <w:t>housands of dollars now wasted on</w:t>
      </w:r>
      <w:r w:rsidR="00760602">
        <w:rPr>
          <w:sz w:val="28"/>
          <w:szCs w:val="28"/>
        </w:rPr>
        <w:t xml:space="preserve"> </w:t>
      </w:r>
      <w:r w:rsidR="00647C00">
        <w:rPr>
          <w:sz w:val="28"/>
          <w:szCs w:val="28"/>
        </w:rPr>
        <w:t xml:space="preserve">fees, </w:t>
      </w:r>
      <w:r w:rsidR="00760602">
        <w:rPr>
          <w:sz w:val="28"/>
          <w:szCs w:val="28"/>
        </w:rPr>
        <w:t>prep courses</w:t>
      </w:r>
      <w:r w:rsidR="00647C00">
        <w:rPr>
          <w:sz w:val="28"/>
          <w:szCs w:val="28"/>
        </w:rPr>
        <w:t xml:space="preserve"> and antacids</w:t>
      </w:r>
      <w:r w:rsidR="00ED181A">
        <w:rPr>
          <w:sz w:val="28"/>
          <w:szCs w:val="28"/>
        </w:rPr>
        <w:t>.</w:t>
      </w:r>
      <w:r w:rsidR="007A7F6A">
        <w:rPr>
          <w:sz w:val="28"/>
          <w:szCs w:val="28"/>
        </w:rPr>
        <w:t xml:space="preserve"> </w:t>
      </w:r>
    </w:p>
    <w:p w14:paraId="587D64A1" w14:textId="6332B0BE" w:rsidR="003D465E" w:rsidRDefault="003D465E" w:rsidP="00BC56F2">
      <w:pPr>
        <w:spacing w:line="480" w:lineRule="auto"/>
        <w:ind w:firstLine="432"/>
        <w:rPr>
          <w:sz w:val="28"/>
          <w:szCs w:val="28"/>
        </w:rPr>
      </w:pPr>
      <w:r>
        <w:rPr>
          <w:sz w:val="28"/>
          <w:szCs w:val="28"/>
        </w:rPr>
        <w:t xml:space="preserve">If this Court wishes to set legal education standards, it can do </w:t>
      </w:r>
      <w:r w:rsidR="003A6A3E">
        <w:rPr>
          <w:sz w:val="28"/>
          <w:szCs w:val="28"/>
        </w:rPr>
        <w:t xml:space="preserve">so </w:t>
      </w:r>
      <w:r>
        <w:rPr>
          <w:sz w:val="28"/>
          <w:szCs w:val="28"/>
        </w:rPr>
        <w:t xml:space="preserve">by providing a </w:t>
      </w:r>
      <w:r w:rsidRPr="003A6A3E">
        <w:rPr>
          <w:i/>
          <w:sz w:val="28"/>
          <w:szCs w:val="28"/>
        </w:rPr>
        <w:t>benefit</w:t>
      </w:r>
      <w:r>
        <w:rPr>
          <w:sz w:val="28"/>
          <w:szCs w:val="28"/>
        </w:rPr>
        <w:t xml:space="preserve"> to students who follow a traditional path with exc</w:t>
      </w:r>
      <w:r w:rsidR="003A6A3E">
        <w:rPr>
          <w:sz w:val="28"/>
          <w:szCs w:val="28"/>
        </w:rPr>
        <w:t>ellence at in-state law schools</w:t>
      </w:r>
      <w:r>
        <w:rPr>
          <w:sz w:val="28"/>
          <w:szCs w:val="28"/>
        </w:rPr>
        <w:t xml:space="preserve"> that command </w:t>
      </w:r>
      <w:r w:rsidR="003A6A3E">
        <w:rPr>
          <w:sz w:val="28"/>
          <w:szCs w:val="28"/>
        </w:rPr>
        <w:t xml:space="preserve">ongoing </w:t>
      </w:r>
      <w:r w:rsidR="00563001">
        <w:rPr>
          <w:sz w:val="28"/>
          <w:szCs w:val="28"/>
        </w:rPr>
        <w:t>respect. This provides</w:t>
      </w:r>
      <w:r>
        <w:rPr>
          <w:sz w:val="28"/>
          <w:szCs w:val="28"/>
        </w:rPr>
        <w:t xml:space="preserve"> incentive to all students </w:t>
      </w:r>
      <w:r w:rsidR="00563001">
        <w:rPr>
          <w:sz w:val="28"/>
          <w:szCs w:val="28"/>
        </w:rPr>
        <w:t xml:space="preserve">rather </w:t>
      </w:r>
      <w:r>
        <w:rPr>
          <w:sz w:val="28"/>
          <w:szCs w:val="28"/>
        </w:rPr>
        <w:t>than slamming opportunity’s door in the</w:t>
      </w:r>
      <w:r w:rsidR="000261B5">
        <w:rPr>
          <w:sz w:val="28"/>
          <w:szCs w:val="28"/>
        </w:rPr>
        <w:t xml:space="preserve"> face of those</w:t>
      </w:r>
      <w:r w:rsidR="00CB6320">
        <w:rPr>
          <w:sz w:val="28"/>
          <w:szCs w:val="28"/>
        </w:rPr>
        <w:t xml:space="preserve"> who seek only a chance to prove their fitness for admission.</w:t>
      </w:r>
    </w:p>
    <w:p w14:paraId="188ACCAF" w14:textId="058D5670" w:rsidR="00647C00" w:rsidRDefault="00CB6320" w:rsidP="00BC56F2">
      <w:pPr>
        <w:spacing w:line="480" w:lineRule="auto"/>
        <w:ind w:firstLine="432"/>
        <w:rPr>
          <w:sz w:val="28"/>
          <w:szCs w:val="28"/>
        </w:rPr>
      </w:pPr>
      <w:r>
        <w:rPr>
          <w:sz w:val="28"/>
          <w:szCs w:val="28"/>
        </w:rPr>
        <w:t>With that goal in mind</w:t>
      </w:r>
      <w:r w:rsidR="001102C9">
        <w:rPr>
          <w:sz w:val="28"/>
          <w:szCs w:val="28"/>
        </w:rPr>
        <w:t xml:space="preserve">, </w:t>
      </w:r>
      <w:r w:rsidR="00475F8A">
        <w:rPr>
          <w:sz w:val="28"/>
          <w:szCs w:val="28"/>
        </w:rPr>
        <w:t xml:space="preserve">I </w:t>
      </w:r>
      <w:r w:rsidR="00647C00">
        <w:rPr>
          <w:sz w:val="28"/>
          <w:szCs w:val="28"/>
        </w:rPr>
        <w:t>ask this Court to approve Petitioner’s proposal.</w:t>
      </w:r>
      <w:r w:rsidR="00D07CFE">
        <w:rPr>
          <w:sz w:val="28"/>
          <w:szCs w:val="28"/>
        </w:rPr>
        <w:t xml:space="preserve"> It deserves our support now</w:t>
      </w:r>
      <w:r w:rsidR="00613081">
        <w:rPr>
          <w:sz w:val="28"/>
          <w:szCs w:val="28"/>
        </w:rPr>
        <w:t>, whether or not the</w:t>
      </w:r>
      <w:r w:rsidR="00D07CFE">
        <w:rPr>
          <w:sz w:val="28"/>
          <w:szCs w:val="28"/>
        </w:rPr>
        <w:t xml:space="preserve"> Court later determines that </w:t>
      </w:r>
      <w:r w:rsidR="00B3018B">
        <w:rPr>
          <w:sz w:val="28"/>
          <w:szCs w:val="28"/>
        </w:rPr>
        <w:t>further change to</w:t>
      </w:r>
      <w:r w:rsidR="00D07CFE">
        <w:rPr>
          <w:sz w:val="28"/>
          <w:szCs w:val="28"/>
        </w:rPr>
        <w:t xml:space="preserve"> the admissions rules is appropriate.</w:t>
      </w:r>
    </w:p>
    <w:p w14:paraId="15473907" w14:textId="77777777" w:rsidR="00760602" w:rsidRDefault="00760602" w:rsidP="00BC56F2">
      <w:pPr>
        <w:spacing w:line="480" w:lineRule="auto"/>
        <w:ind w:firstLine="432"/>
        <w:rPr>
          <w:sz w:val="28"/>
          <w:szCs w:val="28"/>
        </w:rPr>
      </w:pPr>
    </w:p>
    <w:p w14:paraId="689356AA" w14:textId="0A1DF654" w:rsidR="00475F8A" w:rsidRDefault="00475F8A" w:rsidP="00475F8A">
      <w:pPr>
        <w:spacing w:line="480" w:lineRule="auto"/>
        <w:ind w:firstLine="432"/>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Respectfully submitted,</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8639037" w14:textId="7EE3451B" w:rsidR="00760602" w:rsidRDefault="00760602" w:rsidP="00BC56F2">
      <w:pPr>
        <w:spacing w:line="480" w:lineRule="auto"/>
        <w:ind w:firstLine="432"/>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 James C. Mitchell</w:t>
      </w:r>
    </w:p>
    <w:p w14:paraId="6A78FD3C" w14:textId="1B1093EC" w:rsidR="00C13F35" w:rsidRPr="004102C7" w:rsidRDefault="004D2B31" w:rsidP="00702B71">
      <w:pPr>
        <w:spacing w:line="480" w:lineRule="auto"/>
        <w:jc w:val="both"/>
        <w:rPr>
          <w:sz w:val="28"/>
          <w:szCs w:val="28"/>
        </w:rPr>
      </w:pPr>
      <w:r>
        <w:rPr>
          <w:sz w:val="28"/>
          <w:szCs w:val="28"/>
        </w:rPr>
        <w:t>March 31</w:t>
      </w:r>
      <w:r w:rsidR="006541F0">
        <w:rPr>
          <w:sz w:val="28"/>
          <w:szCs w:val="28"/>
        </w:rPr>
        <w:t>, 2017</w:t>
      </w:r>
    </w:p>
    <w:sectPr w:rsidR="00C13F35" w:rsidRPr="004102C7" w:rsidSect="0016523E">
      <w:footerReference w:type="even" r:id="rId6"/>
      <w:footerReference w:type="default" r:id="rId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3EBAE" w14:textId="77777777" w:rsidR="002308C4" w:rsidRDefault="002308C4" w:rsidP="00092CF6">
      <w:r>
        <w:separator/>
      </w:r>
    </w:p>
  </w:endnote>
  <w:endnote w:type="continuationSeparator" w:id="0">
    <w:p w14:paraId="1D0A7E92" w14:textId="77777777" w:rsidR="002308C4" w:rsidRDefault="002308C4" w:rsidP="0009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DEFCB" w14:textId="77777777" w:rsidR="0058268F" w:rsidRDefault="0058268F" w:rsidP="001652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75D58A" w14:textId="77777777" w:rsidR="0058268F" w:rsidRDefault="005826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D2EB" w14:textId="77777777" w:rsidR="0058268F" w:rsidRDefault="0058268F" w:rsidP="001652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BAE">
      <w:rPr>
        <w:rStyle w:val="PageNumber"/>
        <w:noProof/>
      </w:rPr>
      <w:t>3</w:t>
    </w:r>
    <w:r>
      <w:rPr>
        <w:rStyle w:val="PageNumber"/>
      </w:rPr>
      <w:fldChar w:fldCharType="end"/>
    </w:r>
  </w:p>
  <w:p w14:paraId="7B0EF16D" w14:textId="77777777" w:rsidR="0058268F" w:rsidRDefault="005826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5143A" w14:textId="77777777" w:rsidR="002308C4" w:rsidRDefault="002308C4" w:rsidP="00092CF6">
      <w:r>
        <w:separator/>
      </w:r>
    </w:p>
  </w:footnote>
  <w:footnote w:type="continuationSeparator" w:id="0">
    <w:p w14:paraId="3E4CA20B" w14:textId="77777777" w:rsidR="002308C4" w:rsidRDefault="002308C4" w:rsidP="00092CF6">
      <w:r>
        <w:continuationSeparator/>
      </w:r>
    </w:p>
  </w:footnote>
  <w:footnote w:id="1">
    <w:p w14:paraId="75E1BA07" w14:textId="721C43F4" w:rsidR="005D3B7A" w:rsidRPr="004D2B31" w:rsidRDefault="005D3B7A">
      <w:pPr>
        <w:pStyle w:val="FootnoteText"/>
        <w:rPr>
          <w:sz w:val="28"/>
          <w:szCs w:val="28"/>
        </w:rPr>
      </w:pPr>
      <w:r w:rsidRPr="004D2B31">
        <w:rPr>
          <w:rStyle w:val="FootnoteReference"/>
          <w:sz w:val="28"/>
          <w:szCs w:val="28"/>
        </w:rPr>
        <w:footnoteRef/>
      </w:r>
      <w:r w:rsidRPr="004D2B31">
        <w:rPr>
          <w:sz w:val="28"/>
          <w:szCs w:val="28"/>
        </w:rPr>
        <w:t xml:space="preserve"> Elle Woods, noting her ease of being admitted to Harvard Law School. </w:t>
      </w:r>
      <w:r w:rsidRPr="004D2B31">
        <w:rPr>
          <w:smallCaps/>
          <w:sz w:val="28"/>
          <w:szCs w:val="28"/>
        </w:rPr>
        <w:t xml:space="preserve">Legally Blonde </w:t>
      </w:r>
      <w:r w:rsidR="002B32C7" w:rsidRPr="004D2B31">
        <w:rPr>
          <w:sz w:val="28"/>
          <w:szCs w:val="28"/>
        </w:rPr>
        <w:t>(Metro-Goldwyn-Mayer</w:t>
      </w:r>
      <w:r w:rsidRPr="004D2B31">
        <w:rPr>
          <w:sz w:val="28"/>
          <w:szCs w:val="28"/>
        </w:rPr>
        <w:t xml:space="preserve"> 2001</w:t>
      </w:r>
      <w:r w:rsidR="002B32C7" w:rsidRPr="004D2B31">
        <w:rPr>
          <w:sz w:val="28"/>
          <w:szCs w:val="28"/>
        </w:rPr>
        <w:t>)</w:t>
      </w:r>
      <w:r w:rsidRPr="004D2B31">
        <w:rPr>
          <w:sz w:val="28"/>
          <w:szCs w:val="28"/>
        </w:rPr>
        <w:t>. Harvard, by the way, recently embraced the University of Arizona’s option of using G</w:t>
      </w:r>
      <w:r w:rsidR="002B32C7" w:rsidRPr="004D2B31">
        <w:rPr>
          <w:sz w:val="28"/>
          <w:szCs w:val="28"/>
        </w:rPr>
        <w:t xml:space="preserve">raduate </w:t>
      </w:r>
      <w:r w:rsidRPr="004D2B31">
        <w:rPr>
          <w:sz w:val="28"/>
          <w:szCs w:val="28"/>
        </w:rPr>
        <w:t>R</w:t>
      </w:r>
      <w:r w:rsidR="002B32C7" w:rsidRPr="004D2B31">
        <w:rPr>
          <w:sz w:val="28"/>
          <w:szCs w:val="28"/>
        </w:rPr>
        <w:t xml:space="preserve">ecord </w:t>
      </w:r>
      <w:r w:rsidRPr="004D2B31">
        <w:rPr>
          <w:sz w:val="28"/>
          <w:szCs w:val="28"/>
        </w:rPr>
        <w:t>E</w:t>
      </w:r>
      <w:r w:rsidR="002B32C7" w:rsidRPr="004D2B31">
        <w:rPr>
          <w:sz w:val="28"/>
          <w:szCs w:val="28"/>
        </w:rPr>
        <w:t>xamination</w:t>
      </w:r>
      <w:r w:rsidRPr="004D2B31">
        <w:rPr>
          <w:sz w:val="28"/>
          <w:szCs w:val="28"/>
        </w:rPr>
        <w:t xml:space="preserve"> scores in place of the LSAT. From Cambridge to Tucson, the need for a wider range </w:t>
      </w:r>
      <w:r w:rsidR="002B32C7" w:rsidRPr="004D2B31">
        <w:rPr>
          <w:sz w:val="28"/>
          <w:szCs w:val="28"/>
        </w:rPr>
        <w:t>of applicants outweighs slavish</w:t>
      </w:r>
      <w:r w:rsidRPr="004D2B31">
        <w:rPr>
          <w:sz w:val="28"/>
          <w:szCs w:val="28"/>
        </w:rPr>
        <w:t xml:space="preserve"> reliance on legacy methods. Elizabeth Olson, </w:t>
      </w:r>
      <w:r w:rsidRPr="004D2B31">
        <w:rPr>
          <w:i/>
          <w:sz w:val="28"/>
          <w:szCs w:val="28"/>
        </w:rPr>
        <w:t>Harvard Law, Moving to Diversify Applicant Pool, Will Accept GRE Scores</w:t>
      </w:r>
      <w:r w:rsidRPr="004D2B31">
        <w:rPr>
          <w:sz w:val="28"/>
          <w:szCs w:val="28"/>
        </w:rPr>
        <w:t xml:space="preserve">, </w:t>
      </w:r>
      <w:r w:rsidRPr="004D2B31">
        <w:rPr>
          <w:smallCaps/>
          <w:sz w:val="28"/>
          <w:szCs w:val="28"/>
        </w:rPr>
        <w:t>N.Y. Times</w:t>
      </w:r>
      <w:r w:rsidRPr="004D2B31">
        <w:rPr>
          <w:sz w:val="28"/>
          <w:szCs w:val="28"/>
        </w:rPr>
        <w:t>, Mar. 9, 2017 at B5.</w:t>
      </w:r>
    </w:p>
  </w:footnote>
  <w:footnote w:id="2">
    <w:p w14:paraId="4C6169B8" w14:textId="1EDCCA3F" w:rsidR="005D3B7A" w:rsidRPr="004D2B31" w:rsidRDefault="005D3B7A">
      <w:pPr>
        <w:pStyle w:val="FootnoteText"/>
        <w:rPr>
          <w:sz w:val="28"/>
          <w:szCs w:val="28"/>
        </w:rPr>
      </w:pPr>
      <w:r w:rsidRPr="004D2B31">
        <w:rPr>
          <w:rStyle w:val="FootnoteReference"/>
          <w:sz w:val="28"/>
          <w:szCs w:val="28"/>
        </w:rPr>
        <w:footnoteRef/>
      </w:r>
      <w:r w:rsidRPr="004D2B31">
        <w:rPr>
          <w:sz w:val="28"/>
          <w:szCs w:val="28"/>
        </w:rPr>
        <w:t xml:space="preserve"> American Bar Ass’n, </w:t>
      </w:r>
      <w:r w:rsidRPr="004D2B31">
        <w:rPr>
          <w:i/>
          <w:sz w:val="28"/>
          <w:szCs w:val="28"/>
        </w:rPr>
        <w:t>National Lawyer Population Survey</w:t>
      </w:r>
      <w:r w:rsidRPr="004D2B31">
        <w:rPr>
          <w:sz w:val="28"/>
          <w:szCs w:val="28"/>
        </w:rPr>
        <w:t xml:space="preserve"> (2016); ABA website, https://www.americanbar.org/about_the_aba.html, visited Mar. 28, 2017.</w:t>
      </w:r>
    </w:p>
  </w:footnote>
  <w:footnote w:id="3">
    <w:p w14:paraId="0ADE07DE" w14:textId="57881B2F" w:rsidR="005D3B7A" w:rsidRPr="004D2B31" w:rsidRDefault="005D3B7A">
      <w:pPr>
        <w:pStyle w:val="FootnoteText"/>
        <w:rPr>
          <w:sz w:val="28"/>
          <w:szCs w:val="28"/>
        </w:rPr>
      </w:pPr>
      <w:r w:rsidRPr="004D2B31">
        <w:rPr>
          <w:rStyle w:val="FootnoteReference"/>
          <w:sz w:val="28"/>
          <w:szCs w:val="28"/>
        </w:rPr>
        <w:footnoteRef/>
      </w:r>
      <w:r w:rsidRPr="004D2B31">
        <w:rPr>
          <w:sz w:val="28"/>
          <w:szCs w:val="28"/>
        </w:rPr>
        <w:t xml:space="preserve"> “Justice Dept. Asks Court to Hold American Bar Association in Civil Contempt; ABA Acknowledges Consent Decree Violations and Agrees to Pay $185,000.” Dept. of Justice press release, June 23, 2006 </w:t>
      </w:r>
      <w:r w:rsidR="009C5EB1">
        <w:rPr>
          <w:sz w:val="28"/>
          <w:szCs w:val="28"/>
        </w:rPr>
        <w:t>(visited Mar. 28, 2017) &lt;</w:t>
      </w:r>
      <w:r w:rsidRPr="004D2B31">
        <w:rPr>
          <w:sz w:val="28"/>
          <w:szCs w:val="28"/>
        </w:rPr>
        <w:t>https://www.justice.gov/archive/opa/pr/2006/June/06_at_390.html</w:t>
      </w:r>
      <w:r w:rsidR="009C5EB1">
        <w:rPr>
          <w:sz w:val="28"/>
          <w:szCs w:val="28"/>
        </w:rPr>
        <w:t>&gt;</w:t>
      </w:r>
    </w:p>
  </w:footnote>
  <w:footnote w:id="4">
    <w:p w14:paraId="1A4F7192" w14:textId="451B7848" w:rsidR="00495675" w:rsidRPr="004D2B31" w:rsidRDefault="00495675">
      <w:pPr>
        <w:pStyle w:val="FootnoteText"/>
        <w:rPr>
          <w:sz w:val="28"/>
          <w:szCs w:val="28"/>
        </w:rPr>
      </w:pPr>
      <w:r w:rsidRPr="004D2B31">
        <w:rPr>
          <w:rStyle w:val="FootnoteReference"/>
          <w:sz w:val="28"/>
          <w:szCs w:val="28"/>
        </w:rPr>
        <w:footnoteRef/>
      </w:r>
      <w:r w:rsidRPr="004D2B31">
        <w:rPr>
          <w:sz w:val="28"/>
          <w:szCs w:val="28"/>
        </w:rPr>
        <w:t xml:space="preserve"> Thirteen ABA-approved law schools had pass rates below fifty percent in 2016.</w:t>
      </w:r>
      <w:r w:rsidR="00495AF0">
        <w:rPr>
          <w:sz w:val="28"/>
          <w:szCs w:val="28"/>
        </w:rPr>
        <w:t xml:space="preserve"> Internet Legal Research Group (visited Mar. 30, 2017) &lt;</w:t>
      </w:r>
      <w:r w:rsidRPr="004D2B31">
        <w:rPr>
          <w:sz w:val="28"/>
          <w:szCs w:val="28"/>
        </w:rPr>
        <w:t>https://www.ilrg.com/rankings/law/4/desc/Bar</w:t>
      </w:r>
      <w:r w:rsidR="00495AF0">
        <w:rPr>
          <w:sz w:val="28"/>
          <w:szCs w:val="28"/>
        </w:rPr>
        <w:t>&gt;</w:t>
      </w:r>
    </w:p>
  </w:footnote>
  <w:footnote w:id="5">
    <w:p w14:paraId="6E465AEB" w14:textId="04F2B330" w:rsidR="005D3B7A" w:rsidRPr="004D2B31" w:rsidRDefault="005D3B7A">
      <w:pPr>
        <w:pStyle w:val="FootnoteText"/>
        <w:rPr>
          <w:sz w:val="28"/>
          <w:szCs w:val="28"/>
        </w:rPr>
      </w:pPr>
      <w:r w:rsidRPr="004D2B31">
        <w:rPr>
          <w:rStyle w:val="FootnoteReference"/>
          <w:sz w:val="28"/>
          <w:szCs w:val="28"/>
        </w:rPr>
        <w:footnoteRef/>
      </w:r>
      <w:r w:rsidR="00475F8A" w:rsidRPr="004D2B31">
        <w:rPr>
          <w:sz w:val="28"/>
          <w:szCs w:val="28"/>
        </w:rPr>
        <w:t xml:space="preserve"> </w:t>
      </w:r>
      <w:r w:rsidR="00475F8A" w:rsidRPr="004D2B31">
        <w:rPr>
          <w:i/>
          <w:sz w:val="28"/>
          <w:szCs w:val="28"/>
        </w:rPr>
        <w:t>See</w:t>
      </w:r>
      <w:r w:rsidR="00475F8A" w:rsidRPr="004D2B31">
        <w:rPr>
          <w:sz w:val="28"/>
          <w:szCs w:val="28"/>
        </w:rPr>
        <w:t xml:space="preserve"> </w:t>
      </w:r>
      <w:r w:rsidR="00495AF0">
        <w:rPr>
          <w:sz w:val="28"/>
          <w:szCs w:val="28"/>
        </w:rPr>
        <w:t>universities’ online program listings (visited Mar. 29, 2017) &lt;</w:t>
      </w:r>
      <w:r w:rsidR="00475F8A" w:rsidRPr="004D2B31">
        <w:rPr>
          <w:sz w:val="28"/>
          <w:szCs w:val="28"/>
        </w:rPr>
        <w:t>http://uaonline.arizona.edu</w:t>
      </w:r>
      <w:r w:rsidR="00495AF0">
        <w:rPr>
          <w:sz w:val="28"/>
          <w:szCs w:val="28"/>
        </w:rPr>
        <w:t>&gt;</w:t>
      </w:r>
      <w:r w:rsidR="00475F8A" w:rsidRPr="004D2B31">
        <w:rPr>
          <w:sz w:val="28"/>
          <w:szCs w:val="28"/>
        </w:rPr>
        <w:t xml:space="preserve"> </w:t>
      </w:r>
      <w:r w:rsidR="00495AF0">
        <w:rPr>
          <w:sz w:val="28"/>
          <w:szCs w:val="28"/>
        </w:rPr>
        <w:t xml:space="preserve"> &lt;</w:t>
      </w:r>
      <w:r w:rsidR="00475F8A" w:rsidRPr="004D2B31">
        <w:rPr>
          <w:sz w:val="28"/>
          <w:szCs w:val="28"/>
        </w:rPr>
        <w:t>https://asuonline.asu.edu</w:t>
      </w:r>
      <w:r w:rsidR="00495AF0">
        <w:rPr>
          <w:sz w:val="28"/>
          <w:szCs w:val="28"/>
        </w:rPr>
        <w:t>&gt;</w:t>
      </w:r>
      <w:r w:rsidR="00475F8A" w:rsidRPr="004D2B31">
        <w:rPr>
          <w:sz w:val="28"/>
          <w:szCs w:val="28"/>
        </w:rPr>
        <w:t xml:space="preserve"> </w:t>
      </w:r>
      <w:r w:rsidR="00495AF0">
        <w:rPr>
          <w:sz w:val="28"/>
          <w:szCs w:val="28"/>
        </w:rPr>
        <w:t>&lt;</w:t>
      </w:r>
      <w:r w:rsidR="00B75D28" w:rsidRPr="004D2B31">
        <w:rPr>
          <w:sz w:val="28"/>
          <w:szCs w:val="28"/>
        </w:rPr>
        <w:t>http://ec.nau.edu/OnlineDegrees.aspx</w:t>
      </w:r>
      <w:r w:rsidR="00495AF0">
        <w:rPr>
          <w:sz w:val="28"/>
          <w:szCs w:val="28"/>
        </w:rPr>
        <w:t>&gt;</w:t>
      </w:r>
    </w:p>
    <w:p w14:paraId="1EAEF699" w14:textId="77777777" w:rsidR="00B75D28" w:rsidRPr="004D2B31" w:rsidRDefault="00B75D28">
      <w:pPr>
        <w:pStyle w:val="FootnoteText"/>
        <w:rPr>
          <w:sz w:val="28"/>
          <w:szCs w:val="28"/>
        </w:rPr>
      </w:pPr>
    </w:p>
  </w:footnote>
  <w:footnote w:id="6">
    <w:p w14:paraId="221938D4" w14:textId="6069691B" w:rsidR="005D3B7A" w:rsidRPr="004D2B31" w:rsidRDefault="005D3B7A">
      <w:pPr>
        <w:pStyle w:val="FootnoteText"/>
        <w:rPr>
          <w:sz w:val="28"/>
          <w:szCs w:val="28"/>
        </w:rPr>
      </w:pPr>
      <w:r w:rsidRPr="004D2B31">
        <w:rPr>
          <w:rStyle w:val="FootnoteReference"/>
          <w:sz w:val="28"/>
          <w:szCs w:val="28"/>
        </w:rPr>
        <w:footnoteRef/>
      </w:r>
      <w:r w:rsidRPr="004D2B31">
        <w:rPr>
          <w:sz w:val="28"/>
          <w:szCs w:val="28"/>
        </w:rPr>
        <w:t xml:space="preserve"> </w:t>
      </w:r>
      <w:r w:rsidRPr="004D2B31">
        <w:rPr>
          <w:smallCaps/>
          <w:sz w:val="28"/>
          <w:szCs w:val="28"/>
        </w:rPr>
        <w:t>Wis.</w:t>
      </w:r>
      <w:r w:rsidRPr="004D2B31">
        <w:rPr>
          <w:sz w:val="28"/>
          <w:szCs w:val="28"/>
        </w:rPr>
        <w:t xml:space="preserve"> SCR 40.03 (Supreme Court Rules on Admission to the Bar; Legal Competence Requirement: Diploma Privilege) (1977).</w:t>
      </w:r>
    </w:p>
  </w:footnote>
  <w:footnote w:id="7">
    <w:p w14:paraId="342DFC38" w14:textId="64C2DB8F" w:rsidR="005D3B7A" w:rsidRPr="004D2B31" w:rsidRDefault="005D3B7A">
      <w:pPr>
        <w:pStyle w:val="FootnoteText"/>
        <w:rPr>
          <w:sz w:val="28"/>
          <w:szCs w:val="28"/>
        </w:rPr>
      </w:pPr>
      <w:r w:rsidRPr="004D2B31">
        <w:rPr>
          <w:rStyle w:val="FootnoteReference"/>
          <w:sz w:val="28"/>
          <w:szCs w:val="28"/>
        </w:rPr>
        <w:footnoteRef/>
      </w:r>
      <w:r w:rsidRPr="004D2B31">
        <w:rPr>
          <w:sz w:val="28"/>
          <w:szCs w:val="28"/>
        </w:rPr>
        <w:t xml:space="preserve"> </w:t>
      </w:r>
      <w:r w:rsidRPr="004D2B31">
        <w:rPr>
          <w:i/>
          <w:sz w:val="28"/>
          <w:szCs w:val="28"/>
        </w:rPr>
        <w:t xml:space="preserve">Is the Bar Exam Being Phased Out? </w:t>
      </w:r>
      <w:r w:rsidRPr="004D2B31">
        <w:rPr>
          <w:sz w:val="28"/>
          <w:szCs w:val="28"/>
        </w:rPr>
        <w:t xml:space="preserve">Above </w:t>
      </w:r>
      <w:r w:rsidR="00495AF0">
        <w:rPr>
          <w:sz w:val="28"/>
          <w:szCs w:val="28"/>
        </w:rPr>
        <w:t>the Law (visited Mar. 28, 2017) &lt;</w:t>
      </w:r>
      <w:r w:rsidRPr="004D2B31">
        <w:rPr>
          <w:sz w:val="28"/>
          <w:szCs w:val="28"/>
        </w:rPr>
        <w:t>http://abovethelaw.com/2015/04/is-the-bar-exam-being-phased-out</w:t>
      </w:r>
      <w:r w:rsidR="00495AF0">
        <w:rPr>
          <w:sz w:val="28"/>
          <w:szCs w:val="28"/>
        </w:rPr>
        <w:t>&gt;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DC"/>
    <w:rsid w:val="00002114"/>
    <w:rsid w:val="00014783"/>
    <w:rsid w:val="00021ECB"/>
    <w:rsid w:val="000261B5"/>
    <w:rsid w:val="00031BD7"/>
    <w:rsid w:val="000432BA"/>
    <w:rsid w:val="0004455D"/>
    <w:rsid w:val="00053B67"/>
    <w:rsid w:val="00053C21"/>
    <w:rsid w:val="0005708A"/>
    <w:rsid w:val="00076C72"/>
    <w:rsid w:val="00083AD4"/>
    <w:rsid w:val="00087E18"/>
    <w:rsid w:val="00092731"/>
    <w:rsid w:val="00092CF6"/>
    <w:rsid w:val="00096355"/>
    <w:rsid w:val="000D3B58"/>
    <w:rsid w:val="000D5F9A"/>
    <w:rsid w:val="000E13D4"/>
    <w:rsid w:val="000E76A6"/>
    <w:rsid w:val="000F02C7"/>
    <w:rsid w:val="000F2CDF"/>
    <w:rsid w:val="001102C9"/>
    <w:rsid w:val="00134D90"/>
    <w:rsid w:val="00152C82"/>
    <w:rsid w:val="00155C0D"/>
    <w:rsid w:val="001570A7"/>
    <w:rsid w:val="0016523E"/>
    <w:rsid w:val="00167FD1"/>
    <w:rsid w:val="00175B45"/>
    <w:rsid w:val="00195238"/>
    <w:rsid w:val="00196311"/>
    <w:rsid w:val="001A5595"/>
    <w:rsid w:val="001A7EFF"/>
    <w:rsid w:val="001B5485"/>
    <w:rsid w:val="001C6E58"/>
    <w:rsid w:val="001D79FE"/>
    <w:rsid w:val="001E305E"/>
    <w:rsid w:val="00206BB7"/>
    <w:rsid w:val="002308C4"/>
    <w:rsid w:val="00241D15"/>
    <w:rsid w:val="00247D93"/>
    <w:rsid w:val="00254BCD"/>
    <w:rsid w:val="00293E08"/>
    <w:rsid w:val="00296A0E"/>
    <w:rsid w:val="002A3F30"/>
    <w:rsid w:val="002B32C7"/>
    <w:rsid w:val="002B7267"/>
    <w:rsid w:val="002E1A91"/>
    <w:rsid w:val="002E4674"/>
    <w:rsid w:val="0030437D"/>
    <w:rsid w:val="00306C60"/>
    <w:rsid w:val="00311672"/>
    <w:rsid w:val="0031615C"/>
    <w:rsid w:val="003463E8"/>
    <w:rsid w:val="0035524D"/>
    <w:rsid w:val="003635C9"/>
    <w:rsid w:val="00366B04"/>
    <w:rsid w:val="00371DFF"/>
    <w:rsid w:val="00381F88"/>
    <w:rsid w:val="00390894"/>
    <w:rsid w:val="00392464"/>
    <w:rsid w:val="003A3736"/>
    <w:rsid w:val="003A6A3E"/>
    <w:rsid w:val="003C61BA"/>
    <w:rsid w:val="003D3F61"/>
    <w:rsid w:val="003D465E"/>
    <w:rsid w:val="003E746A"/>
    <w:rsid w:val="003F04FE"/>
    <w:rsid w:val="003F33C4"/>
    <w:rsid w:val="003F4613"/>
    <w:rsid w:val="0040090F"/>
    <w:rsid w:val="00404465"/>
    <w:rsid w:val="00405161"/>
    <w:rsid w:val="004102C7"/>
    <w:rsid w:val="004115BB"/>
    <w:rsid w:val="00425ADC"/>
    <w:rsid w:val="00456E7D"/>
    <w:rsid w:val="0046664B"/>
    <w:rsid w:val="00475F8A"/>
    <w:rsid w:val="00476AD8"/>
    <w:rsid w:val="0048681C"/>
    <w:rsid w:val="004941EA"/>
    <w:rsid w:val="00495675"/>
    <w:rsid w:val="00495AF0"/>
    <w:rsid w:val="004A44C3"/>
    <w:rsid w:val="004A768B"/>
    <w:rsid w:val="004A7715"/>
    <w:rsid w:val="004D2B31"/>
    <w:rsid w:val="004E1801"/>
    <w:rsid w:val="004E46B1"/>
    <w:rsid w:val="004E4FA8"/>
    <w:rsid w:val="004E74E4"/>
    <w:rsid w:val="004F3F66"/>
    <w:rsid w:val="00504644"/>
    <w:rsid w:val="00523F48"/>
    <w:rsid w:val="00525E1C"/>
    <w:rsid w:val="00536DFD"/>
    <w:rsid w:val="00537867"/>
    <w:rsid w:val="00546358"/>
    <w:rsid w:val="00563001"/>
    <w:rsid w:val="00571E77"/>
    <w:rsid w:val="0058268F"/>
    <w:rsid w:val="00583CC2"/>
    <w:rsid w:val="00590F97"/>
    <w:rsid w:val="005A3173"/>
    <w:rsid w:val="005A3E9B"/>
    <w:rsid w:val="005A62D8"/>
    <w:rsid w:val="005B0D94"/>
    <w:rsid w:val="005B2512"/>
    <w:rsid w:val="005B5997"/>
    <w:rsid w:val="005C6772"/>
    <w:rsid w:val="005D2B00"/>
    <w:rsid w:val="005D3B7A"/>
    <w:rsid w:val="005E3BAE"/>
    <w:rsid w:val="005F7C1A"/>
    <w:rsid w:val="006017F1"/>
    <w:rsid w:val="00603B95"/>
    <w:rsid w:val="00613081"/>
    <w:rsid w:val="00625ABF"/>
    <w:rsid w:val="0062602F"/>
    <w:rsid w:val="006269AD"/>
    <w:rsid w:val="00627453"/>
    <w:rsid w:val="00636951"/>
    <w:rsid w:val="0064248A"/>
    <w:rsid w:val="00647C00"/>
    <w:rsid w:val="0065118A"/>
    <w:rsid w:val="006541F0"/>
    <w:rsid w:val="006651A3"/>
    <w:rsid w:val="006800D7"/>
    <w:rsid w:val="00697711"/>
    <w:rsid w:val="006B3579"/>
    <w:rsid w:val="006B683C"/>
    <w:rsid w:val="006C2D80"/>
    <w:rsid w:val="006C718E"/>
    <w:rsid w:val="006D4A15"/>
    <w:rsid w:val="006E33FD"/>
    <w:rsid w:val="006E3F4D"/>
    <w:rsid w:val="006F7260"/>
    <w:rsid w:val="007008D2"/>
    <w:rsid w:val="00702B71"/>
    <w:rsid w:val="00743020"/>
    <w:rsid w:val="00754109"/>
    <w:rsid w:val="00760602"/>
    <w:rsid w:val="007619E7"/>
    <w:rsid w:val="00765302"/>
    <w:rsid w:val="0077116B"/>
    <w:rsid w:val="00772355"/>
    <w:rsid w:val="00776048"/>
    <w:rsid w:val="00776D2B"/>
    <w:rsid w:val="007927B5"/>
    <w:rsid w:val="007A609C"/>
    <w:rsid w:val="007A7F6A"/>
    <w:rsid w:val="007C4033"/>
    <w:rsid w:val="007C5A21"/>
    <w:rsid w:val="007D00F1"/>
    <w:rsid w:val="007E42A8"/>
    <w:rsid w:val="00815EB6"/>
    <w:rsid w:val="0083355D"/>
    <w:rsid w:val="008441BA"/>
    <w:rsid w:val="00846934"/>
    <w:rsid w:val="00861620"/>
    <w:rsid w:val="00876B31"/>
    <w:rsid w:val="00894E78"/>
    <w:rsid w:val="008B141D"/>
    <w:rsid w:val="008C2B2E"/>
    <w:rsid w:val="008C3713"/>
    <w:rsid w:val="009033B2"/>
    <w:rsid w:val="00903C21"/>
    <w:rsid w:val="00912E8A"/>
    <w:rsid w:val="00920700"/>
    <w:rsid w:val="00921E68"/>
    <w:rsid w:val="00925941"/>
    <w:rsid w:val="00934082"/>
    <w:rsid w:val="00934AE6"/>
    <w:rsid w:val="00953C82"/>
    <w:rsid w:val="009703A6"/>
    <w:rsid w:val="009A0FB2"/>
    <w:rsid w:val="009A3613"/>
    <w:rsid w:val="009B0DA5"/>
    <w:rsid w:val="009C5EB1"/>
    <w:rsid w:val="009D44B7"/>
    <w:rsid w:val="009F5521"/>
    <w:rsid w:val="009F7002"/>
    <w:rsid w:val="00A06EA1"/>
    <w:rsid w:val="00A354FE"/>
    <w:rsid w:val="00A55EEB"/>
    <w:rsid w:val="00A71918"/>
    <w:rsid w:val="00A82435"/>
    <w:rsid w:val="00A85054"/>
    <w:rsid w:val="00AC06A3"/>
    <w:rsid w:val="00AD1197"/>
    <w:rsid w:val="00AD4E22"/>
    <w:rsid w:val="00AE4AB4"/>
    <w:rsid w:val="00B01C7B"/>
    <w:rsid w:val="00B033F3"/>
    <w:rsid w:val="00B050BE"/>
    <w:rsid w:val="00B071C3"/>
    <w:rsid w:val="00B104E5"/>
    <w:rsid w:val="00B20094"/>
    <w:rsid w:val="00B2794C"/>
    <w:rsid w:val="00B3018B"/>
    <w:rsid w:val="00B567E1"/>
    <w:rsid w:val="00B75D28"/>
    <w:rsid w:val="00BA4CF9"/>
    <w:rsid w:val="00BC26F7"/>
    <w:rsid w:val="00BC3FF0"/>
    <w:rsid w:val="00BC56F2"/>
    <w:rsid w:val="00BC6644"/>
    <w:rsid w:val="00BD31E2"/>
    <w:rsid w:val="00BD4378"/>
    <w:rsid w:val="00BD7E5B"/>
    <w:rsid w:val="00BF1D24"/>
    <w:rsid w:val="00C13F35"/>
    <w:rsid w:val="00C37B18"/>
    <w:rsid w:val="00C44F4E"/>
    <w:rsid w:val="00C66F13"/>
    <w:rsid w:val="00C77B10"/>
    <w:rsid w:val="00C83345"/>
    <w:rsid w:val="00C968E9"/>
    <w:rsid w:val="00CA42AA"/>
    <w:rsid w:val="00CB5048"/>
    <w:rsid w:val="00CB6320"/>
    <w:rsid w:val="00CC2FE4"/>
    <w:rsid w:val="00CD290A"/>
    <w:rsid w:val="00CE1FA9"/>
    <w:rsid w:val="00CE76CB"/>
    <w:rsid w:val="00D07CFE"/>
    <w:rsid w:val="00D134E6"/>
    <w:rsid w:val="00D17E90"/>
    <w:rsid w:val="00D31921"/>
    <w:rsid w:val="00D45430"/>
    <w:rsid w:val="00D66089"/>
    <w:rsid w:val="00D67E3A"/>
    <w:rsid w:val="00D8420E"/>
    <w:rsid w:val="00D911F5"/>
    <w:rsid w:val="00D94CB4"/>
    <w:rsid w:val="00DE0E4D"/>
    <w:rsid w:val="00DE1501"/>
    <w:rsid w:val="00DF02B7"/>
    <w:rsid w:val="00DF4402"/>
    <w:rsid w:val="00DF4D30"/>
    <w:rsid w:val="00DF6880"/>
    <w:rsid w:val="00E20EAB"/>
    <w:rsid w:val="00E25203"/>
    <w:rsid w:val="00E2773C"/>
    <w:rsid w:val="00E3642A"/>
    <w:rsid w:val="00E431C3"/>
    <w:rsid w:val="00E504BB"/>
    <w:rsid w:val="00E73CF4"/>
    <w:rsid w:val="00E87A64"/>
    <w:rsid w:val="00E91F5C"/>
    <w:rsid w:val="00EA4E19"/>
    <w:rsid w:val="00EB2CA4"/>
    <w:rsid w:val="00EC66A6"/>
    <w:rsid w:val="00ED1793"/>
    <w:rsid w:val="00ED181A"/>
    <w:rsid w:val="00EF1695"/>
    <w:rsid w:val="00F14253"/>
    <w:rsid w:val="00F16A23"/>
    <w:rsid w:val="00F31249"/>
    <w:rsid w:val="00F353B8"/>
    <w:rsid w:val="00F4488F"/>
    <w:rsid w:val="00F57969"/>
    <w:rsid w:val="00F73742"/>
    <w:rsid w:val="00F80816"/>
    <w:rsid w:val="00FA3B66"/>
    <w:rsid w:val="00FA54C3"/>
    <w:rsid w:val="00FB081F"/>
    <w:rsid w:val="00FC0979"/>
    <w:rsid w:val="00FD4162"/>
    <w:rsid w:val="00FD516E"/>
    <w:rsid w:val="00FF2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1ADF2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3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C00"/>
    <w:rPr>
      <w:color w:val="0563C1" w:themeColor="hyperlink"/>
      <w:u w:val="single"/>
    </w:rPr>
  </w:style>
  <w:style w:type="paragraph" w:styleId="FootnoteText">
    <w:name w:val="footnote text"/>
    <w:basedOn w:val="Normal"/>
    <w:link w:val="FootnoteTextChar"/>
    <w:uiPriority w:val="99"/>
    <w:unhideWhenUsed/>
    <w:rsid w:val="00092CF6"/>
  </w:style>
  <w:style w:type="character" w:customStyle="1" w:styleId="FootnoteTextChar">
    <w:name w:val="Footnote Text Char"/>
    <w:basedOn w:val="DefaultParagraphFont"/>
    <w:link w:val="FootnoteText"/>
    <w:uiPriority w:val="99"/>
    <w:rsid w:val="00092CF6"/>
  </w:style>
  <w:style w:type="character" w:styleId="FootnoteReference">
    <w:name w:val="footnote reference"/>
    <w:basedOn w:val="DefaultParagraphFont"/>
    <w:uiPriority w:val="99"/>
    <w:unhideWhenUsed/>
    <w:rsid w:val="00092CF6"/>
    <w:rPr>
      <w:vertAlign w:val="superscript"/>
    </w:rPr>
  </w:style>
  <w:style w:type="paragraph" w:styleId="EndnoteText">
    <w:name w:val="endnote text"/>
    <w:basedOn w:val="Normal"/>
    <w:link w:val="EndnoteTextChar"/>
    <w:uiPriority w:val="99"/>
    <w:unhideWhenUsed/>
    <w:rsid w:val="00092CF6"/>
  </w:style>
  <w:style w:type="character" w:customStyle="1" w:styleId="EndnoteTextChar">
    <w:name w:val="Endnote Text Char"/>
    <w:basedOn w:val="DefaultParagraphFont"/>
    <w:link w:val="EndnoteText"/>
    <w:uiPriority w:val="99"/>
    <w:rsid w:val="00092CF6"/>
  </w:style>
  <w:style w:type="character" w:styleId="EndnoteReference">
    <w:name w:val="endnote reference"/>
    <w:basedOn w:val="DefaultParagraphFont"/>
    <w:uiPriority w:val="99"/>
    <w:unhideWhenUsed/>
    <w:rsid w:val="00092CF6"/>
    <w:rPr>
      <w:vertAlign w:val="superscript"/>
    </w:rPr>
  </w:style>
  <w:style w:type="paragraph" w:styleId="Footer">
    <w:name w:val="footer"/>
    <w:basedOn w:val="Normal"/>
    <w:link w:val="FooterChar"/>
    <w:uiPriority w:val="99"/>
    <w:unhideWhenUsed/>
    <w:rsid w:val="0058268F"/>
    <w:pPr>
      <w:tabs>
        <w:tab w:val="center" w:pos="4680"/>
        <w:tab w:val="right" w:pos="9360"/>
      </w:tabs>
    </w:pPr>
  </w:style>
  <w:style w:type="character" w:customStyle="1" w:styleId="FooterChar">
    <w:name w:val="Footer Char"/>
    <w:basedOn w:val="DefaultParagraphFont"/>
    <w:link w:val="Footer"/>
    <w:uiPriority w:val="99"/>
    <w:rsid w:val="0058268F"/>
  </w:style>
  <w:style w:type="character" w:styleId="PageNumber">
    <w:name w:val="page number"/>
    <w:basedOn w:val="DefaultParagraphFont"/>
    <w:uiPriority w:val="99"/>
    <w:semiHidden/>
    <w:unhideWhenUsed/>
    <w:rsid w:val="0058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1539</Words>
  <Characters>8775</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2017-03-31T17:21:00Z</cp:lastPrinted>
  <dcterms:created xsi:type="dcterms:W3CDTF">2017-03-31T18:11:00Z</dcterms:created>
  <dcterms:modified xsi:type="dcterms:W3CDTF">2017-03-31T18:22:00Z</dcterms:modified>
</cp:coreProperties>
</file>