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A7EAA" w14:textId="77777777" w:rsidR="007C3017" w:rsidRPr="000A78B1" w:rsidRDefault="000A78B1">
      <w:pPr>
        <w:pStyle w:val="CourtName"/>
        <w:rPr>
          <w:rFonts w:ascii="Times New Roman" w:hAnsi="Times New Roman"/>
          <w:color w:val="0000FF"/>
          <w:szCs w:val="24"/>
        </w:rPr>
      </w:pPr>
      <w:r>
        <w:rPr>
          <w:rFonts w:ascii="Times New Roman" w:hAnsi="Times New Roman"/>
          <w:noProof/>
          <w:color w:val="0000FF"/>
          <w:szCs w:val="24"/>
        </w:rPr>
        <mc:AlternateContent>
          <mc:Choice Requires="wps">
            <w:drawing>
              <wp:anchor distT="0" distB="0" distL="114300" distR="114300" simplePos="0" relativeHeight="251657728" behindDoc="0" locked="0" layoutInCell="0" allowOverlap="1" wp14:anchorId="7D070C88" wp14:editId="384F38D0">
                <wp:simplePos x="0" y="0"/>
                <wp:positionH relativeFrom="margin">
                  <wp:posOffset>0</wp:posOffset>
                </wp:positionH>
                <wp:positionV relativeFrom="margin">
                  <wp:posOffset>9525</wp:posOffset>
                </wp:positionV>
                <wp:extent cx="6217920" cy="1448435"/>
                <wp:effectExtent l="0" t="0" r="5080" b="2476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44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30CF3" w14:textId="77777777" w:rsidR="007703D4" w:rsidRPr="00E530CF" w:rsidRDefault="007703D4">
                            <w:pPr>
                              <w:pStyle w:val="Address"/>
                              <w:rPr>
                                <w:rFonts w:ascii="Times New Roman" w:hAnsi="Times New Roman"/>
                                <w:b/>
                                <w:color w:val="000000"/>
                              </w:rPr>
                            </w:pPr>
                            <w:r>
                              <w:rPr>
                                <w:rFonts w:ascii="Times New Roman" w:hAnsi="Times New Roman"/>
                                <w:b/>
                                <w:color w:val="000000"/>
                              </w:rPr>
                              <w:t>DUMOND LAW, PLLC</w:t>
                            </w:r>
                          </w:p>
                          <w:p w14:paraId="5D949639" w14:textId="5B81C3B1" w:rsidR="007703D4" w:rsidRDefault="007703D4">
                            <w:pPr>
                              <w:pStyle w:val="Address"/>
                              <w:rPr>
                                <w:rFonts w:ascii="Times New Roman" w:hAnsi="Times New Roman"/>
                                <w:color w:val="000000"/>
                              </w:rPr>
                            </w:pPr>
                            <w:r>
                              <w:rPr>
                                <w:rFonts w:ascii="Times New Roman" w:hAnsi="Times New Roman"/>
                                <w:color w:val="000000"/>
                              </w:rPr>
                              <w:t>1006 W Adams Street, Suite 101</w:t>
                            </w:r>
                          </w:p>
                          <w:p w14:paraId="285401A5" w14:textId="77777777" w:rsidR="007703D4" w:rsidRPr="00E530CF" w:rsidRDefault="007703D4">
                            <w:pPr>
                              <w:pStyle w:val="Address"/>
                              <w:rPr>
                                <w:rFonts w:ascii="Times New Roman" w:hAnsi="Times New Roman"/>
                                <w:color w:val="000000"/>
                              </w:rPr>
                            </w:pPr>
                            <w:r>
                              <w:rPr>
                                <w:rFonts w:ascii="Times New Roman" w:hAnsi="Times New Roman"/>
                                <w:color w:val="000000"/>
                              </w:rPr>
                              <w:t>Phoenix, AZ 85007</w:t>
                            </w:r>
                          </w:p>
                          <w:p w14:paraId="39CFD0DD" w14:textId="77777777" w:rsidR="007703D4" w:rsidRPr="00E530CF" w:rsidRDefault="007703D4">
                            <w:pPr>
                              <w:pStyle w:val="Address"/>
                              <w:rPr>
                                <w:rFonts w:ascii="Times New Roman" w:hAnsi="Times New Roman"/>
                                <w:color w:val="000000"/>
                              </w:rPr>
                            </w:pPr>
                            <w:r>
                              <w:rPr>
                                <w:rFonts w:ascii="Times New Roman" w:hAnsi="Times New Roman"/>
                                <w:color w:val="000000"/>
                              </w:rPr>
                              <w:t>Phone: (602</w:t>
                            </w:r>
                            <w:r w:rsidRPr="00E530CF">
                              <w:rPr>
                                <w:rFonts w:ascii="Times New Roman" w:hAnsi="Times New Roman"/>
                                <w:color w:val="000000"/>
                              </w:rPr>
                              <w:t xml:space="preserve">) </w:t>
                            </w:r>
                            <w:r>
                              <w:rPr>
                                <w:rFonts w:ascii="Times New Roman" w:hAnsi="Times New Roman"/>
                                <w:color w:val="000000"/>
                              </w:rPr>
                              <w:t>803-4975</w:t>
                            </w:r>
                          </w:p>
                          <w:p w14:paraId="748C716B" w14:textId="77777777" w:rsidR="007703D4" w:rsidRPr="00E530CF" w:rsidRDefault="007703D4">
                            <w:pPr>
                              <w:pStyle w:val="Address"/>
                              <w:rPr>
                                <w:rFonts w:ascii="Times New Roman" w:hAnsi="Times New Roman"/>
                                <w:color w:val="000000"/>
                              </w:rPr>
                            </w:pPr>
                            <w:r w:rsidRPr="00E530CF">
                              <w:rPr>
                                <w:rFonts w:ascii="Times New Roman" w:hAnsi="Times New Roman"/>
                                <w:color w:val="000000"/>
                              </w:rPr>
                              <w:t>Fax (</w:t>
                            </w:r>
                            <w:r>
                              <w:rPr>
                                <w:rFonts w:ascii="Times New Roman" w:hAnsi="Times New Roman"/>
                                <w:color w:val="000000"/>
                              </w:rPr>
                              <w:t>602) 680-3330</w:t>
                            </w:r>
                          </w:p>
                          <w:p w14:paraId="557DE62A" w14:textId="215F16BC" w:rsidR="007703D4" w:rsidRDefault="007703D4">
                            <w:pPr>
                              <w:pStyle w:val="Address"/>
                              <w:rPr>
                                <w:rFonts w:ascii="Times New Roman" w:hAnsi="Times New Roman"/>
                                <w:b/>
                                <w:bCs/>
                              </w:rPr>
                            </w:pPr>
                            <w:r>
                              <w:rPr>
                                <w:rFonts w:ascii="Times New Roman" w:hAnsi="Times New Roman"/>
                                <w:b/>
                                <w:bCs/>
                              </w:rPr>
                              <w:t>Samantha K. DuMond</w:t>
                            </w:r>
                            <w:r w:rsidRPr="00E530CF">
                              <w:rPr>
                                <w:rFonts w:ascii="Times New Roman" w:hAnsi="Times New Roman"/>
                                <w:b/>
                                <w:bCs/>
                              </w:rPr>
                              <w:t xml:space="preserve"> </w:t>
                            </w:r>
                          </w:p>
                          <w:p w14:paraId="4AE80C7B" w14:textId="0BDEEA65" w:rsidR="007703D4" w:rsidRPr="00E530CF" w:rsidRDefault="007703D4">
                            <w:pPr>
                              <w:pStyle w:val="Address"/>
                              <w:rPr>
                                <w:rFonts w:ascii="Times New Roman" w:hAnsi="Times New Roman"/>
                                <w:b/>
                                <w:bCs/>
                              </w:rPr>
                            </w:pPr>
                            <w:r>
                              <w:rPr>
                                <w:rFonts w:ascii="Times New Roman" w:hAnsi="Times New Roman"/>
                                <w:b/>
                                <w:bCs/>
                              </w:rPr>
                              <w:t xml:space="preserve">PCC 90015 - </w:t>
                            </w:r>
                            <w:r w:rsidRPr="00E530CF">
                              <w:rPr>
                                <w:rFonts w:ascii="Times New Roman" w:hAnsi="Times New Roman"/>
                                <w:b/>
                                <w:bCs/>
                              </w:rPr>
                              <w:t xml:space="preserve">SBN </w:t>
                            </w:r>
                            <w:r>
                              <w:rPr>
                                <w:rFonts w:ascii="Times New Roman" w:hAnsi="Times New Roman"/>
                                <w:b/>
                                <w:bCs/>
                              </w:rPr>
                              <w:t>031072</w:t>
                            </w:r>
                          </w:p>
                          <w:p w14:paraId="4333B934" w14:textId="77777777" w:rsidR="007703D4" w:rsidRPr="0027011F" w:rsidRDefault="007703D4">
                            <w:pPr>
                              <w:pStyle w:val="Address"/>
                              <w:rPr>
                                <w:rFonts w:ascii="Times New Roman" w:hAnsi="Times New Roman"/>
                                <w:bCs/>
                              </w:rPr>
                            </w:pPr>
                            <w:r>
                              <w:rPr>
                                <w:rFonts w:ascii="Times New Roman" w:hAnsi="Times New Roman"/>
                                <w:bCs/>
                              </w:rPr>
                              <w:t>Samantha@DuMondLawAZ.com</w:t>
                            </w:r>
                          </w:p>
                          <w:p w14:paraId="3254D6A9" w14:textId="3F6B04D5" w:rsidR="007703D4" w:rsidRPr="009D474F" w:rsidRDefault="007703D4">
                            <w:pPr>
                              <w:pStyle w:val="Address"/>
                              <w:rPr>
                                <w:rFonts w:ascii="Times New Roman" w:hAnsi="Times New Roman"/>
                                <w:bCs/>
                              </w:rPr>
                            </w:pPr>
                            <w:r>
                              <w:rPr>
                                <w:rFonts w:ascii="Times New Roman" w:hAnsi="Times New Roman"/>
                                <w:bCs/>
                              </w:rPr>
                              <w:t>Attorney</w:t>
                            </w:r>
                            <w:r w:rsidRPr="00E530CF">
                              <w:rPr>
                                <w:rFonts w:ascii="Times New Roman" w:hAnsi="Times New Roman"/>
                                <w:bCs/>
                              </w:rPr>
                              <w:t xml:space="preserve"> for </w:t>
                            </w:r>
                            <w:r>
                              <w:rPr>
                                <w:rFonts w:ascii="Times New Roman" w:hAnsi="Times New Roman"/>
                                <w:bCs/>
                                <w:i/>
                              </w:rPr>
                              <w:t>Arizona Bail Bondsmen Association</w:t>
                            </w:r>
                          </w:p>
                          <w:p w14:paraId="7BBBD1E8" w14:textId="77777777" w:rsidR="007703D4" w:rsidRPr="00E546BD" w:rsidRDefault="007703D4">
                            <w:pPr>
                              <w:pStyle w:val="Address"/>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75pt;width:489.6pt;height:114.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" o:allowincell="f" filled="f" stroked="f">
                <v:textbox inset="0,0,0,0">
                  <w:txbxContent>
                    <w:p w14:paraId="2B830CF3" w14:textId="77777777" w:rsidR="007703D4" w:rsidRPr="00E530CF" w:rsidRDefault="007703D4">
                      <w:pPr>
                        <w:pStyle w:val="Address"/>
                        <w:rPr>
                          <w:rFonts w:ascii="Times New Roman" w:hAnsi="Times New Roman"/>
                          <w:b/>
                          <w:color w:val="000000"/>
                        </w:rPr>
                      </w:pPr>
                      <w:r>
                        <w:rPr>
                          <w:rFonts w:ascii="Times New Roman" w:hAnsi="Times New Roman"/>
                          <w:b/>
                          <w:color w:val="000000"/>
                        </w:rPr>
                        <w:t>DUMOND LAW, PLLC</w:t>
                      </w:r>
                    </w:p>
                    <w:p w14:paraId="5D949639" w14:textId="5B81C3B1" w:rsidR="007703D4" w:rsidRDefault="007703D4">
                      <w:pPr>
                        <w:pStyle w:val="Address"/>
                        <w:rPr>
                          <w:rFonts w:ascii="Times New Roman" w:hAnsi="Times New Roman"/>
                          <w:color w:val="000000"/>
                        </w:rPr>
                      </w:pPr>
                      <w:r>
                        <w:rPr>
                          <w:rFonts w:ascii="Times New Roman" w:hAnsi="Times New Roman"/>
                          <w:color w:val="000000"/>
                        </w:rPr>
                        <w:t>1006 W Adams Street, Suite 101</w:t>
                      </w:r>
                    </w:p>
                    <w:p w14:paraId="285401A5" w14:textId="77777777" w:rsidR="007703D4" w:rsidRPr="00E530CF" w:rsidRDefault="007703D4">
                      <w:pPr>
                        <w:pStyle w:val="Address"/>
                        <w:rPr>
                          <w:rFonts w:ascii="Times New Roman" w:hAnsi="Times New Roman"/>
                          <w:color w:val="000000"/>
                        </w:rPr>
                      </w:pPr>
                      <w:r>
                        <w:rPr>
                          <w:rFonts w:ascii="Times New Roman" w:hAnsi="Times New Roman"/>
                          <w:color w:val="000000"/>
                        </w:rPr>
                        <w:t>Phoenix, AZ 85007</w:t>
                      </w:r>
                    </w:p>
                    <w:p w14:paraId="39CFD0DD" w14:textId="77777777" w:rsidR="007703D4" w:rsidRPr="00E530CF" w:rsidRDefault="007703D4">
                      <w:pPr>
                        <w:pStyle w:val="Address"/>
                        <w:rPr>
                          <w:rFonts w:ascii="Times New Roman" w:hAnsi="Times New Roman"/>
                          <w:color w:val="000000"/>
                        </w:rPr>
                      </w:pPr>
                      <w:r>
                        <w:rPr>
                          <w:rFonts w:ascii="Times New Roman" w:hAnsi="Times New Roman"/>
                          <w:color w:val="000000"/>
                        </w:rPr>
                        <w:t>Phone: (602</w:t>
                      </w:r>
                      <w:r w:rsidRPr="00E530CF">
                        <w:rPr>
                          <w:rFonts w:ascii="Times New Roman" w:hAnsi="Times New Roman"/>
                          <w:color w:val="000000"/>
                        </w:rPr>
                        <w:t xml:space="preserve">) </w:t>
                      </w:r>
                      <w:r>
                        <w:rPr>
                          <w:rFonts w:ascii="Times New Roman" w:hAnsi="Times New Roman"/>
                          <w:color w:val="000000"/>
                        </w:rPr>
                        <w:t>803-4975</w:t>
                      </w:r>
                    </w:p>
                    <w:p w14:paraId="748C716B" w14:textId="77777777" w:rsidR="007703D4" w:rsidRPr="00E530CF" w:rsidRDefault="007703D4">
                      <w:pPr>
                        <w:pStyle w:val="Address"/>
                        <w:rPr>
                          <w:rFonts w:ascii="Times New Roman" w:hAnsi="Times New Roman"/>
                          <w:color w:val="000000"/>
                        </w:rPr>
                      </w:pPr>
                      <w:r w:rsidRPr="00E530CF">
                        <w:rPr>
                          <w:rFonts w:ascii="Times New Roman" w:hAnsi="Times New Roman"/>
                          <w:color w:val="000000"/>
                        </w:rPr>
                        <w:t>Fax (</w:t>
                      </w:r>
                      <w:r>
                        <w:rPr>
                          <w:rFonts w:ascii="Times New Roman" w:hAnsi="Times New Roman"/>
                          <w:color w:val="000000"/>
                        </w:rPr>
                        <w:t>602) 680-3330</w:t>
                      </w:r>
                    </w:p>
                    <w:p w14:paraId="557DE62A" w14:textId="215F16BC" w:rsidR="007703D4" w:rsidRDefault="007703D4">
                      <w:pPr>
                        <w:pStyle w:val="Address"/>
                        <w:rPr>
                          <w:rFonts w:ascii="Times New Roman" w:hAnsi="Times New Roman"/>
                          <w:b/>
                          <w:bCs/>
                        </w:rPr>
                      </w:pPr>
                      <w:r>
                        <w:rPr>
                          <w:rFonts w:ascii="Times New Roman" w:hAnsi="Times New Roman"/>
                          <w:b/>
                          <w:bCs/>
                        </w:rPr>
                        <w:t>Samantha K. DuMond</w:t>
                      </w:r>
                      <w:r w:rsidRPr="00E530CF">
                        <w:rPr>
                          <w:rFonts w:ascii="Times New Roman" w:hAnsi="Times New Roman"/>
                          <w:b/>
                          <w:bCs/>
                        </w:rPr>
                        <w:t xml:space="preserve"> </w:t>
                      </w:r>
                    </w:p>
                    <w:p w14:paraId="4AE80C7B" w14:textId="0BDEEA65" w:rsidR="007703D4" w:rsidRPr="00E530CF" w:rsidRDefault="007703D4">
                      <w:pPr>
                        <w:pStyle w:val="Address"/>
                        <w:rPr>
                          <w:rFonts w:ascii="Times New Roman" w:hAnsi="Times New Roman"/>
                          <w:b/>
                          <w:bCs/>
                        </w:rPr>
                      </w:pPr>
                      <w:r>
                        <w:rPr>
                          <w:rFonts w:ascii="Times New Roman" w:hAnsi="Times New Roman"/>
                          <w:b/>
                          <w:bCs/>
                        </w:rPr>
                        <w:t xml:space="preserve">PCC 90015 - </w:t>
                      </w:r>
                      <w:r w:rsidRPr="00E530CF">
                        <w:rPr>
                          <w:rFonts w:ascii="Times New Roman" w:hAnsi="Times New Roman"/>
                          <w:b/>
                          <w:bCs/>
                        </w:rPr>
                        <w:t xml:space="preserve">SBN </w:t>
                      </w:r>
                      <w:r>
                        <w:rPr>
                          <w:rFonts w:ascii="Times New Roman" w:hAnsi="Times New Roman"/>
                          <w:b/>
                          <w:bCs/>
                        </w:rPr>
                        <w:t>031072</w:t>
                      </w:r>
                    </w:p>
                    <w:p w14:paraId="4333B934" w14:textId="77777777" w:rsidR="007703D4" w:rsidRPr="0027011F" w:rsidRDefault="007703D4">
                      <w:pPr>
                        <w:pStyle w:val="Address"/>
                        <w:rPr>
                          <w:rFonts w:ascii="Times New Roman" w:hAnsi="Times New Roman"/>
                          <w:bCs/>
                        </w:rPr>
                      </w:pPr>
                      <w:r>
                        <w:rPr>
                          <w:rFonts w:ascii="Times New Roman" w:hAnsi="Times New Roman"/>
                          <w:bCs/>
                        </w:rPr>
                        <w:t>Samantha@DuMondLawAZ.com</w:t>
                      </w:r>
                    </w:p>
                    <w:p w14:paraId="3254D6A9" w14:textId="3F6B04D5" w:rsidR="007703D4" w:rsidRPr="009D474F" w:rsidRDefault="007703D4">
                      <w:pPr>
                        <w:pStyle w:val="Address"/>
                        <w:rPr>
                          <w:rFonts w:ascii="Times New Roman" w:hAnsi="Times New Roman"/>
                          <w:bCs/>
                        </w:rPr>
                      </w:pPr>
                      <w:r>
                        <w:rPr>
                          <w:rFonts w:ascii="Times New Roman" w:hAnsi="Times New Roman"/>
                          <w:bCs/>
                        </w:rPr>
                        <w:t>Attorney</w:t>
                      </w:r>
                      <w:r w:rsidRPr="00E530CF">
                        <w:rPr>
                          <w:rFonts w:ascii="Times New Roman" w:hAnsi="Times New Roman"/>
                          <w:bCs/>
                        </w:rPr>
                        <w:t xml:space="preserve"> for </w:t>
                      </w:r>
                      <w:r>
                        <w:rPr>
                          <w:rFonts w:ascii="Times New Roman" w:hAnsi="Times New Roman"/>
                          <w:bCs/>
                          <w:i/>
                        </w:rPr>
                        <w:t>Arizona Bail Bondsmen Association</w:t>
                      </w:r>
                    </w:p>
                    <w:p w14:paraId="7BBBD1E8" w14:textId="77777777" w:rsidR="007703D4" w:rsidRPr="00E546BD" w:rsidRDefault="007703D4">
                      <w:pPr>
                        <w:pStyle w:val="Address"/>
                        <w:rPr>
                          <w:bCs/>
                        </w:rPr>
                      </w:pPr>
                    </w:p>
                  </w:txbxContent>
                </v:textbox>
                <w10:wrap anchorx="margin" anchory="margin"/>
              </v:rect>
            </w:pict>
          </mc:Fallback>
        </mc:AlternateContent>
      </w:r>
    </w:p>
    <w:p w14:paraId="2E7A21B1" w14:textId="77777777" w:rsidR="007C3017" w:rsidRPr="000A78B1" w:rsidRDefault="007C3017">
      <w:pPr>
        <w:pStyle w:val="CourtName"/>
        <w:rPr>
          <w:rFonts w:ascii="Times New Roman" w:hAnsi="Times New Roman"/>
          <w:color w:val="0000FF"/>
          <w:szCs w:val="24"/>
        </w:rPr>
      </w:pPr>
    </w:p>
    <w:p w14:paraId="1E6B464A" w14:textId="77777777" w:rsidR="007C3017" w:rsidRPr="000A78B1" w:rsidRDefault="007C3017">
      <w:pPr>
        <w:pStyle w:val="CourtName"/>
        <w:rPr>
          <w:rFonts w:ascii="Times New Roman" w:hAnsi="Times New Roman"/>
          <w:color w:val="0000FF"/>
          <w:szCs w:val="24"/>
        </w:rPr>
      </w:pPr>
    </w:p>
    <w:p w14:paraId="14744733" w14:textId="77777777" w:rsidR="007C3017" w:rsidRPr="000A78B1" w:rsidRDefault="007C3017" w:rsidP="0042507C">
      <w:pPr>
        <w:pStyle w:val="CourtName"/>
        <w:jc w:val="left"/>
        <w:rPr>
          <w:rFonts w:ascii="Times New Roman" w:hAnsi="Times New Roman"/>
          <w:color w:val="0000FF"/>
          <w:szCs w:val="24"/>
        </w:rPr>
      </w:pPr>
    </w:p>
    <w:p w14:paraId="450A422A" w14:textId="77777777" w:rsidR="007D145C" w:rsidRDefault="007D145C" w:rsidP="007D145C">
      <w:pPr>
        <w:pStyle w:val="CourtName"/>
        <w:spacing w:line="240" w:lineRule="auto"/>
        <w:rPr>
          <w:rFonts w:ascii="Times New Roman" w:hAnsi="Times New Roman"/>
          <w:b/>
          <w:color w:val="000000"/>
          <w:szCs w:val="24"/>
        </w:rPr>
      </w:pPr>
    </w:p>
    <w:p w14:paraId="7BE0E5C5" w14:textId="77777777" w:rsidR="00B15983" w:rsidRDefault="00B15983" w:rsidP="007D145C">
      <w:pPr>
        <w:pStyle w:val="CourtName"/>
        <w:spacing w:line="240" w:lineRule="auto"/>
        <w:rPr>
          <w:rFonts w:ascii="Times New Roman" w:hAnsi="Times New Roman"/>
          <w:b/>
          <w:color w:val="000000"/>
          <w:szCs w:val="24"/>
        </w:rPr>
      </w:pPr>
    </w:p>
    <w:p w14:paraId="0D0EA6C7" w14:textId="7FC8EAAF" w:rsidR="00EF6A64" w:rsidRDefault="007703D4" w:rsidP="00EF6A64">
      <w:pPr>
        <w:pStyle w:val="CourtName"/>
        <w:spacing w:line="240" w:lineRule="auto"/>
        <w:rPr>
          <w:rFonts w:ascii="Times New Roman" w:hAnsi="Times New Roman"/>
          <w:b/>
          <w:color w:val="000000"/>
          <w:szCs w:val="24"/>
        </w:rPr>
      </w:pPr>
      <w:r>
        <w:rPr>
          <w:rFonts w:ascii="Times New Roman" w:hAnsi="Times New Roman"/>
          <w:b/>
          <w:color w:val="000000"/>
          <w:szCs w:val="24"/>
        </w:rPr>
        <w:t>IN THE</w:t>
      </w:r>
      <w:r w:rsidR="00581065">
        <w:rPr>
          <w:rFonts w:ascii="Times New Roman" w:hAnsi="Times New Roman"/>
          <w:b/>
          <w:color w:val="000000"/>
          <w:szCs w:val="24"/>
        </w:rPr>
        <w:t xml:space="preserve"> SUPREME COURT</w:t>
      </w:r>
    </w:p>
    <w:p w14:paraId="59E045D1" w14:textId="0BE341B7" w:rsidR="007703D4" w:rsidRPr="000A78B1" w:rsidRDefault="007703D4" w:rsidP="00EF6A64">
      <w:pPr>
        <w:pStyle w:val="CourtName"/>
        <w:spacing w:line="240" w:lineRule="auto"/>
        <w:rPr>
          <w:rFonts w:ascii="Times New Roman" w:hAnsi="Times New Roman"/>
          <w:color w:val="000000"/>
          <w:szCs w:val="24"/>
        </w:rPr>
      </w:pPr>
      <w:r>
        <w:rPr>
          <w:rFonts w:ascii="Times New Roman" w:hAnsi="Times New Roman"/>
          <w:b/>
          <w:color w:val="000000"/>
          <w:szCs w:val="24"/>
        </w:rPr>
        <w:t>STATE OF ARIZONA</w:t>
      </w:r>
    </w:p>
    <w:p w14:paraId="55CA9F75" w14:textId="77777777" w:rsidR="007C3017" w:rsidRPr="000A78B1" w:rsidRDefault="007C3017">
      <w:pPr>
        <w:rPr>
          <w:rFonts w:ascii="Times New Roman" w:hAnsi="Times New Roman"/>
          <w:color w:val="000000"/>
          <w:szCs w:val="24"/>
        </w:rPr>
      </w:pPr>
    </w:p>
    <w:tbl>
      <w:tblPr>
        <w:tblW w:w="9795" w:type="dxa"/>
        <w:tblInd w:w="8" w:type="dxa"/>
        <w:tblLayout w:type="fixed"/>
        <w:tblCellMar>
          <w:left w:w="0" w:type="dxa"/>
          <w:right w:w="0" w:type="dxa"/>
        </w:tblCellMar>
        <w:tblLook w:val="0000" w:firstRow="0" w:lastRow="0" w:firstColumn="0" w:lastColumn="0" w:noHBand="0" w:noVBand="0"/>
      </w:tblPr>
      <w:tblGrid>
        <w:gridCol w:w="4809"/>
        <w:gridCol w:w="223"/>
        <w:gridCol w:w="4763"/>
      </w:tblGrid>
      <w:tr w:rsidR="007C3017" w:rsidRPr="000A78B1" w14:paraId="7A3E505F" w14:textId="77777777" w:rsidTr="004050C1">
        <w:tc>
          <w:tcPr>
            <w:tcW w:w="4809" w:type="dxa"/>
            <w:tcBorders>
              <w:bottom w:val="single" w:sz="6" w:space="0" w:color="auto"/>
              <w:right w:val="single" w:sz="4" w:space="0" w:color="auto"/>
            </w:tcBorders>
          </w:tcPr>
          <w:p w14:paraId="6FDDB54E" w14:textId="77777777" w:rsidR="00581065" w:rsidRDefault="00581065" w:rsidP="00581065">
            <w:pPr>
              <w:tabs>
                <w:tab w:val="left" w:pos="2160"/>
              </w:tabs>
              <w:spacing w:line="240" w:lineRule="auto"/>
              <w:rPr>
                <w:rFonts w:ascii="Times New Roman" w:hAnsi="Times New Roman"/>
                <w:color w:val="000000"/>
                <w:szCs w:val="24"/>
              </w:rPr>
            </w:pPr>
          </w:p>
          <w:p w14:paraId="278165A0" w14:textId="77777777" w:rsidR="00581065" w:rsidRDefault="00581065" w:rsidP="00581065">
            <w:pPr>
              <w:tabs>
                <w:tab w:val="left" w:pos="2160"/>
              </w:tabs>
              <w:spacing w:line="240" w:lineRule="auto"/>
              <w:rPr>
                <w:rFonts w:ascii="Times New Roman" w:hAnsi="Times New Roman"/>
                <w:color w:val="000000"/>
                <w:szCs w:val="24"/>
              </w:rPr>
            </w:pPr>
          </w:p>
          <w:p w14:paraId="5CFCEFBA" w14:textId="679F932B" w:rsidR="007C3017" w:rsidRPr="00581065" w:rsidRDefault="00581065" w:rsidP="00581065">
            <w:pPr>
              <w:tabs>
                <w:tab w:val="left" w:pos="2160"/>
              </w:tabs>
              <w:spacing w:line="240" w:lineRule="auto"/>
              <w:rPr>
                <w:rFonts w:ascii="Times New Roman" w:hAnsi="Times New Roman"/>
                <w:b/>
                <w:color w:val="000000"/>
                <w:szCs w:val="24"/>
              </w:rPr>
            </w:pPr>
            <w:r w:rsidRPr="00581065">
              <w:rPr>
                <w:rFonts w:ascii="Times New Roman" w:hAnsi="Times New Roman"/>
                <w:b/>
                <w:color w:val="000000"/>
                <w:szCs w:val="24"/>
              </w:rPr>
              <w:t>IN RE: PETITION TO AMEND THE ARIZONA RULES OF CRIMINAL PROCEDURE</w:t>
            </w:r>
          </w:p>
          <w:p w14:paraId="6E859240" w14:textId="77777777" w:rsidR="00E546BD" w:rsidRPr="000A78B1" w:rsidRDefault="00E546BD">
            <w:pPr>
              <w:tabs>
                <w:tab w:val="left" w:pos="2160"/>
              </w:tabs>
              <w:rPr>
                <w:rFonts w:ascii="Times New Roman" w:hAnsi="Times New Roman"/>
                <w:color w:val="000000"/>
                <w:szCs w:val="24"/>
              </w:rPr>
            </w:pPr>
          </w:p>
        </w:tc>
        <w:tc>
          <w:tcPr>
            <w:tcW w:w="223" w:type="dxa"/>
            <w:tcBorders>
              <w:left w:val="single" w:sz="4" w:space="0" w:color="auto"/>
            </w:tcBorders>
          </w:tcPr>
          <w:p w14:paraId="15489FBB" w14:textId="77777777" w:rsidR="007C3017" w:rsidRPr="000A78B1" w:rsidRDefault="007C3017">
            <w:pPr>
              <w:pStyle w:val="SingleSpacing"/>
              <w:rPr>
                <w:rFonts w:ascii="Times New Roman" w:hAnsi="Times New Roman"/>
                <w:color w:val="000000"/>
                <w:szCs w:val="24"/>
              </w:rPr>
            </w:pPr>
          </w:p>
          <w:p w14:paraId="6146C425" w14:textId="550B94BE" w:rsidR="00E546BD" w:rsidRPr="000A78B1" w:rsidRDefault="00E546BD">
            <w:pPr>
              <w:pStyle w:val="SingleSpacing"/>
              <w:rPr>
                <w:rFonts w:ascii="Times New Roman" w:hAnsi="Times New Roman"/>
                <w:color w:val="000000"/>
                <w:szCs w:val="24"/>
              </w:rPr>
            </w:pPr>
          </w:p>
        </w:tc>
        <w:tc>
          <w:tcPr>
            <w:tcW w:w="4763" w:type="dxa"/>
          </w:tcPr>
          <w:p w14:paraId="147B9CDD" w14:textId="3E0AC2B1" w:rsidR="00EF6A64" w:rsidRDefault="00581065">
            <w:pPr>
              <w:rPr>
                <w:rFonts w:ascii="Times New Roman" w:hAnsi="Times New Roman"/>
                <w:color w:val="000000"/>
                <w:szCs w:val="24"/>
              </w:rPr>
            </w:pPr>
            <w:r>
              <w:rPr>
                <w:rFonts w:ascii="Times New Roman" w:hAnsi="Times New Roman"/>
                <w:color w:val="000000"/>
                <w:szCs w:val="24"/>
              </w:rPr>
              <w:t>R-17-0002</w:t>
            </w:r>
          </w:p>
          <w:p w14:paraId="3DDBDBA4" w14:textId="77777777" w:rsidR="00581065" w:rsidRPr="00581065" w:rsidRDefault="00581065">
            <w:pPr>
              <w:rPr>
                <w:rFonts w:ascii="Times New Roman" w:hAnsi="Times New Roman"/>
                <w:szCs w:val="24"/>
              </w:rPr>
            </w:pPr>
          </w:p>
          <w:p w14:paraId="437DF2B7" w14:textId="268C9277" w:rsidR="007C3017" w:rsidRPr="00581065" w:rsidRDefault="00581065">
            <w:pPr>
              <w:pStyle w:val="SingleSpacing"/>
              <w:rPr>
                <w:rFonts w:ascii="Times New Roman" w:hAnsi="Times New Roman"/>
                <w:szCs w:val="24"/>
              </w:rPr>
            </w:pPr>
            <w:r w:rsidRPr="00581065">
              <w:rPr>
                <w:rFonts w:ascii="Times New Roman" w:hAnsi="Times New Roman"/>
                <w:szCs w:val="24"/>
              </w:rPr>
              <w:t>ARIZONA BAIL BONDSMEN ASSOCIATION’S RESPONSE TO PETITION TO AMEND THE RULES OF CRIMINAL PROCEDURE</w:t>
            </w:r>
          </w:p>
          <w:p w14:paraId="67F4510D" w14:textId="77777777" w:rsidR="00DD20D0" w:rsidRDefault="00DD20D0">
            <w:pPr>
              <w:pStyle w:val="SingleSpacing"/>
              <w:rPr>
                <w:rFonts w:ascii="Times New Roman" w:hAnsi="Times New Roman"/>
                <w:szCs w:val="24"/>
              </w:rPr>
            </w:pPr>
          </w:p>
          <w:p w14:paraId="51D52D79" w14:textId="0B8FE665" w:rsidR="00773B9C" w:rsidRPr="000A78B1" w:rsidRDefault="00773B9C" w:rsidP="00001231">
            <w:pPr>
              <w:pStyle w:val="SingleSpacing"/>
              <w:rPr>
                <w:rFonts w:ascii="Times New Roman" w:hAnsi="Times New Roman"/>
                <w:color w:val="000000"/>
                <w:szCs w:val="24"/>
              </w:rPr>
            </w:pPr>
          </w:p>
        </w:tc>
      </w:tr>
    </w:tbl>
    <w:p w14:paraId="439E4F69" w14:textId="350E79A4" w:rsidR="000A78B1" w:rsidRPr="000A78B1" w:rsidRDefault="000A78B1" w:rsidP="000A78B1">
      <w:pPr>
        <w:pStyle w:val="DoubleSpacing"/>
        <w:rPr>
          <w:rFonts w:ascii="Times New Roman" w:hAnsi="Times New Roman"/>
          <w:szCs w:val="24"/>
        </w:rPr>
      </w:pPr>
    </w:p>
    <w:p w14:paraId="6BE19A0B" w14:textId="5DA075F4" w:rsidR="00DD20D0" w:rsidRPr="00273BD0" w:rsidRDefault="00581065" w:rsidP="009D474F">
      <w:pPr>
        <w:pStyle w:val="SingleSpacing"/>
        <w:spacing w:line="480" w:lineRule="auto"/>
        <w:ind w:firstLine="720"/>
        <w:jc w:val="both"/>
        <w:rPr>
          <w:rFonts w:ascii="Times New Roman" w:hAnsi="Times New Roman"/>
          <w:szCs w:val="24"/>
        </w:rPr>
      </w:pPr>
      <w:r w:rsidRPr="00273BD0">
        <w:rPr>
          <w:rFonts w:ascii="Times New Roman" w:hAnsi="Times New Roman"/>
          <w:szCs w:val="24"/>
        </w:rPr>
        <w:t xml:space="preserve">The Arizona Bail Bondsmen Association, through undersigned counsel, hereby responds to the Petition to Amend the Rules of Criminal Procedure and asks this Court to modify the proposed changed as discussed below.  </w:t>
      </w:r>
    </w:p>
    <w:p w14:paraId="6FD9F119" w14:textId="0CBB21A1" w:rsidR="00581065" w:rsidRPr="00273BD0" w:rsidRDefault="00581065" w:rsidP="009D474F">
      <w:pPr>
        <w:pStyle w:val="SingleSpacing"/>
        <w:spacing w:line="480" w:lineRule="auto"/>
        <w:ind w:firstLine="720"/>
        <w:jc w:val="both"/>
        <w:rPr>
          <w:rFonts w:ascii="Times New Roman" w:hAnsi="Times New Roman"/>
          <w:b/>
          <w:szCs w:val="24"/>
          <w:u w:val="single"/>
        </w:rPr>
      </w:pPr>
      <w:r w:rsidRPr="00273BD0">
        <w:rPr>
          <w:rFonts w:ascii="Times New Roman" w:hAnsi="Times New Roman"/>
          <w:b/>
          <w:szCs w:val="24"/>
          <w:u w:val="single"/>
        </w:rPr>
        <w:t>Rule 7</w:t>
      </w:r>
      <w:r w:rsidR="008C5CFF" w:rsidRPr="00273BD0">
        <w:rPr>
          <w:rFonts w:ascii="Times New Roman" w:hAnsi="Times New Roman"/>
          <w:b/>
          <w:szCs w:val="24"/>
          <w:u w:val="single"/>
        </w:rPr>
        <w:t>.1</w:t>
      </w:r>
    </w:p>
    <w:p w14:paraId="7796C881" w14:textId="16A31967" w:rsidR="008C5CFF" w:rsidRPr="00273BD0" w:rsidRDefault="008C5CFF" w:rsidP="007703D4">
      <w:pPr>
        <w:pStyle w:val="SingleSpacing"/>
        <w:spacing w:line="480" w:lineRule="auto"/>
        <w:ind w:firstLine="720"/>
        <w:jc w:val="both"/>
        <w:rPr>
          <w:rFonts w:ascii="Times New Roman" w:hAnsi="Times New Roman"/>
          <w:szCs w:val="24"/>
        </w:rPr>
      </w:pPr>
      <w:r w:rsidRPr="00273BD0">
        <w:rPr>
          <w:rFonts w:ascii="Times New Roman" w:hAnsi="Times New Roman"/>
          <w:szCs w:val="24"/>
        </w:rPr>
        <w:t>The definition of an appearance bond should be modified to read as follows:</w:t>
      </w:r>
    </w:p>
    <w:p w14:paraId="325EBD74" w14:textId="77777777" w:rsidR="008C5CFF" w:rsidRPr="00273BD0" w:rsidRDefault="008C5CFF" w:rsidP="007703D4">
      <w:pPr>
        <w:spacing w:line="240" w:lineRule="auto"/>
        <w:ind w:left="360"/>
        <w:jc w:val="both"/>
        <w:rPr>
          <w:rFonts w:ascii="Times New Roman" w:eastAsia="Calibri" w:hAnsi="Times New Roman"/>
          <w:szCs w:val="24"/>
        </w:rPr>
      </w:pPr>
      <w:r w:rsidRPr="00273BD0">
        <w:rPr>
          <w:rFonts w:ascii="Times New Roman" w:eastAsia="Calibri" w:hAnsi="Times New Roman"/>
          <w:b/>
          <w:szCs w:val="24"/>
        </w:rPr>
        <w:t>Appearance Bond.</w:t>
      </w:r>
      <w:r w:rsidRPr="00273BD0">
        <w:rPr>
          <w:rFonts w:ascii="Times New Roman" w:eastAsia="Calibri" w:hAnsi="Times New Roman"/>
          <w:szCs w:val="24"/>
        </w:rPr>
        <w:t xml:space="preserve">  An “appearance bond” is a written promise by a defendant or by a third party to pay to the clerk a specified sum of money if the defendant fails to appear at a court proceeding </w:t>
      </w:r>
      <w:r w:rsidRPr="00273BD0">
        <w:rPr>
          <w:rFonts w:ascii="Times New Roman" w:eastAsia="Calibri" w:hAnsi="Times New Roman"/>
          <w:strike/>
          <w:szCs w:val="24"/>
        </w:rPr>
        <w:t>or to comply with the conditions of release</w:t>
      </w:r>
      <w:r w:rsidRPr="00273BD0">
        <w:rPr>
          <w:rFonts w:ascii="Times New Roman" w:eastAsia="Calibri" w:hAnsi="Times New Roman"/>
          <w:szCs w:val="24"/>
        </w:rPr>
        <w:t>. An appearance bond can be secured or unsecured. A secured appearance bond is secured by a deposit with the clerk of security equal to the full amount of the bond.</w:t>
      </w:r>
    </w:p>
    <w:p w14:paraId="0A123653" w14:textId="77777777" w:rsidR="008C5CFF" w:rsidRPr="00273BD0" w:rsidRDefault="008C5CFF" w:rsidP="007703D4">
      <w:pPr>
        <w:spacing w:line="254" w:lineRule="auto"/>
        <w:ind w:left="360"/>
        <w:jc w:val="both"/>
        <w:rPr>
          <w:rFonts w:ascii="Times New Roman" w:eastAsia="Calibri" w:hAnsi="Times New Roman"/>
          <w:b/>
          <w:szCs w:val="24"/>
        </w:rPr>
      </w:pPr>
    </w:p>
    <w:p w14:paraId="3D745146" w14:textId="47537A4B" w:rsidR="008C5CFF" w:rsidRPr="00273BD0" w:rsidRDefault="008C5CFF" w:rsidP="007703D4">
      <w:pPr>
        <w:spacing w:line="480" w:lineRule="auto"/>
        <w:ind w:firstLine="360"/>
        <w:jc w:val="both"/>
        <w:rPr>
          <w:rFonts w:ascii="Times New Roman" w:eastAsia="Calibri" w:hAnsi="Times New Roman"/>
          <w:szCs w:val="24"/>
        </w:rPr>
      </w:pPr>
      <w:r w:rsidRPr="00273BD0">
        <w:rPr>
          <w:rFonts w:ascii="Times New Roman" w:eastAsia="Calibri" w:hAnsi="Times New Roman"/>
          <w:szCs w:val="24"/>
        </w:rPr>
        <w:t xml:space="preserve">There may be confusion in the definition as the term being defined “appearance bond” already indicates a definition related to appearance.  Including conditions of release will confuse Defendants and the general public about what type of promise to pay they are </w:t>
      </w:r>
      <w:r w:rsidR="00D13191" w:rsidRPr="00273BD0">
        <w:rPr>
          <w:rFonts w:ascii="Times New Roman" w:eastAsia="Calibri" w:hAnsi="Times New Roman"/>
          <w:szCs w:val="24"/>
        </w:rPr>
        <w:t xml:space="preserve">making to the Court.   Switching to </w:t>
      </w:r>
      <w:r w:rsidR="00D13191" w:rsidRPr="00273BD0">
        <w:rPr>
          <w:rFonts w:ascii="Times New Roman" w:eastAsia="Calibri" w:hAnsi="Times New Roman"/>
          <w:szCs w:val="24"/>
        </w:rPr>
        <w:lastRenderedPageBreak/>
        <w:t>a performance based bond definition as the definition of an appearance bond is confusing in and of itself.  The phrase “or to comply with the conditions of release” can be removed.  The Court is still free to revoke the Defendant</w:t>
      </w:r>
      <w:r w:rsidR="007703D4">
        <w:rPr>
          <w:rFonts w:ascii="Times New Roman" w:eastAsia="Calibri" w:hAnsi="Times New Roman"/>
          <w:szCs w:val="24"/>
        </w:rPr>
        <w:t>’</w:t>
      </w:r>
      <w:r w:rsidR="00D13191" w:rsidRPr="00273BD0">
        <w:rPr>
          <w:rFonts w:ascii="Times New Roman" w:eastAsia="Calibri" w:hAnsi="Times New Roman"/>
          <w:szCs w:val="24"/>
        </w:rPr>
        <w:t xml:space="preserve">s release conditions for violating a condition of release but the Defendant or third-party would not be liable to pay the sum of money promised if that was to occur.  </w:t>
      </w:r>
    </w:p>
    <w:p w14:paraId="75A748D5" w14:textId="2DA21109" w:rsidR="008C5CFF" w:rsidRPr="00273BD0" w:rsidRDefault="00BA4CCC" w:rsidP="007703D4">
      <w:pPr>
        <w:pStyle w:val="SingleSpacing"/>
        <w:spacing w:line="480" w:lineRule="auto"/>
        <w:ind w:firstLine="720"/>
        <w:jc w:val="both"/>
        <w:rPr>
          <w:rFonts w:ascii="Times New Roman" w:hAnsi="Times New Roman"/>
          <w:szCs w:val="24"/>
        </w:rPr>
      </w:pPr>
      <w:r w:rsidRPr="00273BD0">
        <w:rPr>
          <w:rFonts w:ascii="Times New Roman" w:hAnsi="Times New Roman"/>
          <w:szCs w:val="24"/>
        </w:rPr>
        <w:t xml:space="preserve">The definition of Security under 7.1(a) should be modified to read as follows: </w:t>
      </w:r>
    </w:p>
    <w:p w14:paraId="416F9F5D" w14:textId="488504F0" w:rsidR="00BA4CCC" w:rsidRPr="00273BD0" w:rsidRDefault="00BA4CCC" w:rsidP="007703D4">
      <w:pPr>
        <w:spacing w:line="240" w:lineRule="auto"/>
        <w:ind w:left="360"/>
        <w:jc w:val="both"/>
        <w:rPr>
          <w:rFonts w:ascii="Times New Roman" w:eastAsia="Calibri" w:hAnsi="Times New Roman"/>
          <w:szCs w:val="24"/>
        </w:rPr>
      </w:pPr>
      <w:r w:rsidRPr="00273BD0">
        <w:rPr>
          <w:rFonts w:ascii="Times New Roman" w:eastAsia="Calibri" w:hAnsi="Times New Roman"/>
          <w:b/>
          <w:szCs w:val="24"/>
        </w:rPr>
        <w:t xml:space="preserve">Security.  </w:t>
      </w:r>
      <w:r w:rsidRPr="00273BD0">
        <w:rPr>
          <w:rFonts w:ascii="Times New Roman" w:eastAsia="Calibri" w:hAnsi="Times New Roman"/>
          <w:szCs w:val="24"/>
        </w:rPr>
        <w:t xml:space="preserve">“Security” is cash, a surety’s undertaking, or any </w:t>
      </w:r>
      <w:r w:rsidRPr="00273BD0">
        <w:rPr>
          <w:rFonts w:ascii="Times New Roman" w:eastAsia="Calibri" w:hAnsi="Times New Roman"/>
          <w:szCs w:val="24"/>
          <w:u w:val="single"/>
        </w:rPr>
        <w:t>real</w:t>
      </w:r>
      <w:r w:rsidRPr="00273BD0">
        <w:rPr>
          <w:rFonts w:ascii="Times New Roman" w:eastAsia="Calibri" w:hAnsi="Times New Roman"/>
          <w:szCs w:val="24"/>
        </w:rPr>
        <w:t xml:space="preserve"> property of value, deposited with the clerk to secure an appearance bond. The value of that property is determined by the clerk or, at the clerk’s or a party’s request, by a magistrate.</w:t>
      </w:r>
    </w:p>
    <w:p w14:paraId="321B37B1" w14:textId="77777777" w:rsidR="00BA4CCC" w:rsidRPr="00273BD0" w:rsidRDefault="00BA4CCC" w:rsidP="007703D4">
      <w:pPr>
        <w:spacing w:line="480" w:lineRule="auto"/>
        <w:ind w:left="360"/>
        <w:jc w:val="both"/>
        <w:rPr>
          <w:rFonts w:ascii="Times New Roman" w:hAnsi="Times New Roman"/>
          <w:szCs w:val="24"/>
        </w:rPr>
      </w:pPr>
    </w:p>
    <w:p w14:paraId="7BFDB0B5" w14:textId="24AEDB33" w:rsidR="00273BD0" w:rsidRPr="00273BD0" w:rsidRDefault="00BA4CCC" w:rsidP="007703D4">
      <w:pPr>
        <w:spacing w:line="480" w:lineRule="auto"/>
        <w:ind w:firstLine="360"/>
        <w:jc w:val="both"/>
        <w:rPr>
          <w:rFonts w:ascii="Times New Roman" w:hAnsi="Times New Roman"/>
          <w:szCs w:val="24"/>
        </w:rPr>
      </w:pPr>
      <w:r w:rsidRPr="00273BD0">
        <w:rPr>
          <w:rFonts w:ascii="Times New Roman" w:hAnsi="Times New Roman"/>
          <w:szCs w:val="24"/>
        </w:rPr>
        <w:t xml:space="preserve">The addition of the word “real” in relation to property will prevent the </w:t>
      </w:r>
      <w:r w:rsidR="002307CC" w:rsidRPr="00273BD0">
        <w:rPr>
          <w:rFonts w:ascii="Times New Roman" w:hAnsi="Times New Roman"/>
          <w:szCs w:val="24"/>
        </w:rPr>
        <w:t xml:space="preserve">Court from becoming a pawn shop.  Arizona’s bail system is collateral based and required for any bail bond.  Allowing individuals to post any type of property with the Court is a good idea in theory but the application will have many pitfalls.  First, what criteria will be established to determine the value of the items used as security?  Second, will the Court hold the property pledged for Security and if so, how will that be done?  Third, if the Court does not hold the property pledged, then how will the Court be able to force compliance and collection of the property?   Allowing real property to be pledged as security has always been an option with the Court.  Real property is not moveable, a lien can easily be recorded, and a procedure has already been established for collection through foreclosure.  </w:t>
      </w:r>
    </w:p>
    <w:p w14:paraId="07AB9C86" w14:textId="3514DA0B" w:rsidR="00581065" w:rsidRPr="00273BD0" w:rsidRDefault="002307CC" w:rsidP="007703D4">
      <w:pPr>
        <w:spacing w:line="480" w:lineRule="auto"/>
        <w:ind w:firstLine="360"/>
        <w:jc w:val="both"/>
        <w:rPr>
          <w:rFonts w:ascii="Times New Roman" w:hAnsi="Times New Roman"/>
          <w:szCs w:val="24"/>
        </w:rPr>
      </w:pPr>
      <w:r w:rsidRPr="00273BD0">
        <w:rPr>
          <w:rFonts w:ascii="Times New Roman" w:hAnsi="Times New Roman"/>
          <w:szCs w:val="24"/>
        </w:rPr>
        <w:t>The definition of the word Surety should also be amended as follows:</w:t>
      </w:r>
    </w:p>
    <w:p w14:paraId="4027922F" w14:textId="2FA8970E" w:rsidR="002307CC" w:rsidRPr="00273BD0" w:rsidRDefault="002307CC" w:rsidP="007703D4">
      <w:pPr>
        <w:spacing w:line="240" w:lineRule="auto"/>
        <w:ind w:left="360" w:hanging="360"/>
        <w:jc w:val="both"/>
        <w:rPr>
          <w:rFonts w:ascii="Times New Roman" w:eastAsia="Calibri" w:hAnsi="Times New Roman"/>
          <w:szCs w:val="24"/>
        </w:rPr>
      </w:pPr>
      <w:r w:rsidRPr="00273BD0">
        <w:rPr>
          <w:rFonts w:ascii="Times New Roman" w:eastAsia="Calibri" w:hAnsi="Times New Roman"/>
          <w:b/>
          <w:szCs w:val="24"/>
        </w:rPr>
        <w:t>Surety.</w:t>
      </w:r>
      <w:r w:rsidRPr="00273BD0">
        <w:rPr>
          <w:rFonts w:ascii="Times New Roman" w:eastAsia="Calibri" w:hAnsi="Times New Roman"/>
          <w:szCs w:val="24"/>
        </w:rPr>
        <w:t xml:space="preserve">  A “surety” is a person </w:t>
      </w:r>
      <w:r w:rsidRPr="00273BD0">
        <w:rPr>
          <w:rFonts w:ascii="Times New Roman" w:eastAsia="Calibri" w:hAnsi="Times New Roman"/>
          <w:szCs w:val="24"/>
          <w:u w:val="single"/>
        </w:rPr>
        <w:t>or company</w:t>
      </w:r>
      <w:r w:rsidRPr="00273BD0">
        <w:rPr>
          <w:rFonts w:ascii="Times New Roman" w:eastAsia="Calibri" w:hAnsi="Times New Roman"/>
          <w:szCs w:val="24"/>
        </w:rPr>
        <w:t xml:space="preserve">, other than the defendant, who executes an appearance bond and agrees to pay the amount of the bond if the defendant fails </w:t>
      </w:r>
      <w:r w:rsidRPr="00273BD0">
        <w:rPr>
          <w:rFonts w:ascii="Times New Roman" w:eastAsia="Calibri" w:hAnsi="Times New Roman"/>
          <w:strike/>
          <w:szCs w:val="24"/>
        </w:rPr>
        <w:t>to comply with its conditions</w:t>
      </w:r>
      <w:r w:rsidR="00D13191" w:rsidRPr="00273BD0">
        <w:rPr>
          <w:rFonts w:ascii="Times New Roman" w:eastAsia="Calibri" w:hAnsi="Times New Roman"/>
          <w:strike/>
          <w:szCs w:val="24"/>
        </w:rPr>
        <w:t xml:space="preserve"> </w:t>
      </w:r>
      <w:r w:rsidR="00D13191" w:rsidRPr="00273BD0">
        <w:rPr>
          <w:rFonts w:ascii="Times New Roman" w:eastAsia="Calibri" w:hAnsi="Times New Roman"/>
          <w:szCs w:val="24"/>
          <w:u w:val="single"/>
        </w:rPr>
        <w:t>to appear for any court proceedings</w:t>
      </w:r>
      <w:r w:rsidRPr="00273BD0">
        <w:rPr>
          <w:rFonts w:ascii="Times New Roman" w:eastAsia="Calibri" w:hAnsi="Times New Roman"/>
          <w:szCs w:val="24"/>
        </w:rPr>
        <w:t>. A surety must file an affidavit with an appearance bond stating that the surety is not an attorney or person authorized to take bail, and that the surety owns property in Arizona (or is an Arizona resident owning property) with a value equal to or more than the amount of the appearance bond. The property’s value is calculated after deducting the amount exempt from execution and all liabilities, including the amount of any other outstanding appearance bonds that the surety has entered into involving the same property.</w:t>
      </w:r>
    </w:p>
    <w:p w14:paraId="07B1414E" w14:textId="77777777" w:rsidR="00703BF9" w:rsidRPr="00273BD0" w:rsidRDefault="00703BF9" w:rsidP="007703D4">
      <w:pPr>
        <w:pStyle w:val="SingleSpacing"/>
        <w:spacing w:line="480" w:lineRule="auto"/>
        <w:ind w:firstLine="720"/>
        <w:jc w:val="both"/>
        <w:rPr>
          <w:rFonts w:ascii="Times New Roman" w:hAnsi="Times New Roman"/>
          <w:szCs w:val="24"/>
        </w:rPr>
      </w:pPr>
    </w:p>
    <w:p w14:paraId="7A8D12D6" w14:textId="2CB4EFBA" w:rsidR="00D13191" w:rsidRP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Pr>
          <w:rFonts w:ascii="Times New Roman" w:hAnsi="Times New Roman"/>
          <w:szCs w:val="24"/>
        </w:rPr>
        <w:lastRenderedPageBreak/>
        <w:tab/>
      </w:r>
      <w:r w:rsidR="002307CC" w:rsidRPr="00273BD0">
        <w:rPr>
          <w:rFonts w:ascii="Times New Roman" w:hAnsi="Times New Roman"/>
          <w:szCs w:val="24"/>
        </w:rPr>
        <w:t>A Bail Bond Company can also be the surety f</w:t>
      </w:r>
      <w:r w:rsidR="007703D4">
        <w:rPr>
          <w:rFonts w:ascii="Times New Roman" w:hAnsi="Times New Roman"/>
          <w:szCs w:val="24"/>
        </w:rPr>
        <w:t>or a Defendant.  This addition</w:t>
      </w:r>
      <w:r w:rsidR="002307CC" w:rsidRPr="00273BD0">
        <w:rPr>
          <w:rFonts w:ascii="Times New Roman" w:hAnsi="Times New Roman"/>
          <w:szCs w:val="24"/>
        </w:rPr>
        <w:t xml:space="preserve"> should be made to ensure that a bail bond company can continue to post bonds for the Defendants and also to guarantee them the protection of a Surety in specific provisions later on in the Rules. </w:t>
      </w:r>
      <w:r w:rsidR="00D13191" w:rsidRPr="00273BD0">
        <w:rPr>
          <w:rFonts w:ascii="Times New Roman" w:hAnsi="Times New Roman"/>
          <w:szCs w:val="24"/>
        </w:rPr>
        <w:t xml:space="preserve">  Furthermore, please refer to the same argument under Appearance Bond for the rationale of the request to remove “to comply with its conditions” and replace with “to appear for any court proceedings.”</w:t>
      </w:r>
    </w:p>
    <w:p w14:paraId="13C84301" w14:textId="59E2C941" w:rsidR="008C5CFF" w:rsidRP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Pr>
          <w:rFonts w:ascii="Times New Roman" w:hAnsi="Times New Roman"/>
          <w:szCs w:val="24"/>
        </w:rPr>
        <w:tab/>
      </w:r>
      <w:r w:rsidR="008C5CFF" w:rsidRPr="00273BD0">
        <w:rPr>
          <w:rFonts w:ascii="Times New Roman" w:hAnsi="Times New Roman"/>
          <w:szCs w:val="24"/>
        </w:rPr>
        <w:t>The definition of Professional Bondsman should also be modified as follows:</w:t>
      </w:r>
    </w:p>
    <w:p w14:paraId="6E3E28ED" w14:textId="77777777" w:rsidR="002307CC" w:rsidRPr="00273BD0" w:rsidRDefault="002307CC" w:rsidP="007703D4">
      <w:pPr>
        <w:spacing w:line="240" w:lineRule="auto"/>
        <w:ind w:left="360" w:hanging="360"/>
        <w:jc w:val="both"/>
        <w:rPr>
          <w:rFonts w:ascii="Times New Roman" w:eastAsia="Calibri" w:hAnsi="Times New Roman"/>
          <w:szCs w:val="24"/>
        </w:rPr>
      </w:pPr>
      <w:r w:rsidRPr="00273BD0">
        <w:rPr>
          <w:rFonts w:ascii="Times New Roman" w:eastAsia="Calibri" w:hAnsi="Times New Roman"/>
          <w:b/>
          <w:szCs w:val="24"/>
        </w:rPr>
        <w:t>Professional Bondsman.</w:t>
      </w:r>
      <w:r w:rsidRPr="00273BD0">
        <w:rPr>
          <w:rFonts w:ascii="Times New Roman" w:eastAsia="Calibri" w:hAnsi="Times New Roman"/>
          <w:szCs w:val="24"/>
        </w:rPr>
        <w:t xml:space="preserve">  Any person who is a surety simultaneously on more than 4 appearance bonds is a “professional bondsman.” A person may not be a professional bondsman unless the person annually certifies in writing under oath to the superior court clerk that the person:</w:t>
      </w:r>
    </w:p>
    <w:p w14:paraId="61B50B19" w14:textId="77777777" w:rsidR="002307CC" w:rsidRPr="00273BD0" w:rsidRDefault="002307CC"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is an Arizona resident;</w:t>
      </w:r>
    </w:p>
    <w:p w14:paraId="2EAB8100" w14:textId="04809AE5" w:rsidR="002307CC" w:rsidRPr="00273BD0" w:rsidRDefault="002307CC"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u w:val="single"/>
        </w:rPr>
      </w:pPr>
      <w:r w:rsidRPr="00273BD0">
        <w:rPr>
          <w:rFonts w:ascii="Times New Roman" w:eastAsia="Calibri" w:hAnsi="Times New Roman"/>
          <w:szCs w:val="24"/>
          <w:u w:val="single"/>
        </w:rPr>
        <w:t>is licensed with the State of Arizona</w:t>
      </w:r>
    </w:p>
    <w:p w14:paraId="7977B9C9" w14:textId="77777777" w:rsidR="002307CC" w:rsidRPr="00273BD0" w:rsidRDefault="002307CC"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has sufficient financial net worth to satisfy reasonable obligations as a surety;</w:t>
      </w:r>
    </w:p>
    <w:p w14:paraId="011F4FF5" w14:textId="7AF06648" w:rsidR="002307CC" w:rsidRPr="00273BD0" w:rsidRDefault="002307CC"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 xml:space="preserve">agrees to assume an affirmative duty to the court to </w:t>
      </w:r>
      <w:r w:rsidR="007703D4">
        <w:rPr>
          <w:rFonts w:ascii="Times New Roman" w:eastAsia="Calibri" w:hAnsi="Times New Roman"/>
          <w:szCs w:val="24"/>
        </w:rPr>
        <w:t xml:space="preserve">remain in regular contact with </w:t>
      </w:r>
      <w:r w:rsidRPr="00273BD0">
        <w:rPr>
          <w:rFonts w:ascii="Times New Roman" w:eastAsia="Calibri" w:hAnsi="Times New Roman"/>
          <w:szCs w:val="24"/>
        </w:rPr>
        <w:t>any defendant released under an appearance bond on which the person is a surety;</w:t>
      </w:r>
    </w:p>
    <w:p w14:paraId="294B07E7" w14:textId="77777777" w:rsidR="002307CC" w:rsidRPr="00273BD0" w:rsidRDefault="002307CC"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has not been convicted of a felony, except as otherwise provided in A.R.S. § 20-340.03;</w:t>
      </w:r>
    </w:p>
    <w:p w14:paraId="3E7AEE9A" w14:textId="77777777" w:rsidR="002307CC" w:rsidRPr="00273BD0" w:rsidRDefault="002307CC"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has no outstanding judgments arising out of surety undertakings; and</w:t>
      </w:r>
    </w:p>
    <w:p w14:paraId="0D206C71" w14:textId="77777777" w:rsidR="002307CC" w:rsidRPr="00273BD0" w:rsidRDefault="002307CC"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has not, within a period of two years, violated any provisions of these rules or any court order.</w:t>
      </w:r>
    </w:p>
    <w:p w14:paraId="2FECE8CB" w14:textId="77777777" w:rsidR="002307CC" w:rsidRPr="00273BD0" w:rsidRDefault="002307CC" w:rsidP="007703D4">
      <w:pPr>
        <w:spacing w:line="240" w:lineRule="auto"/>
        <w:ind w:left="360"/>
        <w:jc w:val="both"/>
        <w:rPr>
          <w:rFonts w:ascii="Times New Roman" w:eastAsia="Calibri" w:hAnsi="Times New Roman"/>
          <w:szCs w:val="24"/>
        </w:rPr>
      </w:pPr>
      <w:r w:rsidRPr="00273BD0">
        <w:rPr>
          <w:rFonts w:ascii="Times New Roman" w:eastAsia="Calibri" w:hAnsi="Times New Roman"/>
          <w:szCs w:val="24"/>
        </w:rPr>
        <w:t>The clerk or the court may revoke or withhold a professional bondsman’s capacity to act as surety if the bondsman violates this rule’s provisions.</w:t>
      </w:r>
    </w:p>
    <w:p w14:paraId="385F3BA5" w14:textId="77777777" w:rsidR="008C5CFF" w:rsidRPr="00273BD0" w:rsidRDefault="008C5CFF" w:rsidP="007703D4">
      <w:pPr>
        <w:pStyle w:val="SingleSpacing"/>
        <w:spacing w:line="480" w:lineRule="auto"/>
        <w:jc w:val="both"/>
        <w:rPr>
          <w:rFonts w:ascii="Times New Roman" w:hAnsi="Times New Roman"/>
          <w:szCs w:val="24"/>
        </w:rPr>
      </w:pPr>
    </w:p>
    <w:p w14:paraId="38800135" w14:textId="068000D4" w:rsidR="008C5CFF" w:rsidRPr="00273BD0" w:rsidRDefault="008C5CFF" w:rsidP="007703D4">
      <w:pPr>
        <w:pStyle w:val="SingleSpacing"/>
        <w:spacing w:line="480" w:lineRule="auto"/>
        <w:jc w:val="both"/>
        <w:rPr>
          <w:rFonts w:ascii="Times New Roman" w:hAnsi="Times New Roman"/>
          <w:szCs w:val="24"/>
        </w:rPr>
      </w:pPr>
      <w:r w:rsidRPr="00273BD0">
        <w:rPr>
          <w:rFonts w:ascii="Times New Roman" w:hAnsi="Times New Roman"/>
          <w:szCs w:val="24"/>
        </w:rPr>
        <w:tab/>
        <w:t xml:space="preserve">Arizona Professional Bail Bondsmen are required to be licensed with the State of Arizona Department of Insurance.  This addition is to ensure </w:t>
      </w:r>
      <w:r w:rsidR="00D13191" w:rsidRPr="00273BD0">
        <w:rPr>
          <w:rFonts w:ascii="Times New Roman" w:hAnsi="Times New Roman"/>
          <w:szCs w:val="24"/>
        </w:rPr>
        <w:t>that bondsmen are</w:t>
      </w:r>
      <w:r w:rsidRPr="00273BD0">
        <w:rPr>
          <w:rFonts w:ascii="Times New Roman" w:hAnsi="Times New Roman"/>
          <w:szCs w:val="24"/>
        </w:rPr>
        <w:t xml:space="preserve"> being licensed </w:t>
      </w:r>
      <w:r w:rsidR="00D13191" w:rsidRPr="00273BD0">
        <w:rPr>
          <w:rFonts w:ascii="Times New Roman" w:hAnsi="Times New Roman"/>
          <w:szCs w:val="24"/>
        </w:rPr>
        <w:t>before being</w:t>
      </w:r>
      <w:r w:rsidR="007703D4">
        <w:rPr>
          <w:rFonts w:ascii="Times New Roman" w:hAnsi="Times New Roman"/>
          <w:szCs w:val="24"/>
        </w:rPr>
        <w:t xml:space="preserve"> allowed to post multiple bonds, </w:t>
      </w:r>
      <w:r w:rsidRPr="00273BD0">
        <w:rPr>
          <w:rFonts w:ascii="Times New Roman" w:hAnsi="Times New Roman"/>
          <w:szCs w:val="24"/>
        </w:rPr>
        <w:t>are receiving the required training through the Department of Insurance</w:t>
      </w:r>
      <w:r w:rsidR="007703D4">
        <w:rPr>
          <w:rFonts w:ascii="Times New Roman" w:hAnsi="Times New Roman"/>
          <w:szCs w:val="24"/>
        </w:rPr>
        <w:t>,</w:t>
      </w:r>
      <w:r w:rsidRPr="00273BD0">
        <w:rPr>
          <w:rFonts w:ascii="Times New Roman" w:hAnsi="Times New Roman"/>
          <w:szCs w:val="24"/>
        </w:rPr>
        <w:t xml:space="preserve"> and have passed mandatory testing and background checks.  This addition will help to ensure the safety of the community.  </w:t>
      </w:r>
    </w:p>
    <w:p w14:paraId="41B05511" w14:textId="77777777" w:rsidR="00273BD0" w:rsidRDefault="003F131C"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273BD0">
        <w:rPr>
          <w:rFonts w:ascii="Times New Roman" w:hAnsi="Times New Roman"/>
          <w:szCs w:val="24"/>
        </w:rPr>
        <w:tab/>
      </w:r>
    </w:p>
    <w:p w14:paraId="079B5635" w14:textId="24BC55DA" w:rsidR="00581065" w:rsidRPr="00273BD0" w:rsidRDefault="008C5CFF"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u w:val="single"/>
        </w:rPr>
      </w:pPr>
      <w:r w:rsidRPr="00273BD0">
        <w:rPr>
          <w:rFonts w:ascii="Times New Roman" w:hAnsi="Times New Roman"/>
          <w:b/>
          <w:szCs w:val="24"/>
          <w:u w:val="single"/>
        </w:rPr>
        <w:lastRenderedPageBreak/>
        <w:t>Rule 7.2</w:t>
      </w:r>
    </w:p>
    <w:p w14:paraId="261EE4C0" w14:textId="31A362F2" w:rsidR="008C5CFF" w:rsidRPr="00273BD0" w:rsidRDefault="008C5CFF" w:rsidP="007703D4">
      <w:pPr>
        <w:spacing w:line="480" w:lineRule="auto"/>
        <w:ind w:left="360" w:hanging="360"/>
        <w:jc w:val="both"/>
        <w:rPr>
          <w:rFonts w:ascii="Times New Roman" w:eastAsia="Calibri" w:hAnsi="Times New Roman"/>
          <w:szCs w:val="24"/>
        </w:rPr>
      </w:pPr>
      <w:r w:rsidRPr="00273BD0">
        <w:rPr>
          <w:rFonts w:ascii="Times New Roman" w:eastAsia="Calibri" w:hAnsi="Times New Roman"/>
          <w:szCs w:val="24"/>
        </w:rPr>
        <w:t xml:space="preserve">Rule 7.2(a)(1)(a) </w:t>
      </w:r>
      <w:r w:rsidR="00D13191" w:rsidRPr="00273BD0">
        <w:rPr>
          <w:rFonts w:ascii="Times New Roman" w:eastAsia="Calibri" w:hAnsi="Times New Roman"/>
          <w:szCs w:val="24"/>
        </w:rPr>
        <w:t xml:space="preserve"> should be modified to read as follows:</w:t>
      </w:r>
    </w:p>
    <w:p w14:paraId="3E258ECE" w14:textId="77777777" w:rsidR="008C5CFF" w:rsidRPr="00273BD0" w:rsidRDefault="008C5CFF" w:rsidP="007703D4">
      <w:pPr>
        <w:spacing w:line="240" w:lineRule="auto"/>
        <w:ind w:left="360" w:hanging="360"/>
        <w:jc w:val="both"/>
        <w:rPr>
          <w:rFonts w:ascii="Times New Roman" w:eastAsia="Calibri" w:hAnsi="Times New Roman"/>
          <w:szCs w:val="24"/>
        </w:rPr>
      </w:pPr>
      <w:r w:rsidRPr="00273BD0">
        <w:rPr>
          <w:rFonts w:ascii="Times New Roman" w:eastAsia="Calibri" w:hAnsi="Times New Roman"/>
          <w:b/>
          <w:szCs w:val="24"/>
        </w:rPr>
        <w:t>After Conviction.</w:t>
      </w:r>
    </w:p>
    <w:p w14:paraId="41E4387F" w14:textId="77777777" w:rsidR="008C5CFF" w:rsidRPr="00273BD0" w:rsidRDefault="008C5CFF" w:rsidP="007703D4">
      <w:pPr>
        <w:numPr>
          <w:ilvl w:val="1"/>
          <w:numId w:val="19"/>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Superior Court.</w:t>
      </w:r>
      <w:r w:rsidRPr="00273BD0">
        <w:rPr>
          <w:rFonts w:ascii="Times New Roman" w:eastAsia="Calibri" w:hAnsi="Times New Roman"/>
          <w:szCs w:val="24"/>
        </w:rPr>
        <w:t xml:space="preserve"> </w:t>
      </w:r>
    </w:p>
    <w:p w14:paraId="6B583ACC" w14:textId="6417AE29" w:rsidR="008C5CFF" w:rsidRPr="00273BD0" w:rsidRDefault="008C5CFF"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i/>
          <w:szCs w:val="24"/>
        </w:rPr>
        <w:t>Generally.</w:t>
      </w:r>
      <w:r w:rsidRPr="00273BD0">
        <w:rPr>
          <w:rFonts w:ascii="Times New Roman" w:eastAsia="Calibri" w:hAnsi="Times New Roman"/>
          <w:szCs w:val="24"/>
        </w:rPr>
        <w:t xml:space="preserve">  After a person is convicted of an offense for which the person will, in all reasonable probability, receive a sentence of imprisonment, the court </w:t>
      </w:r>
      <w:r w:rsidRPr="00273BD0">
        <w:rPr>
          <w:rFonts w:ascii="Times New Roman" w:eastAsia="Calibri" w:hAnsi="Times New Roman"/>
          <w:strike/>
          <w:szCs w:val="24"/>
        </w:rPr>
        <w:t>may</w:t>
      </w:r>
      <w:r w:rsidRPr="00273BD0">
        <w:rPr>
          <w:rFonts w:ascii="Times New Roman" w:eastAsia="Calibri" w:hAnsi="Times New Roman"/>
          <w:szCs w:val="24"/>
        </w:rPr>
        <w:t xml:space="preserve"> </w:t>
      </w:r>
      <w:r w:rsidR="00D13191" w:rsidRPr="00273BD0">
        <w:rPr>
          <w:rFonts w:ascii="Times New Roman" w:eastAsia="Calibri" w:hAnsi="Times New Roman"/>
          <w:szCs w:val="24"/>
          <w:u w:val="single"/>
        </w:rPr>
        <w:t>must</w:t>
      </w:r>
      <w:r w:rsidR="00D13191" w:rsidRPr="00273BD0">
        <w:rPr>
          <w:rFonts w:ascii="Times New Roman" w:eastAsia="Calibri" w:hAnsi="Times New Roman"/>
          <w:szCs w:val="24"/>
        </w:rPr>
        <w:t xml:space="preserve"> </w:t>
      </w:r>
      <w:r w:rsidRPr="00273BD0">
        <w:rPr>
          <w:rFonts w:ascii="Times New Roman" w:eastAsia="Calibri" w:hAnsi="Times New Roman"/>
          <w:szCs w:val="24"/>
        </w:rPr>
        <w:t xml:space="preserve">not release the person on bail or on the person’s own recognizance unless: </w:t>
      </w:r>
    </w:p>
    <w:p w14:paraId="32D49C12" w14:textId="77777777" w:rsidR="008C5CFF" w:rsidRPr="00273BD0" w:rsidRDefault="008C5CFF"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zCs w:val="24"/>
        </w:rPr>
        <w:t>the court finds that reasonable grounds exist to believe that the conviction may be set aside on a motion for new trial, reversed on appeal, or vacated in a post-conviction proceeding; or</w:t>
      </w:r>
    </w:p>
    <w:p w14:paraId="2174310A" w14:textId="3EE72D13" w:rsidR="008C5CFF" w:rsidRPr="00273BD0" w:rsidRDefault="008029E7"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trike/>
          <w:szCs w:val="24"/>
        </w:rPr>
        <w:t>the</w:t>
      </w:r>
      <w:r w:rsidRPr="00273BD0">
        <w:rPr>
          <w:rFonts w:ascii="Times New Roman" w:eastAsia="Calibri" w:hAnsi="Times New Roman"/>
          <w:szCs w:val="24"/>
        </w:rPr>
        <w:t xml:space="preserve"> </w:t>
      </w:r>
      <w:r w:rsidRPr="00273BD0">
        <w:rPr>
          <w:rFonts w:ascii="Times New Roman" w:eastAsia="Calibri" w:hAnsi="Times New Roman"/>
          <w:szCs w:val="24"/>
          <w:u w:val="single"/>
        </w:rPr>
        <w:t>all interested</w:t>
      </w:r>
      <w:r w:rsidRPr="00273BD0">
        <w:rPr>
          <w:rFonts w:ascii="Times New Roman" w:eastAsia="Calibri" w:hAnsi="Times New Roman"/>
          <w:szCs w:val="24"/>
        </w:rPr>
        <w:t xml:space="preserve"> parties</w:t>
      </w:r>
      <w:r w:rsidR="008C5CFF" w:rsidRPr="00273BD0">
        <w:rPr>
          <w:rFonts w:ascii="Times New Roman" w:eastAsia="Calibri" w:hAnsi="Times New Roman"/>
          <w:szCs w:val="24"/>
        </w:rPr>
        <w:t xml:space="preserve"> stipulate otherwise and the court approves the stipulation.</w:t>
      </w:r>
    </w:p>
    <w:p w14:paraId="427F01E2" w14:textId="6723E845" w:rsidR="008029E7" w:rsidRDefault="008029E7" w:rsidP="007703D4">
      <w:pPr>
        <w:overflowPunct/>
        <w:autoSpaceDE/>
        <w:autoSpaceDN/>
        <w:adjustRightInd/>
        <w:spacing w:after="160" w:line="240" w:lineRule="auto"/>
        <w:jc w:val="both"/>
        <w:textAlignment w:val="auto"/>
        <w:rPr>
          <w:rFonts w:ascii="Times New Roman" w:eastAsia="Calibri" w:hAnsi="Times New Roman"/>
          <w:szCs w:val="24"/>
          <w:u w:val="single"/>
        </w:rPr>
      </w:pPr>
      <w:r w:rsidRPr="00273BD0">
        <w:rPr>
          <w:rFonts w:ascii="Times New Roman" w:eastAsia="Calibri" w:hAnsi="Times New Roman"/>
          <w:szCs w:val="24"/>
          <w:u w:val="single"/>
        </w:rPr>
        <w:t>Comment to 7.2(a)(1)(a)(ii) – For purposes of this section, all interested parties must include the Surety.</w:t>
      </w:r>
    </w:p>
    <w:p w14:paraId="62D9F79C" w14:textId="77777777" w:rsidR="00273BD0" w:rsidRPr="00273BD0" w:rsidRDefault="00273BD0" w:rsidP="007703D4">
      <w:pPr>
        <w:overflowPunct/>
        <w:autoSpaceDE/>
        <w:autoSpaceDN/>
        <w:adjustRightInd/>
        <w:spacing w:after="160" w:line="240" w:lineRule="auto"/>
        <w:jc w:val="both"/>
        <w:textAlignment w:val="auto"/>
        <w:rPr>
          <w:rFonts w:ascii="Times New Roman" w:eastAsia="Calibri" w:hAnsi="Times New Roman"/>
          <w:szCs w:val="24"/>
          <w:u w:val="single"/>
        </w:rPr>
      </w:pPr>
    </w:p>
    <w:p w14:paraId="32067E3C" w14:textId="196A2167" w:rsidR="008C5CFF" w:rsidRPr="00273BD0" w:rsidRDefault="008029E7"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273BD0">
        <w:rPr>
          <w:rFonts w:ascii="Times New Roman" w:hAnsi="Times New Roman"/>
          <w:szCs w:val="24"/>
        </w:rPr>
        <w:t xml:space="preserve"> </w:t>
      </w:r>
      <w:r w:rsidRPr="00273BD0">
        <w:rPr>
          <w:rFonts w:ascii="Times New Roman" w:hAnsi="Times New Roman"/>
          <w:szCs w:val="24"/>
        </w:rPr>
        <w:tab/>
        <w:t>The purpose of this provision is to allow the Defendant to remain out of custody if all parties agree.  While the concept is a good idea, some of the interested parties may not have a say under the current version.  The Surety should be able to agree or disagree with the decision to remain out of custody as the risk for failing to appear increases.  Furthermore, a lot of the bonding contracts the bail companies have with th</w:t>
      </w:r>
      <w:r w:rsidR="007703D4">
        <w:rPr>
          <w:rFonts w:ascii="Times New Roman" w:hAnsi="Times New Roman"/>
          <w:szCs w:val="24"/>
        </w:rPr>
        <w:t>e Defendant are pre-conviction contract. The</w:t>
      </w:r>
      <w:r w:rsidRPr="00273BD0">
        <w:rPr>
          <w:rFonts w:ascii="Times New Roman" w:hAnsi="Times New Roman"/>
          <w:szCs w:val="24"/>
        </w:rPr>
        <w:t xml:space="preserve"> bail bond itself specifies it is only pre-conviction and would require a substantial change in procedures for the bail industry if all of their bonds had to be amended to conform with an after conviction type bail under this scenario.  Allowing the surety, whether a bonding company or simply a third-party cash poster to have a say under this rule provision would be more appropriate.  </w:t>
      </w:r>
    </w:p>
    <w:p w14:paraId="68365C84" w14:textId="77777777" w:rsid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rPr>
      </w:pPr>
    </w:p>
    <w:p w14:paraId="0888295F" w14:textId="77777777" w:rsid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rPr>
      </w:pPr>
    </w:p>
    <w:p w14:paraId="6AA7C6D3" w14:textId="77777777" w:rsid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rPr>
      </w:pPr>
    </w:p>
    <w:p w14:paraId="41837806" w14:textId="77777777" w:rsid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rPr>
      </w:pPr>
    </w:p>
    <w:p w14:paraId="54A883C4" w14:textId="5D2EB2DD" w:rsidR="00581065" w:rsidRPr="008F0FA8" w:rsidRDefault="008029E7"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u w:val="single"/>
        </w:rPr>
      </w:pPr>
      <w:r w:rsidRPr="008F0FA8">
        <w:rPr>
          <w:rFonts w:ascii="Times New Roman" w:hAnsi="Times New Roman"/>
          <w:b/>
          <w:szCs w:val="24"/>
          <w:u w:val="single"/>
        </w:rPr>
        <w:lastRenderedPageBreak/>
        <w:t>Rule 7.6</w:t>
      </w:r>
    </w:p>
    <w:p w14:paraId="5FD3E313" w14:textId="1E1E819F" w:rsidR="00581065" w:rsidRPr="008F0FA8" w:rsidRDefault="008029E7"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8F0FA8">
        <w:rPr>
          <w:rFonts w:ascii="Times New Roman" w:hAnsi="Times New Roman"/>
          <w:szCs w:val="24"/>
        </w:rPr>
        <w:t xml:space="preserve">Rule 7.6 should be modified to read as follows: </w:t>
      </w:r>
    </w:p>
    <w:p w14:paraId="41975057" w14:textId="77777777" w:rsidR="008029E7" w:rsidRPr="008F0FA8" w:rsidRDefault="008029E7" w:rsidP="007703D4">
      <w:pPr>
        <w:keepNext/>
        <w:spacing w:before="240" w:after="60" w:line="240" w:lineRule="auto"/>
        <w:jc w:val="both"/>
        <w:outlineLvl w:val="2"/>
        <w:rPr>
          <w:rFonts w:ascii="Times New Roman" w:hAnsi="Times New Roman"/>
          <w:b/>
          <w:bCs/>
          <w:szCs w:val="24"/>
        </w:rPr>
      </w:pPr>
      <w:bookmarkStart w:id="0" w:name="_Toc469386880"/>
      <w:r w:rsidRPr="008F0FA8">
        <w:rPr>
          <w:rFonts w:ascii="Times New Roman" w:hAnsi="Times New Roman"/>
          <w:b/>
          <w:bCs/>
          <w:szCs w:val="24"/>
        </w:rPr>
        <w:t>Rule 7.6.  Transfer and Disposition of Bond</w:t>
      </w:r>
      <w:bookmarkEnd w:id="0"/>
    </w:p>
    <w:p w14:paraId="090B915B" w14:textId="5666E783" w:rsidR="008029E7" w:rsidRPr="00273BD0" w:rsidRDefault="008029E7" w:rsidP="007703D4">
      <w:pPr>
        <w:pStyle w:val="ListLevel11"/>
        <w:numPr>
          <w:ilvl w:val="0"/>
          <w:numId w:val="20"/>
        </w:numPr>
        <w:spacing w:line="240" w:lineRule="auto"/>
        <w:jc w:val="both"/>
        <w:rPr>
          <w:rFonts w:eastAsia="Calibri"/>
          <w:sz w:val="24"/>
          <w:szCs w:val="24"/>
        </w:rPr>
      </w:pPr>
      <w:r w:rsidRPr="008F0FA8">
        <w:rPr>
          <w:rFonts w:eastAsia="Calibri"/>
          <w:b/>
          <w:sz w:val="24"/>
          <w:szCs w:val="24"/>
        </w:rPr>
        <w:t xml:space="preserve">Transfer upon Supervening Indictment.  </w:t>
      </w:r>
      <w:r w:rsidRPr="008F0FA8">
        <w:rPr>
          <w:rFonts w:eastAsia="Calibri"/>
          <w:sz w:val="24"/>
          <w:szCs w:val="24"/>
        </w:rPr>
        <w:t>An appearance</w:t>
      </w:r>
      <w:r w:rsidRPr="00273BD0">
        <w:rPr>
          <w:rFonts w:eastAsia="Calibri"/>
          <w:sz w:val="24"/>
          <w:szCs w:val="24"/>
        </w:rPr>
        <w:t xml:space="preserve"> bond or release </w:t>
      </w:r>
      <w:r w:rsidR="00273BD0" w:rsidRPr="00273BD0">
        <w:rPr>
          <w:rFonts w:eastAsia="Calibri"/>
          <w:sz w:val="24"/>
          <w:szCs w:val="24"/>
        </w:rPr>
        <w:t>order issued</w:t>
      </w:r>
      <w:r w:rsidRPr="00273BD0">
        <w:rPr>
          <w:rFonts w:eastAsia="Calibri"/>
          <w:sz w:val="24"/>
          <w:szCs w:val="24"/>
        </w:rPr>
        <w:t xml:space="preserve"> following the filing of a felony complaint in justice court will automatically be transferred to a criminal case in superior court after an indictment is filed that alleges the same charges.</w:t>
      </w:r>
    </w:p>
    <w:p w14:paraId="63A2BF08" w14:textId="2E9DAC34" w:rsidR="008029E7" w:rsidRPr="00273BD0" w:rsidRDefault="008029E7" w:rsidP="007703D4">
      <w:pPr>
        <w:spacing w:line="240" w:lineRule="auto"/>
        <w:ind w:left="360" w:hanging="360"/>
        <w:jc w:val="both"/>
        <w:rPr>
          <w:rFonts w:ascii="Times New Roman" w:eastAsia="Calibri" w:hAnsi="Times New Roman"/>
          <w:szCs w:val="24"/>
        </w:rPr>
      </w:pPr>
      <w:r w:rsidRPr="00273BD0">
        <w:rPr>
          <w:rFonts w:ascii="Times New Roman" w:eastAsia="Calibri" w:hAnsi="Times New Roman"/>
          <w:b/>
          <w:szCs w:val="24"/>
        </w:rPr>
        <w:t>(b) Filing and Custody of Appearance Bonds and Security.</w:t>
      </w:r>
      <w:r w:rsidRPr="00273BD0">
        <w:rPr>
          <w:rFonts w:ascii="Times New Roman" w:eastAsia="Calibri" w:hAnsi="Times New Roman"/>
          <w:szCs w:val="24"/>
        </w:rPr>
        <w:t xml:space="preserve">  A defendant must file an appearance bond and security, </w:t>
      </w:r>
      <w:r w:rsidRPr="00273BD0">
        <w:rPr>
          <w:rFonts w:ascii="Times New Roman" w:eastAsia="Calibri" w:hAnsi="Times New Roman"/>
          <w:szCs w:val="24"/>
          <w:u w:val="single"/>
        </w:rPr>
        <w:t>if ordered</w:t>
      </w:r>
      <w:r w:rsidRPr="00273BD0">
        <w:rPr>
          <w:rFonts w:ascii="Times New Roman" w:eastAsia="Calibri" w:hAnsi="Times New Roman"/>
          <w:szCs w:val="24"/>
        </w:rPr>
        <w:t>, with the clerk of the court in which a case is pending or the court in which the initial appearance is held. If the case is transferred to another court, the transferring court also must transfer any appearance bond and security.</w:t>
      </w:r>
    </w:p>
    <w:p w14:paraId="2DED093D" w14:textId="03446D50" w:rsidR="008029E7" w:rsidRPr="00273BD0" w:rsidRDefault="008029E7" w:rsidP="007703D4">
      <w:pPr>
        <w:spacing w:line="240" w:lineRule="auto"/>
        <w:ind w:left="360" w:hanging="360"/>
        <w:jc w:val="both"/>
        <w:rPr>
          <w:rFonts w:ascii="Times New Roman" w:eastAsia="Calibri" w:hAnsi="Times New Roman"/>
          <w:szCs w:val="24"/>
        </w:rPr>
      </w:pPr>
      <w:r w:rsidRPr="00273BD0">
        <w:rPr>
          <w:rFonts w:ascii="Times New Roman" w:eastAsia="Calibri" w:hAnsi="Times New Roman"/>
          <w:b/>
          <w:szCs w:val="24"/>
        </w:rPr>
        <w:t>(c) Forfeiture Procedure.</w:t>
      </w:r>
    </w:p>
    <w:p w14:paraId="7988301D" w14:textId="77777777" w:rsidR="008029E7" w:rsidRPr="00273BD0" w:rsidRDefault="008029E7"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Arrest Warrant and Notice to Surety.</w:t>
      </w:r>
      <w:r w:rsidRPr="00273BD0">
        <w:rPr>
          <w:rFonts w:ascii="Times New Roman" w:eastAsia="Calibri" w:hAnsi="Times New Roman"/>
          <w:szCs w:val="24"/>
        </w:rPr>
        <w:t xml:space="preserve">  If the court is informed that the defendant has violated a condition of an appearance bond, it may issue a warrant for the person’s arrest. No later than 10 days after the warrant’s issuance, the court must notify the surety, in writing or electronically, that the warrant was issued. </w:t>
      </w:r>
    </w:p>
    <w:p w14:paraId="78AAC942" w14:textId="52E8C7FD" w:rsidR="008029E7" w:rsidRPr="00273BD0" w:rsidRDefault="008029E7"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Hearing and Notice.</w:t>
      </w:r>
      <w:r w:rsidRPr="00273BD0">
        <w:rPr>
          <w:rFonts w:ascii="Times New Roman" w:eastAsia="Calibri" w:hAnsi="Times New Roman"/>
          <w:szCs w:val="24"/>
        </w:rPr>
        <w:t xml:space="preserve">  After issuing the arrest warrant, </w:t>
      </w:r>
      <w:r w:rsidRPr="00273BD0">
        <w:rPr>
          <w:rFonts w:ascii="Times New Roman" w:eastAsia="Calibri" w:hAnsi="Times New Roman"/>
          <w:szCs w:val="24"/>
          <w:u w:val="single"/>
        </w:rPr>
        <w:t xml:space="preserve">for the Defendant’s failure to appear, </w:t>
      </w:r>
      <w:r w:rsidRPr="00273BD0">
        <w:rPr>
          <w:rFonts w:ascii="Times New Roman" w:eastAsia="Calibri" w:hAnsi="Times New Roman"/>
          <w:szCs w:val="24"/>
        </w:rPr>
        <w:t xml:space="preserve">the court must set </w:t>
      </w:r>
      <w:r w:rsidRPr="00273BD0">
        <w:rPr>
          <w:rFonts w:ascii="Times New Roman" w:eastAsia="Calibri" w:hAnsi="Times New Roman"/>
          <w:strike/>
          <w:szCs w:val="24"/>
        </w:rPr>
        <w:t>a</w:t>
      </w:r>
      <w:r w:rsidRPr="00273BD0">
        <w:rPr>
          <w:rFonts w:ascii="Times New Roman" w:eastAsia="Calibri" w:hAnsi="Times New Roman"/>
          <w:szCs w:val="24"/>
        </w:rPr>
        <w:t xml:space="preserve"> </w:t>
      </w:r>
      <w:r w:rsidR="00767203" w:rsidRPr="00273BD0">
        <w:rPr>
          <w:rFonts w:ascii="Times New Roman" w:eastAsia="Calibri" w:hAnsi="Times New Roman"/>
          <w:szCs w:val="24"/>
          <w:u w:val="single"/>
        </w:rPr>
        <w:t>the first</w:t>
      </w:r>
      <w:r w:rsidR="00767203" w:rsidRPr="00273BD0">
        <w:rPr>
          <w:rFonts w:ascii="Times New Roman" w:eastAsia="Calibri" w:hAnsi="Times New Roman"/>
          <w:szCs w:val="24"/>
        </w:rPr>
        <w:t xml:space="preserve"> </w:t>
      </w:r>
      <w:r w:rsidRPr="00273BD0">
        <w:rPr>
          <w:rFonts w:ascii="Times New Roman" w:eastAsia="Calibri" w:hAnsi="Times New Roman"/>
          <w:szCs w:val="24"/>
        </w:rPr>
        <w:t xml:space="preserve">hearing within a reasonable time, </w:t>
      </w:r>
      <w:r w:rsidRPr="00273BD0">
        <w:rPr>
          <w:rFonts w:ascii="Times New Roman" w:eastAsia="Calibri" w:hAnsi="Times New Roman"/>
          <w:szCs w:val="24"/>
          <w:u w:val="single"/>
        </w:rPr>
        <w:t xml:space="preserve">no sooner than 60 days and </w:t>
      </w:r>
      <w:r w:rsidRPr="00273BD0">
        <w:rPr>
          <w:rFonts w:ascii="Times New Roman" w:eastAsia="Calibri" w:hAnsi="Times New Roman"/>
          <w:szCs w:val="24"/>
        </w:rPr>
        <w:t xml:space="preserve">no later than 120 days after it issued the warrant, requiring the parties and any surety to show cause why the bond should not be forfeited </w:t>
      </w:r>
      <w:r w:rsidRPr="00273BD0">
        <w:rPr>
          <w:rFonts w:ascii="Times New Roman" w:eastAsia="Calibri" w:hAnsi="Times New Roman"/>
          <w:szCs w:val="24"/>
          <w:u w:val="single"/>
        </w:rPr>
        <w:t>for the Defendant’s Failure to Appear</w:t>
      </w:r>
      <w:r w:rsidRPr="00273BD0">
        <w:rPr>
          <w:rFonts w:ascii="Times New Roman" w:eastAsia="Calibri" w:hAnsi="Times New Roman"/>
          <w:szCs w:val="24"/>
        </w:rPr>
        <w:t>. The court must notify the parties and any surety of the hearing in writing or electronically. The forfeiture hearing may be combined with a Rule 7.5(d) hearing.</w:t>
      </w:r>
    </w:p>
    <w:p w14:paraId="4AF7EB94" w14:textId="6BA0632E" w:rsidR="008029E7" w:rsidRPr="00273BD0" w:rsidRDefault="008029E7"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Forfeiture.</w:t>
      </w:r>
      <w:r w:rsidRPr="00273BD0">
        <w:rPr>
          <w:rFonts w:ascii="Times New Roman" w:eastAsia="Calibri" w:hAnsi="Times New Roman"/>
          <w:szCs w:val="24"/>
        </w:rPr>
        <w:t xml:space="preserve">  If the court finds that the violation is not excused, it may enter an order forfeiting all or part of the bond amount, and the State may enforce that order as a civil judgment. The order must comply with Arizona Rule of Civil Procedure 58(a).</w:t>
      </w:r>
      <w:r w:rsidR="00273BD0">
        <w:rPr>
          <w:rFonts w:ascii="Times New Roman" w:eastAsia="Calibri" w:hAnsi="Times New Roman"/>
          <w:szCs w:val="24"/>
        </w:rPr>
        <w:br/>
      </w:r>
    </w:p>
    <w:p w14:paraId="5866E751" w14:textId="7EC4EE08" w:rsidR="00767203" w:rsidRPr="00273BD0" w:rsidRDefault="00767203" w:rsidP="007703D4">
      <w:pPr>
        <w:overflowPunct/>
        <w:autoSpaceDE/>
        <w:autoSpaceDN/>
        <w:adjustRightInd/>
        <w:spacing w:after="160" w:line="480" w:lineRule="auto"/>
        <w:jc w:val="both"/>
        <w:textAlignment w:val="auto"/>
        <w:rPr>
          <w:rFonts w:ascii="Times New Roman" w:eastAsia="Calibri" w:hAnsi="Times New Roman"/>
          <w:szCs w:val="24"/>
        </w:rPr>
      </w:pPr>
      <w:r w:rsidRPr="00273BD0">
        <w:rPr>
          <w:rFonts w:ascii="Times New Roman" w:eastAsia="Calibri" w:hAnsi="Times New Roman"/>
          <w:szCs w:val="24"/>
        </w:rPr>
        <w:t>For ease of reference a clean version of the proposed Rule 7.6(d) is submitted as follows:</w:t>
      </w:r>
    </w:p>
    <w:p w14:paraId="24155752" w14:textId="63ECA06A" w:rsidR="008029E7" w:rsidRPr="00273BD0" w:rsidRDefault="00767203" w:rsidP="007703D4">
      <w:pPr>
        <w:keepNext/>
        <w:spacing w:line="240" w:lineRule="auto"/>
        <w:ind w:left="360" w:hanging="360"/>
        <w:jc w:val="both"/>
        <w:rPr>
          <w:rFonts w:ascii="Times New Roman" w:eastAsia="Calibri" w:hAnsi="Times New Roman"/>
          <w:szCs w:val="24"/>
        </w:rPr>
      </w:pPr>
      <w:r w:rsidRPr="00273BD0">
        <w:rPr>
          <w:rFonts w:ascii="Times New Roman" w:eastAsia="Calibri" w:hAnsi="Times New Roman"/>
          <w:b/>
          <w:szCs w:val="24"/>
        </w:rPr>
        <w:t>(</w:t>
      </w:r>
      <w:r w:rsidR="008029E7" w:rsidRPr="00273BD0">
        <w:rPr>
          <w:rFonts w:ascii="Times New Roman" w:eastAsia="Calibri" w:hAnsi="Times New Roman"/>
          <w:b/>
          <w:szCs w:val="24"/>
        </w:rPr>
        <w:t>d) Exoneration.</w:t>
      </w:r>
    </w:p>
    <w:p w14:paraId="05840139" w14:textId="168415EE" w:rsidR="008029E7" w:rsidRPr="00273BD0" w:rsidRDefault="008029E7" w:rsidP="007703D4">
      <w:pPr>
        <w:numPr>
          <w:ilvl w:val="1"/>
          <w:numId w:val="21"/>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Generally.</w:t>
      </w:r>
      <w:r w:rsidRPr="00273BD0">
        <w:rPr>
          <w:rFonts w:ascii="Times New Roman" w:eastAsia="Calibri" w:hAnsi="Times New Roman"/>
          <w:szCs w:val="24"/>
        </w:rPr>
        <w:t xml:space="preserve">  If the court finds before a violation that there is no further need for an appearance bond, it must exonerate the bond and order the return of any security.</w:t>
      </w:r>
    </w:p>
    <w:p w14:paraId="2BEB29E1" w14:textId="77777777" w:rsidR="008029E7" w:rsidRPr="00273BD0" w:rsidRDefault="008029E7"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If the Defendant Is Surrendered, In-Custody, or Transferred</w:t>
      </w:r>
      <w:r w:rsidRPr="00273BD0">
        <w:rPr>
          <w:rFonts w:ascii="Times New Roman" w:eastAsia="Calibri" w:hAnsi="Times New Roman"/>
          <w:b/>
          <w:szCs w:val="24"/>
        </w:rPr>
        <w:t>.</w:t>
      </w:r>
      <w:r w:rsidRPr="00273BD0">
        <w:rPr>
          <w:rFonts w:ascii="Times New Roman" w:eastAsia="Calibri" w:hAnsi="Times New Roman"/>
          <w:szCs w:val="24"/>
        </w:rPr>
        <w:t xml:space="preserve">  The court must exonerate the bond if:</w:t>
      </w:r>
    </w:p>
    <w:p w14:paraId="77B26B43" w14:textId="77777777" w:rsidR="008029E7" w:rsidRPr="00273BD0" w:rsidRDefault="008029E7"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the surety surrenders the defendant to the sheriff of the county in which the prosecution is pending, and:</w:t>
      </w:r>
    </w:p>
    <w:p w14:paraId="12C9D0F8" w14:textId="77777777" w:rsidR="008029E7" w:rsidRPr="00273BD0" w:rsidRDefault="008029E7"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zCs w:val="24"/>
        </w:rPr>
        <w:t>the surrender is on or before the day and time the defendant is ordered to appear in court; and</w:t>
      </w:r>
    </w:p>
    <w:p w14:paraId="636275A9" w14:textId="77777777" w:rsidR="008029E7" w:rsidRPr="00273BD0" w:rsidRDefault="008029E7"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zCs w:val="24"/>
        </w:rPr>
        <w:lastRenderedPageBreak/>
        <w:t>the sheriff informs the court of the defendant’s surrender;</w:t>
      </w:r>
    </w:p>
    <w:p w14:paraId="5348BDBE" w14:textId="77777777" w:rsidR="008029E7" w:rsidRPr="00273BD0" w:rsidRDefault="008029E7"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the defendant is in the custody of the sheriff of the county in which the prosecution is pending on or before the day and time the defendant is ordered to appear in court under the following conditions:</w:t>
      </w:r>
    </w:p>
    <w:p w14:paraId="28A40AB3" w14:textId="77777777" w:rsidR="008029E7" w:rsidRPr="00273BD0" w:rsidRDefault="008029E7"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zCs w:val="24"/>
        </w:rPr>
        <w:t>the surety provides the sheriff with an affidavit of surrender of the appearance bond; and</w:t>
      </w:r>
    </w:p>
    <w:p w14:paraId="383B455A" w14:textId="77777777" w:rsidR="008029E7" w:rsidRPr="00273BD0" w:rsidRDefault="008029E7"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zCs w:val="24"/>
        </w:rPr>
        <w:t>the sheriff reports the defendant is in custody and that the surety has provided an affidavit of surrender of the appearance bond; or</w:t>
      </w:r>
    </w:p>
    <w:p w14:paraId="54E05CBE" w14:textId="77777777" w:rsidR="008029E7" w:rsidRPr="00273BD0" w:rsidRDefault="008029E7"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the defendant is in the custody or any jurisdiction on or before the day and time the defendant is ordered to appear, and:</w:t>
      </w:r>
    </w:p>
    <w:p w14:paraId="3E52D711" w14:textId="77777777" w:rsidR="008029E7" w:rsidRPr="00273BD0" w:rsidRDefault="008029E7" w:rsidP="007703D4">
      <w:pPr>
        <w:numPr>
          <w:ilvl w:val="3"/>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the surety provides the sheriff of the prosecuting county an affidavit of surrender of the appearance bond; and</w:t>
      </w:r>
    </w:p>
    <w:p w14:paraId="1A8C8B02" w14:textId="431B5ACC" w:rsidR="008029E7" w:rsidRPr="00273BD0" w:rsidRDefault="008029E7" w:rsidP="007703D4">
      <w:pPr>
        <w:numPr>
          <w:ilvl w:val="3"/>
          <w:numId w:val="18"/>
        </w:numPr>
        <w:overflowPunct/>
        <w:autoSpaceDE/>
        <w:autoSpaceDN/>
        <w:adjustRightInd/>
        <w:spacing w:after="160" w:line="240" w:lineRule="auto"/>
        <w:ind w:left="1350"/>
        <w:jc w:val="both"/>
        <w:textAlignment w:val="auto"/>
        <w:rPr>
          <w:rFonts w:ascii="Times New Roman" w:eastAsia="Calibri" w:hAnsi="Times New Roman"/>
          <w:szCs w:val="24"/>
        </w:rPr>
      </w:pPr>
      <w:r w:rsidRPr="00273BD0">
        <w:rPr>
          <w:rFonts w:ascii="Times New Roman" w:eastAsia="Calibri" w:hAnsi="Times New Roman"/>
          <w:szCs w:val="24"/>
        </w:rPr>
        <w:t>the sheriff reports the defendant is in custody and that the surety has provided an affidavit of surrender of the appearance bond; or</w:t>
      </w:r>
    </w:p>
    <w:p w14:paraId="36702C14" w14:textId="77777777" w:rsidR="008029E7" w:rsidRPr="00273BD0" w:rsidRDefault="008029E7"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before the defendant was released to the custody of the surety, the defendant was released or transferred to the custody of another government agency, preventing the defendant from appearing in court on the scheduled court date and the surety establishes:</w:t>
      </w:r>
    </w:p>
    <w:p w14:paraId="0857CF6A" w14:textId="77777777" w:rsidR="008029E7" w:rsidRPr="00273BD0" w:rsidRDefault="008029E7"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zCs w:val="24"/>
        </w:rPr>
        <w:t>the surety did not know and could not have reasonably known of the release or transfer or that a release or transfer was likely to occur; and</w:t>
      </w:r>
    </w:p>
    <w:p w14:paraId="2BBCC850" w14:textId="77777777" w:rsidR="008029E7" w:rsidRPr="00273BD0" w:rsidRDefault="008029E7" w:rsidP="007703D4">
      <w:pPr>
        <w:numPr>
          <w:ilvl w:val="3"/>
          <w:numId w:val="18"/>
        </w:numPr>
        <w:tabs>
          <w:tab w:val="num" w:pos="1530"/>
        </w:tabs>
        <w:overflowPunct/>
        <w:autoSpaceDE/>
        <w:autoSpaceDN/>
        <w:adjustRightInd/>
        <w:spacing w:after="160" w:line="240" w:lineRule="auto"/>
        <w:ind w:left="1530" w:hanging="450"/>
        <w:jc w:val="both"/>
        <w:textAlignment w:val="auto"/>
        <w:rPr>
          <w:rFonts w:ascii="Times New Roman" w:eastAsia="Calibri" w:hAnsi="Times New Roman"/>
          <w:szCs w:val="24"/>
        </w:rPr>
      </w:pPr>
      <w:r w:rsidRPr="00273BD0">
        <w:rPr>
          <w:rFonts w:ascii="Times New Roman" w:eastAsia="Calibri" w:hAnsi="Times New Roman"/>
          <w:szCs w:val="24"/>
        </w:rPr>
        <w:t>the defendant’s failure to appear was a direct result of the release or transfer; or</w:t>
      </w:r>
    </w:p>
    <w:p w14:paraId="045D5E63" w14:textId="77777777" w:rsidR="008029E7" w:rsidRPr="00273BD0" w:rsidRDefault="008029E7"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the Defendant was returned to the custody of the prosecuting county within 180 days of the Defendant’s Failure to Appear by any surety, government agency, or by self-surrender.</w:t>
      </w:r>
    </w:p>
    <w:p w14:paraId="0CFAADB8" w14:textId="77777777" w:rsidR="008029E7" w:rsidRPr="00273BD0" w:rsidRDefault="008029E7"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Conditions When Not Required to Exonerate Bond</w:t>
      </w:r>
      <w:r w:rsidRPr="00273BD0">
        <w:rPr>
          <w:rFonts w:ascii="Times New Roman" w:eastAsia="Calibri" w:hAnsi="Times New Roman"/>
          <w:b/>
          <w:szCs w:val="24"/>
        </w:rPr>
        <w:t xml:space="preserve">.  </w:t>
      </w:r>
      <w:r w:rsidRPr="00273BD0">
        <w:rPr>
          <w:rFonts w:ascii="Times New Roman" w:eastAsia="Calibri" w:hAnsi="Times New Roman"/>
          <w:szCs w:val="24"/>
        </w:rPr>
        <w:t>The court is not required to exonerate the bond under subsection (d)(2)(D) if a detainer was placed on the defendant before the bond was posted or the release or transfer to another government agency was for 24 hours or less.</w:t>
      </w:r>
    </w:p>
    <w:p w14:paraId="07E736B3" w14:textId="77777777" w:rsidR="008029E7" w:rsidRPr="00273BD0" w:rsidRDefault="008029E7"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Other Circumstances.</w:t>
      </w:r>
      <w:r w:rsidRPr="00273BD0">
        <w:rPr>
          <w:rFonts w:ascii="Times New Roman" w:eastAsia="Calibri" w:hAnsi="Times New Roman"/>
          <w:szCs w:val="24"/>
        </w:rPr>
        <w:t xml:space="preserve">  In all other instances, the court may exonerate a bond if appropriate.</w:t>
      </w:r>
    </w:p>
    <w:p w14:paraId="4C2A361C" w14:textId="77777777" w:rsidR="008029E7" w:rsidRPr="00273BD0" w:rsidRDefault="008029E7" w:rsidP="007703D4">
      <w:pPr>
        <w:numPr>
          <w:ilvl w:val="1"/>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b/>
          <w:i/>
          <w:szCs w:val="24"/>
        </w:rPr>
        <w:t>Post-Forfeiture Notice</w:t>
      </w:r>
      <w:r w:rsidRPr="00273BD0">
        <w:rPr>
          <w:rFonts w:ascii="Times New Roman" w:eastAsia="Calibri" w:hAnsi="Times New Roman"/>
          <w:b/>
          <w:szCs w:val="24"/>
        </w:rPr>
        <w:t>.</w:t>
      </w:r>
      <w:r w:rsidRPr="00273BD0">
        <w:rPr>
          <w:rFonts w:ascii="Times New Roman" w:eastAsia="Calibri" w:hAnsi="Times New Roman"/>
          <w:szCs w:val="24"/>
        </w:rPr>
        <w:t xml:space="preserve">  After filing an order of forfeiture, the court must provide:</w:t>
      </w:r>
    </w:p>
    <w:p w14:paraId="0A6ABC26" w14:textId="77777777" w:rsidR="008029E7" w:rsidRPr="00273BD0" w:rsidRDefault="008029E7"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 xml:space="preserve">a copy of the order to the State, the defendant, the defendant’s attorney, and the surety; and </w:t>
      </w:r>
    </w:p>
    <w:p w14:paraId="3BC0A777" w14:textId="77777777" w:rsidR="008029E7" w:rsidRPr="00273BD0" w:rsidRDefault="008029E7" w:rsidP="007703D4">
      <w:pPr>
        <w:numPr>
          <w:ilvl w:val="2"/>
          <w:numId w:val="18"/>
        </w:numPr>
        <w:overflowPunct/>
        <w:autoSpaceDE/>
        <w:autoSpaceDN/>
        <w:adjustRightInd/>
        <w:spacing w:after="160" w:line="240" w:lineRule="auto"/>
        <w:jc w:val="both"/>
        <w:textAlignment w:val="auto"/>
        <w:rPr>
          <w:rFonts w:ascii="Times New Roman" w:eastAsia="Calibri" w:hAnsi="Times New Roman"/>
          <w:szCs w:val="24"/>
        </w:rPr>
      </w:pPr>
      <w:r w:rsidRPr="00273BD0">
        <w:rPr>
          <w:rFonts w:ascii="Times New Roman" w:eastAsia="Calibri" w:hAnsi="Times New Roman"/>
          <w:szCs w:val="24"/>
        </w:rPr>
        <w:t>a copy of a signed order to the county attorney for collection.</w:t>
      </w:r>
    </w:p>
    <w:p w14:paraId="11C3C30D" w14:textId="4D1DF3FC" w:rsidR="008029E7" w:rsidRP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Pr>
          <w:szCs w:val="24"/>
        </w:rPr>
        <w:lastRenderedPageBreak/>
        <w:tab/>
      </w:r>
      <w:r w:rsidR="00767203" w:rsidRPr="00273BD0">
        <w:rPr>
          <w:rFonts w:ascii="Times New Roman" w:hAnsi="Times New Roman"/>
          <w:szCs w:val="24"/>
        </w:rPr>
        <w:t>The rationale behind the revisions to 7.6(d) is to provide more structure and continuity throughout the State regarding</w:t>
      </w:r>
      <w:r w:rsidR="0007482A" w:rsidRPr="00273BD0">
        <w:rPr>
          <w:rFonts w:ascii="Times New Roman" w:hAnsi="Times New Roman"/>
          <w:szCs w:val="24"/>
        </w:rPr>
        <w:t xml:space="preserve"> bond forfeiture proceedings. </w:t>
      </w:r>
      <w:r w:rsidR="00767203" w:rsidRPr="00273BD0">
        <w:rPr>
          <w:rFonts w:ascii="Times New Roman" w:hAnsi="Times New Roman"/>
          <w:szCs w:val="24"/>
        </w:rPr>
        <w:t xml:space="preserve"> There are a lot of procedural differences from county to county in the State of Arizona on this Rule.  </w:t>
      </w:r>
      <w:r w:rsidR="0007482A" w:rsidRPr="00273BD0">
        <w:rPr>
          <w:rFonts w:ascii="Times New Roman" w:hAnsi="Times New Roman"/>
          <w:szCs w:val="24"/>
        </w:rPr>
        <w:t>First, c</w:t>
      </w:r>
      <w:r w:rsidR="00767203" w:rsidRPr="00273BD0">
        <w:rPr>
          <w:rFonts w:ascii="Times New Roman" w:hAnsi="Times New Roman"/>
          <w:szCs w:val="24"/>
        </w:rPr>
        <w:t xml:space="preserve">hanging the time period from “a reasonable time” to no sooner than 60 days but no more than 120 days would give the Court an appropriate window of time to set the first hearing.  Changing the rule to indicate “the first hearing” would also let the Courts know that there may be a continuance request.  The proposed language or a Comment to this portion would reflect that the Surety may request a continuance of this date if they are still searching to locate the Defendant </w:t>
      </w:r>
      <w:r w:rsidR="0007482A" w:rsidRPr="00273BD0">
        <w:rPr>
          <w:rFonts w:ascii="Times New Roman" w:hAnsi="Times New Roman"/>
          <w:szCs w:val="24"/>
        </w:rPr>
        <w:t xml:space="preserve">which is a common practice in the majority of the counties but would be helpful in the counties that believe the hearing </w:t>
      </w:r>
      <w:r w:rsidR="008F0FA8">
        <w:rPr>
          <w:rFonts w:ascii="Times New Roman" w:hAnsi="Times New Roman"/>
          <w:szCs w:val="24"/>
        </w:rPr>
        <w:t xml:space="preserve">should </w:t>
      </w:r>
      <w:r w:rsidR="0007482A" w:rsidRPr="00273BD0">
        <w:rPr>
          <w:rFonts w:ascii="Times New Roman" w:hAnsi="Times New Roman"/>
          <w:szCs w:val="24"/>
        </w:rPr>
        <w:t xml:space="preserve">not be continued.  </w:t>
      </w:r>
    </w:p>
    <w:p w14:paraId="5E22C939" w14:textId="10B2B58A" w:rsidR="0007482A" w:rsidRPr="00273BD0" w:rsidRDefault="0007482A"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273BD0">
        <w:rPr>
          <w:rFonts w:ascii="Times New Roman" w:hAnsi="Times New Roman"/>
          <w:szCs w:val="24"/>
        </w:rPr>
        <w:tab/>
        <w:t xml:space="preserve">Second, inserted Paragraph C allows for exoneration, prior to a Failure to Appear, when the Defendant is incarcerated in another county, other than the prosecuting county.  This provision would cover the case where the Defendant has two open cases in two counties and can only be incarcerated </w:t>
      </w:r>
      <w:r w:rsidR="008F0FA8">
        <w:rPr>
          <w:rFonts w:ascii="Times New Roman" w:hAnsi="Times New Roman"/>
          <w:szCs w:val="24"/>
        </w:rPr>
        <w:t>in one at a time.  That example</w:t>
      </w:r>
      <w:r w:rsidRPr="00273BD0">
        <w:rPr>
          <w:rFonts w:ascii="Times New Roman" w:hAnsi="Times New Roman"/>
          <w:szCs w:val="24"/>
        </w:rPr>
        <w:t xml:space="preserve"> would leave one county to exonerate but the other may forfeit</w:t>
      </w:r>
      <w:r w:rsidR="008F0FA8">
        <w:rPr>
          <w:rFonts w:ascii="Times New Roman" w:hAnsi="Times New Roman"/>
          <w:szCs w:val="24"/>
        </w:rPr>
        <w:t xml:space="preserve"> under the proposed rules</w:t>
      </w:r>
      <w:r w:rsidRPr="00273BD0">
        <w:rPr>
          <w:rFonts w:ascii="Times New Roman" w:hAnsi="Times New Roman"/>
          <w:szCs w:val="24"/>
        </w:rPr>
        <w:t xml:space="preserve">.  This provision allows the Surety to provide the Defendant’s whereabouts and incarceration status to all prosecuting counties, request their bond be exonerated, and the warrant be reissued.  The State would be able to immediately respond and know the exact whereabouts of the Defendant prior to the Failure to Appear violation.  </w:t>
      </w:r>
    </w:p>
    <w:p w14:paraId="0E848EC1" w14:textId="1089C8AE" w:rsidR="00273BD0" w:rsidRDefault="0007482A"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273BD0">
        <w:rPr>
          <w:rFonts w:ascii="Times New Roman" w:hAnsi="Times New Roman"/>
          <w:szCs w:val="24"/>
        </w:rPr>
        <w:tab/>
        <w:t>Third, the additional of paragraph E a</w:t>
      </w:r>
      <w:r w:rsidR="008F0FA8">
        <w:rPr>
          <w:rFonts w:ascii="Times New Roman" w:hAnsi="Times New Roman"/>
          <w:szCs w:val="24"/>
        </w:rPr>
        <w:t>llows for mandatory exoneration</w:t>
      </w:r>
      <w:r w:rsidRPr="00273BD0">
        <w:rPr>
          <w:rFonts w:ascii="Times New Roman" w:hAnsi="Times New Roman"/>
          <w:szCs w:val="24"/>
        </w:rPr>
        <w:t xml:space="preserve"> if the Defendant is returned to custody within a short period of time.  The paragraph is identical to a variety of other States including California.  Adding this provision would give more structure in terms of bond forfeitures after a Defendant’s failure to appear.  The counties differ on how bail proceedings after failure to appears are to be handled since they are discretionary at the moment and would remain discretionary under the current rule revision.  </w:t>
      </w:r>
      <w:r w:rsidR="00273BD0" w:rsidRPr="00273BD0">
        <w:rPr>
          <w:rFonts w:ascii="Times New Roman" w:hAnsi="Times New Roman"/>
          <w:szCs w:val="24"/>
        </w:rPr>
        <w:t>Similarly</w:t>
      </w:r>
      <w:r w:rsidRPr="00273BD0">
        <w:rPr>
          <w:rFonts w:ascii="Times New Roman" w:hAnsi="Times New Roman"/>
          <w:szCs w:val="24"/>
        </w:rPr>
        <w:t xml:space="preserve"> to the changes made in the Rule regarding the </w:t>
      </w:r>
      <w:r w:rsidRPr="00273BD0">
        <w:rPr>
          <w:rFonts w:ascii="Times New Roman" w:hAnsi="Times New Roman"/>
          <w:szCs w:val="24"/>
        </w:rPr>
        <w:lastRenderedPageBreak/>
        <w:t>return of the Defendant to custody prior to Failure to Appear Violation, the same</w:t>
      </w:r>
      <w:r w:rsidR="008F0FA8">
        <w:rPr>
          <w:rFonts w:ascii="Times New Roman" w:hAnsi="Times New Roman"/>
          <w:szCs w:val="24"/>
        </w:rPr>
        <w:t xml:space="preserve"> change</w:t>
      </w:r>
      <w:r w:rsidRPr="00273BD0">
        <w:rPr>
          <w:rFonts w:ascii="Times New Roman" w:hAnsi="Times New Roman"/>
          <w:szCs w:val="24"/>
        </w:rPr>
        <w:t xml:space="preserve"> need</w:t>
      </w:r>
      <w:r w:rsidR="008F0FA8">
        <w:rPr>
          <w:rFonts w:ascii="Times New Roman" w:hAnsi="Times New Roman"/>
          <w:szCs w:val="24"/>
        </w:rPr>
        <w:t>s</w:t>
      </w:r>
      <w:r w:rsidRPr="00273BD0">
        <w:rPr>
          <w:rFonts w:ascii="Times New Roman" w:hAnsi="Times New Roman"/>
          <w:szCs w:val="24"/>
        </w:rPr>
        <w:t xml:space="preserve"> </w:t>
      </w:r>
      <w:r w:rsidR="008F0FA8">
        <w:rPr>
          <w:rFonts w:ascii="Times New Roman" w:hAnsi="Times New Roman"/>
          <w:szCs w:val="24"/>
        </w:rPr>
        <w:t>t</w:t>
      </w:r>
      <w:r w:rsidRPr="00273BD0">
        <w:rPr>
          <w:rFonts w:ascii="Times New Roman" w:hAnsi="Times New Roman"/>
          <w:szCs w:val="24"/>
        </w:rPr>
        <w:t>o b</w:t>
      </w:r>
      <w:r w:rsidR="008F0FA8">
        <w:rPr>
          <w:rFonts w:ascii="Times New Roman" w:hAnsi="Times New Roman"/>
          <w:szCs w:val="24"/>
        </w:rPr>
        <w:t>e made to the rule which applies</w:t>
      </w:r>
      <w:r w:rsidRPr="00273BD0">
        <w:rPr>
          <w:rFonts w:ascii="Times New Roman" w:hAnsi="Times New Roman"/>
          <w:szCs w:val="24"/>
        </w:rPr>
        <w:t xml:space="preserve"> after the Defendant’s failure to appear.  Sureties have always been able to seek exonerate under the discretionary provision</w:t>
      </w:r>
      <w:r w:rsidR="008F0FA8">
        <w:rPr>
          <w:rFonts w:ascii="Times New Roman" w:hAnsi="Times New Roman"/>
          <w:szCs w:val="24"/>
        </w:rPr>
        <w:t xml:space="preserve"> and through case law</w:t>
      </w:r>
      <w:r w:rsidRPr="00273BD0">
        <w:rPr>
          <w:rFonts w:ascii="Times New Roman" w:hAnsi="Times New Roman"/>
          <w:szCs w:val="24"/>
        </w:rPr>
        <w:t xml:space="preserve"> </w:t>
      </w:r>
      <w:r w:rsidR="00273BD0" w:rsidRPr="00273BD0">
        <w:rPr>
          <w:rFonts w:ascii="Times New Roman" w:hAnsi="Times New Roman"/>
          <w:szCs w:val="24"/>
        </w:rPr>
        <w:t>by presenting mitigation that the Surety returned the Defendant to custody.  With the addition of Pre-Trial services and ankle monitors, the Surety is not always able to be the one to return the Defendant to custody based on the State’s ability to instantly kn</w:t>
      </w:r>
      <w:r w:rsidR="008F0FA8">
        <w:rPr>
          <w:rFonts w:ascii="Times New Roman" w:hAnsi="Times New Roman"/>
          <w:szCs w:val="24"/>
        </w:rPr>
        <w:t>ow about the failure to appear v</w:t>
      </w:r>
      <w:r w:rsidR="00273BD0" w:rsidRPr="00273BD0">
        <w:rPr>
          <w:rFonts w:ascii="Times New Roman" w:hAnsi="Times New Roman"/>
          <w:szCs w:val="24"/>
        </w:rPr>
        <w:t xml:space="preserve">iolation and the instant locating </w:t>
      </w:r>
      <w:r w:rsidR="008F0FA8">
        <w:rPr>
          <w:rFonts w:ascii="Times New Roman" w:hAnsi="Times New Roman"/>
          <w:szCs w:val="24"/>
        </w:rPr>
        <w:t xml:space="preserve">of the Defendant </w:t>
      </w:r>
      <w:r w:rsidR="00273BD0" w:rsidRPr="00273BD0">
        <w:rPr>
          <w:rFonts w:ascii="Times New Roman" w:hAnsi="Times New Roman"/>
          <w:szCs w:val="24"/>
        </w:rPr>
        <w:t xml:space="preserve">through a GPS ankle monitor.  Allowing the return to be by any government agency would allow for exoneration in that exact scenario.  </w:t>
      </w:r>
      <w:r w:rsidRPr="00273BD0">
        <w:rPr>
          <w:rFonts w:ascii="Times New Roman" w:hAnsi="Times New Roman"/>
          <w:szCs w:val="24"/>
        </w:rPr>
        <w:t xml:space="preserve">  </w:t>
      </w:r>
    </w:p>
    <w:p w14:paraId="2D9963C4" w14:textId="77777777" w:rsidR="00273BD0" w:rsidRP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p>
    <w:p w14:paraId="70E827BC" w14:textId="1806E60F" w:rsidR="00273BD0" w:rsidRP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b/>
          <w:szCs w:val="24"/>
          <w:u w:val="single"/>
        </w:rPr>
      </w:pPr>
      <w:r w:rsidRPr="00273BD0">
        <w:rPr>
          <w:rFonts w:ascii="Times New Roman" w:hAnsi="Times New Roman"/>
          <w:b/>
          <w:szCs w:val="24"/>
          <w:u w:val="single"/>
        </w:rPr>
        <w:t>Conclusion</w:t>
      </w:r>
    </w:p>
    <w:p w14:paraId="3B4661C8" w14:textId="2800F5E5" w:rsidR="00273BD0" w:rsidRP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273BD0">
        <w:rPr>
          <w:rFonts w:ascii="Times New Roman" w:hAnsi="Times New Roman"/>
          <w:szCs w:val="24"/>
        </w:rPr>
        <w:t xml:space="preserve">The Arizona Bail Bondsmen Association is very pleased to see bail reform and would like to actively participate and assist with these Rule revisions to propose rules that cover various scenarios.  The proposed rule changes in the Petition are certainly in the right direction.  The </w:t>
      </w:r>
      <w:r w:rsidR="008F0FA8" w:rsidRPr="00273BD0">
        <w:rPr>
          <w:rFonts w:ascii="Times New Roman" w:hAnsi="Times New Roman"/>
          <w:szCs w:val="24"/>
        </w:rPr>
        <w:t>Association</w:t>
      </w:r>
      <w:r w:rsidRPr="00273BD0">
        <w:rPr>
          <w:rFonts w:ascii="Times New Roman" w:hAnsi="Times New Roman"/>
          <w:szCs w:val="24"/>
        </w:rPr>
        <w:t xml:space="preserve"> requests this Court to consider the proposed changes mentioned above and believes with these revisions there will be a substantial positive change in the bail bond industry.  </w:t>
      </w:r>
    </w:p>
    <w:p w14:paraId="5DA56EEF" w14:textId="77777777" w:rsidR="00273BD0" w:rsidRPr="00273BD0" w:rsidRDefault="00273BD0" w:rsidP="007703D4">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p>
    <w:p w14:paraId="7E3E1C60" w14:textId="6D46EABF" w:rsidR="009D474F" w:rsidRPr="00273BD0" w:rsidRDefault="009D474F" w:rsidP="00273BD0">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480" w:lineRule="auto"/>
        <w:jc w:val="both"/>
        <w:rPr>
          <w:rFonts w:ascii="Times New Roman" w:hAnsi="Times New Roman"/>
          <w:szCs w:val="24"/>
        </w:rPr>
      </w:pPr>
      <w:r w:rsidRPr="00273BD0">
        <w:rPr>
          <w:rFonts w:ascii="Times New Roman" w:hAnsi="Times New Roman"/>
          <w:szCs w:val="24"/>
        </w:rPr>
        <w:t xml:space="preserve">RESPECTFULLY SUBMITTED this </w:t>
      </w:r>
      <w:r w:rsidR="002C4168" w:rsidRPr="00273BD0">
        <w:rPr>
          <w:rFonts w:ascii="Times New Roman" w:hAnsi="Times New Roman"/>
          <w:szCs w:val="24"/>
        </w:rPr>
        <w:t>14</w:t>
      </w:r>
      <w:r w:rsidR="00E50F03" w:rsidRPr="00273BD0">
        <w:rPr>
          <w:rFonts w:ascii="Times New Roman" w:hAnsi="Times New Roman"/>
          <w:szCs w:val="24"/>
          <w:vertAlign w:val="superscript"/>
        </w:rPr>
        <w:t>th</w:t>
      </w:r>
      <w:r w:rsidR="00E50F03" w:rsidRPr="00273BD0">
        <w:rPr>
          <w:rFonts w:ascii="Times New Roman" w:hAnsi="Times New Roman"/>
          <w:szCs w:val="24"/>
        </w:rPr>
        <w:t xml:space="preserve"> </w:t>
      </w:r>
      <w:r w:rsidR="00001231" w:rsidRPr="00273BD0">
        <w:rPr>
          <w:rFonts w:ascii="Times New Roman" w:hAnsi="Times New Roman"/>
          <w:szCs w:val="24"/>
        </w:rPr>
        <w:t xml:space="preserve">day of </w:t>
      </w:r>
      <w:r w:rsidR="003C7A89" w:rsidRPr="00273BD0">
        <w:rPr>
          <w:rFonts w:ascii="Times New Roman" w:hAnsi="Times New Roman"/>
          <w:szCs w:val="24"/>
        </w:rPr>
        <w:t>March, 2017</w:t>
      </w:r>
      <w:r w:rsidRPr="00273BD0">
        <w:rPr>
          <w:rFonts w:ascii="Times New Roman" w:hAnsi="Times New Roman"/>
          <w:szCs w:val="24"/>
        </w:rPr>
        <w:t xml:space="preserve">. </w:t>
      </w:r>
    </w:p>
    <w:p w14:paraId="57E67B14" w14:textId="77777777" w:rsidR="003F131C" w:rsidRPr="00273BD0" w:rsidRDefault="003F131C" w:rsidP="009D474F">
      <w:pPr>
        <w:pStyle w:val="DoubleSpacing"/>
        <w:ind w:left="5040"/>
        <w:jc w:val="center"/>
        <w:rPr>
          <w:rFonts w:ascii="Times New Roman" w:hAnsi="Times New Roman"/>
          <w:szCs w:val="24"/>
        </w:rPr>
      </w:pPr>
      <w:r w:rsidRPr="00273BD0">
        <w:rPr>
          <w:rFonts w:ascii="Times New Roman" w:hAnsi="Times New Roman"/>
          <w:szCs w:val="24"/>
        </w:rPr>
        <w:t>DUMOND LAW, PLLC</w:t>
      </w:r>
    </w:p>
    <w:p w14:paraId="2FD394A0" w14:textId="092E7FB8" w:rsidR="009D474F" w:rsidRPr="00273BD0" w:rsidRDefault="009D474F" w:rsidP="009D474F">
      <w:pPr>
        <w:pStyle w:val="DoubleSpacing"/>
        <w:ind w:left="5040"/>
        <w:jc w:val="center"/>
        <w:rPr>
          <w:rFonts w:ascii="Times New Roman" w:hAnsi="Times New Roman"/>
          <w:szCs w:val="24"/>
        </w:rPr>
      </w:pPr>
      <w:r w:rsidRPr="00273BD0">
        <w:rPr>
          <w:rFonts w:ascii="Times New Roman" w:hAnsi="Times New Roman"/>
          <w:szCs w:val="24"/>
        </w:rPr>
        <w:t xml:space="preserve"> </w:t>
      </w:r>
      <w:r w:rsidRPr="00273BD0">
        <w:rPr>
          <w:rFonts w:ascii="Times New Roman" w:hAnsi="Times New Roman"/>
          <w:szCs w:val="24"/>
        </w:rPr>
        <w:tab/>
      </w:r>
    </w:p>
    <w:p w14:paraId="62F97A71" w14:textId="77777777" w:rsidR="009D474F" w:rsidRPr="00273BD0" w:rsidRDefault="009D474F" w:rsidP="009D474F">
      <w:pPr>
        <w:pStyle w:val="Default"/>
        <w:rPr>
          <w:color w:val="auto"/>
          <w:position w:val="-5"/>
        </w:rPr>
      </w:pPr>
    </w:p>
    <w:p w14:paraId="17DB235C" w14:textId="6003D0D1" w:rsidR="009D474F" w:rsidRPr="00273BD0" w:rsidRDefault="009D474F" w:rsidP="009D474F">
      <w:pPr>
        <w:pStyle w:val="Default"/>
        <w:ind w:left="4320" w:firstLine="720"/>
      </w:pPr>
      <w:r w:rsidRPr="00273BD0">
        <w:t xml:space="preserve">By: </w:t>
      </w:r>
      <w:r w:rsidRPr="00273BD0">
        <w:tab/>
      </w:r>
      <w:r w:rsidR="008F0FA8">
        <w:rPr>
          <w:i/>
          <w:iCs/>
          <w:u w:val="single"/>
        </w:rPr>
        <w:t xml:space="preserve">/s/ Samantha K DuMond </w:t>
      </w:r>
      <w:bookmarkStart w:id="1" w:name="_GoBack"/>
      <w:bookmarkEnd w:id="1"/>
    </w:p>
    <w:p w14:paraId="4CE83FE3" w14:textId="77777777" w:rsidR="009D474F" w:rsidRPr="00273BD0" w:rsidRDefault="009D474F" w:rsidP="009D474F">
      <w:pPr>
        <w:pStyle w:val="DoubleSpacing"/>
        <w:spacing w:line="240" w:lineRule="auto"/>
        <w:ind w:left="5040" w:firstLine="720"/>
        <w:rPr>
          <w:rFonts w:ascii="Times New Roman" w:hAnsi="Times New Roman"/>
          <w:szCs w:val="24"/>
        </w:rPr>
      </w:pPr>
      <w:r w:rsidRPr="00273BD0">
        <w:rPr>
          <w:rFonts w:ascii="Times New Roman" w:hAnsi="Times New Roman"/>
          <w:szCs w:val="24"/>
        </w:rPr>
        <w:t>Samantha K DuMond</w:t>
      </w:r>
    </w:p>
    <w:p w14:paraId="04E7BB8A" w14:textId="33418DAF" w:rsidR="009D474F" w:rsidRPr="00273BD0" w:rsidRDefault="009D474F" w:rsidP="00581065">
      <w:pPr>
        <w:pStyle w:val="DoubleSpacing"/>
        <w:spacing w:line="240" w:lineRule="auto"/>
        <w:ind w:left="5760"/>
        <w:rPr>
          <w:rFonts w:ascii="Times New Roman" w:hAnsi="Times New Roman"/>
          <w:i/>
          <w:szCs w:val="24"/>
        </w:rPr>
      </w:pPr>
      <w:r w:rsidRPr="00273BD0">
        <w:rPr>
          <w:rFonts w:ascii="Times New Roman" w:hAnsi="Times New Roman"/>
          <w:i/>
          <w:szCs w:val="24"/>
        </w:rPr>
        <w:t xml:space="preserve">Attorney </w:t>
      </w:r>
      <w:r w:rsidR="00581065" w:rsidRPr="00273BD0">
        <w:rPr>
          <w:rFonts w:ascii="Times New Roman" w:hAnsi="Times New Roman"/>
          <w:i/>
          <w:szCs w:val="24"/>
        </w:rPr>
        <w:t>for the Arizona Bail Bondsmen Association</w:t>
      </w:r>
    </w:p>
    <w:p w14:paraId="19CDBE4F" w14:textId="77777777" w:rsidR="00C168A9" w:rsidRPr="00273BD0" w:rsidRDefault="00C168A9" w:rsidP="000A78B1">
      <w:pPr>
        <w:pStyle w:val="Default"/>
      </w:pPr>
    </w:p>
    <w:p w14:paraId="31FE6FE9" w14:textId="05D997A5" w:rsidR="001E6418" w:rsidRPr="00273BD0" w:rsidRDefault="001E6418" w:rsidP="00581065">
      <w:pPr>
        <w:overflowPunct/>
        <w:autoSpaceDE/>
        <w:autoSpaceDN/>
        <w:adjustRightInd/>
        <w:spacing w:line="240" w:lineRule="auto"/>
        <w:textAlignment w:val="auto"/>
        <w:rPr>
          <w:rFonts w:ascii="Times New Roman" w:hAnsi="Times New Roman"/>
          <w:b/>
          <w:color w:val="000000"/>
          <w:position w:val="0"/>
          <w:szCs w:val="24"/>
        </w:rPr>
      </w:pPr>
    </w:p>
    <w:sectPr w:rsidR="001E6418" w:rsidRPr="00273BD0" w:rsidSect="00C56F4C">
      <w:headerReference w:type="default" r:id="rId9"/>
      <w:footerReference w:type="default" r:id="rId10"/>
      <w:headerReference w:type="first" r:id="rId11"/>
      <w:pgSz w:w="12240" w:h="15840"/>
      <w:pgMar w:top="1728" w:right="1008"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A3CE0" w14:textId="77777777" w:rsidR="007703D4" w:rsidRDefault="007703D4">
      <w:r>
        <w:separator/>
      </w:r>
    </w:p>
  </w:endnote>
  <w:endnote w:type="continuationSeparator" w:id="0">
    <w:p w14:paraId="19AF67E2" w14:textId="77777777" w:rsidR="007703D4" w:rsidRDefault="0077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225CF" w14:textId="1B65FC8F" w:rsidR="007703D4" w:rsidRDefault="007703D4">
    <w:pPr>
      <w:pStyle w:val="Footer"/>
      <w:tabs>
        <w:tab w:val="clear" w:pos="4320"/>
        <w:tab w:val="center" w:pos="4680"/>
      </w:tabs>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8F0FA8">
      <w:rPr>
        <w:rStyle w:val="PageNumber"/>
        <w:noProof/>
      </w:rPr>
      <w:t>8</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391D9" w14:textId="77777777" w:rsidR="007703D4" w:rsidRDefault="007703D4">
      <w:r>
        <w:separator/>
      </w:r>
    </w:p>
  </w:footnote>
  <w:footnote w:type="continuationSeparator" w:id="0">
    <w:p w14:paraId="0094688C" w14:textId="77777777" w:rsidR="007703D4" w:rsidRDefault="007703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79D9" w14:textId="77777777" w:rsidR="007703D4" w:rsidRDefault="007703D4">
    <w:r>
      <w:rPr>
        <w:noProof/>
      </w:rPr>
      <mc:AlternateContent>
        <mc:Choice Requires="wps">
          <w:drawing>
            <wp:anchor distT="0" distB="0" distL="114300" distR="114300" simplePos="0" relativeHeight="251654656" behindDoc="0" locked="0" layoutInCell="0" allowOverlap="1" wp14:anchorId="1DEE1252" wp14:editId="51418371">
              <wp:simplePos x="0" y="0"/>
              <wp:positionH relativeFrom="margin">
                <wp:posOffset>-640080</wp:posOffset>
              </wp:positionH>
              <wp:positionV relativeFrom="margin">
                <wp:posOffset>-1905</wp:posOffset>
              </wp:positionV>
              <wp:extent cx="457200" cy="7902575"/>
              <wp:effectExtent l="0" t="3175" r="5080" b="635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90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1CF4F" w14:textId="77777777" w:rsidR="007703D4" w:rsidRDefault="007703D4">
                          <w:pPr>
                            <w:pStyle w:val="LineNumbers"/>
                          </w:pPr>
                          <w:r>
                            <w:t>1</w:t>
                          </w:r>
                        </w:p>
                        <w:p w14:paraId="258B03D6" w14:textId="77777777" w:rsidR="007703D4" w:rsidRDefault="007703D4">
                          <w:pPr>
                            <w:pStyle w:val="LineNumbers"/>
                          </w:pPr>
                          <w:r>
                            <w:t>2</w:t>
                          </w:r>
                        </w:p>
                        <w:p w14:paraId="611EDF10" w14:textId="77777777" w:rsidR="007703D4" w:rsidRDefault="007703D4">
                          <w:pPr>
                            <w:pStyle w:val="LineNumbers"/>
                          </w:pPr>
                          <w:r>
                            <w:t>3</w:t>
                          </w:r>
                        </w:p>
                        <w:p w14:paraId="78605D19" w14:textId="77777777" w:rsidR="007703D4" w:rsidRDefault="007703D4">
                          <w:pPr>
                            <w:pStyle w:val="LineNumbers"/>
                          </w:pPr>
                          <w:r>
                            <w:t>4</w:t>
                          </w:r>
                        </w:p>
                        <w:p w14:paraId="23E084B1" w14:textId="77777777" w:rsidR="007703D4" w:rsidRDefault="007703D4">
                          <w:pPr>
                            <w:pStyle w:val="LineNumbers"/>
                          </w:pPr>
                          <w:r>
                            <w:t>5</w:t>
                          </w:r>
                        </w:p>
                        <w:p w14:paraId="774F3079" w14:textId="77777777" w:rsidR="007703D4" w:rsidRDefault="007703D4">
                          <w:pPr>
                            <w:pStyle w:val="LineNumbers"/>
                          </w:pPr>
                          <w:r>
                            <w:t>6</w:t>
                          </w:r>
                        </w:p>
                        <w:p w14:paraId="3403784F" w14:textId="77777777" w:rsidR="007703D4" w:rsidRDefault="007703D4">
                          <w:pPr>
                            <w:pStyle w:val="LineNumbers"/>
                          </w:pPr>
                          <w:r>
                            <w:t>7</w:t>
                          </w:r>
                        </w:p>
                        <w:p w14:paraId="042B4D56" w14:textId="77777777" w:rsidR="007703D4" w:rsidRDefault="007703D4">
                          <w:pPr>
                            <w:pStyle w:val="LineNumbers"/>
                          </w:pPr>
                          <w:r>
                            <w:t>8</w:t>
                          </w:r>
                        </w:p>
                        <w:p w14:paraId="0C429F88" w14:textId="77777777" w:rsidR="007703D4" w:rsidRDefault="007703D4">
                          <w:pPr>
                            <w:pStyle w:val="LineNumbers"/>
                          </w:pPr>
                          <w:r>
                            <w:t>9</w:t>
                          </w:r>
                        </w:p>
                        <w:p w14:paraId="72EEDC3A" w14:textId="77777777" w:rsidR="007703D4" w:rsidRDefault="007703D4">
                          <w:pPr>
                            <w:pStyle w:val="LineNumbers"/>
                          </w:pPr>
                          <w:r>
                            <w:t>10</w:t>
                          </w:r>
                        </w:p>
                        <w:p w14:paraId="50838346" w14:textId="77777777" w:rsidR="007703D4" w:rsidRDefault="007703D4">
                          <w:pPr>
                            <w:pStyle w:val="LineNumbers"/>
                          </w:pPr>
                          <w:r>
                            <w:t>11</w:t>
                          </w:r>
                        </w:p>
                        <w:p w14:paraId="604FE4FA" w14:textId="77777777" w:rsidR="007703D4" w:rsidRDefault="007703D4">
                          <w:pPr>
                            <w:pStyle w:val="LineNumbers"/>
                          </w:pPr>
                          <w:r>
                            <w:t>12</w:t>
                          </w:r>
                        </w:p>
                        <w:p w14:paraId="74102EC6" w14:textId="77777777" w:rsidR="007703D4" w:rsidRDefault="007703D4">
                          <w:pPr>
                            <w:pStyle w:val="LineNumbers"/>
                          </w:pPr>
                          <w:r>
                            <w:t>13</w:t>
                          </w:r>
                        </w:p>
                        <w:p w14:paraId="2BDF479C" w14:textId="77777777" w:rsidR="007703D4" w:rsidRDefault="007703D4">
                          <w:pPr>
                            <w:pStyle w:val="LineNumbers"/>
                          </w:pPr>
                          <w:r>
                            <w:t>14</w:t>
                          </w:r>
                        </w:p>
                        <w:p w14:paraId="2FCAF1E2" w14:textId="77777777" w:rsidR="007703D4" w:rsidRDefault="007703D4">
                          <w:pPr>
                            <w:pStyle w:val="LineNumbers"/>
                          </w:pPr>
                          <w:r>
                            <w:t>15</w:t>
                          </w:r>
                        </w:p>
                        <w:p w14:paraId="17AE2626" w14:textId="77777777" w:rsidR="007703D4" w:rsidRDefault="007703D4">
                          <w:pPr>
                            <w:pStyle w:val="LineNumbers"/>
                          </w:pPr>
                          <w:r>
                            <w:t>16</w:t>
                          </w:r>
                        </w:p>
                        <w:p w14:paraId="0EFA3861" w14:textId="77777777" w:rsidR="007703D4" w:rsidRDefault="007703D4">
                          <w:pPr>
                            <w:pStyle w:val="LineNumbers"/>
                          </w:pPr>
                          <w:r>
                            <w:t>17</w:t>
                          </w:r>
                        </w:p>
                        <w:p w14:paraId="30519A09" w14:textId="77777777" w:rsidR="007703D4" w:rsidRDefault="007703D4">
                          <w:pPr>
                            <w:pStyle w:val="LineNumbers"/>
                          </w:pPr>
                          <w:r>
                            <w:t>18</w:t>
                          </w:r>
                        </w:p>
                        <w:p w14:paraId="458F18F8" w14:textId="77777777" w:rsidR="007703D4" w:rsidRDefault="007703D4">
                          <w:pPr>
                            <w:pStyle w:val="LineNumbers"/>
                          </w:pPr>
                          <w:r>
                            <w:t>19</w:t>
                          </w:r>
                        </w:p>
                        <w:p w14:paraId="1DBDC9CC" w14:textId="77777777" w:rsidR="007703D4" w:rsidRDefault="007703D4">
                          <w:pPr>
                            <w:pStyle w:val="LineNumbers"/>
                          </w:pPr>
                          <w:r>
                            <w:t>20</w:t>
                          </w:r>
                        </w:p>
                        <w:p w14:paraId="14F35993" w14:textId="77777777" w:rsidR="007703D4" w:rsidRDefault="007703D4">
                          <w:pPr>
                            <w:pStyle w:val="LineNumbers"/>
                          </w:pPr>
                          <w:r>
                            <w:t>21</w:t>
                          </w:r>
                        </w:p>
                        <w:p w14:paraId="56C0144C" w14:textId="77777777" w:rsidR="007703D4" w:rsidRDefault="007703D4">
                          <w:pPr>
                            <w:pStyle w:val="LineNumbers"/>
                          </w:pPr>
                          <w:r>
                            <w:t>22</w:t>
                          </w:r>
                        </w:p>
                        <w:p w14:paraId="21D794C8" w14:textId="77777777" w:rsidR="007703D4" w:rsidRDefault="007703D4">
                          <w:pPr>
                            <w:pStyle w:val="LineNumbers"/>
                          </w:pPr>
                          <w:r>
                            <w:t>23</w:t>
                          </w:r>
                        </w:p>
                        <w:p w14:paraId="66738915" w14:textId="77777777" w:rsidR="007703D4" w:rsidRDefault="007703D4">
                          <w:pPr>
                            <w:pStyle w:val="LineNumbers"/>
                          </w:pPr>
                          <w:r>
                            <w:t>24</w:t>
                          </w:r>
                        </w:p>
                        <w:p w14:paraId="795ECEF4" w14:textId="77777777" w:rsidR="007703D4" w:rsidRDefault="007703D4">
                          <w:pPr>
                            <w:pStyle w:val="LineNumbers"/>
                          </w:pPr>
                          <w:r>
                            <w:t>25</w:t>
                          </w:r>
                        </w:p>
                        <w:p w14:paraId="45366F29" w14:textId="77777777" w:rsidR="007703D4" w:rsidRDefault="007703D4">
                          <w:pPr>
                            <w:pStyle w:val="LineNumbers"/>
                          </w:pPr>
                          <w:r>
                            <w:t>26</w:t>
                          </w:r>
                        </w:p>
                        <w:p w14:paraId="54534FEF" w14:textId="77777777" w:rsidR="007703D4" w:rsidRDefault="007703D4">
                          <w:pPr>
                            <w:pStyle w:val="LineNumbe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0.35pt;margin-top:-.1pt;width:36pt;height:622.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" o:allowincell="f" filled="f" stroked="f">
              <v:textbox inset="0,0,0,0">
                <w:txbxContent>
                  <w:p w14:paraId="6851CF4F" w14:textId="77777777" w:rsidR="007703D4" w:rsidRDefault="007703D4">
                    <w:pPr>
                      <w:pStyle w:val="LineNumbers"/>
                    </w:pPr>
                    <w:r>
                      <w:t>1</w:t>
                    </w:r>
                  </w:p>
                  <w:p w14:paraId="258B03D6" w14:textId="77777777" w:rsidR="007703D4" w:rsidRDefault="007703D4">
                    <w:pPr>
                      <w:pStyle w:val="LineNumbers"/>
                    </w:pPr>
                    <w:r>
                      <w:t>2</w:t>
                    </w:r>
                  </w:p>
                  <w:p w14:paraId="611EDF10" w14:textId="77777777" w:rsidR="007703D4" w:rsidRDefault="007703D4">
                    <w:pPr>
                      <w:pStyle w:val="LineNumbers"/>
                    </w:pPr>
                    <w:r>
                      <w:t>3</w:t>
                    </w:r>
                  </w:p>
                  <w:p w14:paraId="78605D19" w14:textId="77777777" w:rsidR="007703D4" w:rsidRDefault="007703D4">
                    <w:pPr>
                      <w:pStyle w:val="LineNumbers"/>
                    </w:pPr>
                    <w:r>
                      <w:t>4</w:t>
                    </w:r>
                  </w:p>
                  <w:p w14:paraId="23E084B1" w14:textId="77777777" w:rsidR="007703D4" w:rsidRDefault="007703D4">
                    <w:pPr>
                      <w:pStyle w:val="LineNumbers"/>
                    </w:pPr>
                    <w:r>
                      <w:t>5</w:t>
                    </w:r>
                  </w:p>
                  <w:p w14:paraId="774F3079" w14:textId="77777777" w:rsidR="007703D4" w:rsidRDefault="007703D4">
                    <w:pPr>
                      <w:pStyle w:val="LineNumbers"/>
                    </w:pPr>
                    <w:r>
                      <w:t>6</w:t>
                    </w:r>
                  </w:p>
                  <w:p w14:paraId="3403784F" w14:textId="77777777" w:rsidR="007703D4" w:rsidRDefault="007703D4">
                    <w:pPr>
                      <w:pStyle w:val="LineNumbers"/>
                    </w:pPr>
                    <w:r>
                      <w:t>7</w:t>
                    </w:r>
                  </w:p>
                  <w:p w14:paraId="042B4D56" w14:textId="77777777" w:rsidR="007703D4" w:rsidRDefault="007703D4">
                    <w:pPr>
                      <w:pStyle w:val="LineNumbers"/>
                    </w:pPr>
                    <w:r>
                      <w:t>8</w:t>
                    </w:r>
                  </w:p>
                  <w:p w14:paraId="0C429F88" w14:textId="77777777" w:rsidR="007703D4" w:rsidRDefault="007703D4">
                    <w:pPr>
                      <w:pStyle w:val="LineNumbers"/>
                    </w:pPr>
                    <w:r>
                      <w:t>9</w:t>
                    </w:r>
                  </w:p>
                  <w:p w14:paraId="72EEDC3A" w14:textId="77777777" w:rsidR="007703D4" w:rsidRDefault="007703D4">
                    <w:pPr>
                      <w:pStyle w:val="LineNumbers"/>
                    </w:pPr>
                    <w:r>
                      <w:t>10</w:t>
                    </w:r>
                  </w:p>
                  <w:p w14:paraId="50838346" w14:textId="77777777" w:rsidR="007703D4" w:rsidRDefault="007703D4">
                    <w:pPr>
                      <w:pStyle w:val="LineNumbers"/>
                    </w:pPr>
                    <w:r>
                      <w:t>11</w:t>
                    </w:r>
                  </w:p>
                  <w:p w14:paraId="604FE4FA" w14:textId="77777777" w:rsidR="007703D4" w:rsidRDefault="007703D4">
                    <w:pPr>
                      <w:pStyle w:val="LineNumbers"/>
                    </w:pPr>
                    <w:r>
                      <w:t>12</w:t>
                    </w:r>
                  </w:p>
                  <w:p w14:paraId="74102EC6" w14:textId="77777777" w:rsidR="007703D4" w:rsidRDefault="007703D4">
                    <w:pPr>
                      <w:pStyle w:val="LineNumbers"/>
                    </w:pPr>
                    <w:r>
                      <w:t>13</w:t>
                    </w:r>
                  </w:p>
                  <w:p w14:paraId="2BDF479C" w14:textId="77777777" w:rsidR="007703D4" w:rsidRDefault="007703D4">
                    <w:pPr>
                      <w:pStyle w:val="LineNumbers"/>
                    </w:pPr>
                    <w:r>
                      <w:t>14</w:t>
                    </w:r>
                  </w:p>
                  <w:p w14:paraId="2FCAF1E2" w14:textId="77777777" w:rsidR="007703D4" w:rsidRDefault="007703D4">
                    <w:pPr>
                      <w:pStyle w:val="LineNumbers"/>
                    </w:pPr>
                    <w:r>
                      <w:t>15</w:t>
                    </w:r>
                  </w:p>
                  <w:p w14:paraId="17AE2626" w14:textId="77777777" w:rsidR="007703D4" w:rsidRDefault="007703D4">
                    <w:pPr>
                      <w:pStyle w:val="LineNumbers"/>
                    </w:pPr>
                    <w:r>
                      <w:t>16</w:t>
                    </w:r>
                  </w:p>
                  <w:p w14:paraId="0EFA3861" w14:textId="77777777" w:rsidR="007703D4" w:rsidRDefault="007703D4">
                    <w:pPr>
                      <w:pStyle w:val="LineNumbers"/>
                    </w:pPr>
                    <w:r>
                      <w:t>17</w:t>
                    </w:r>
                  </w:p>
                  <w:p w14:paraId="30519A09" w14:textId="77777777" w:rsidR="007703D4" w:rsidRDefault="007703D4">
                    <w:pPr>
                      <w:pStyle w:val="LineNumbers"/>
                    </w:pPr>
                    <w:r>
                      <w:t>18</w:t>
                    </w:r>
                  </w:p>
                  <w:p w14:paraId="458F18F8" w14:textId="77777777" w:rsidR="007703D4" w:rsidRDefault="007703D4">
                    <w:pPr>
                      <w:pStyle w:val="LineNumbers"/>
                    </w:pPr>
                    <w:r>
                      <w:t>19</w:t>
                    </w:r>
                  </w:p>
                  <w:p w14:paraId="1DBDC9CC" w14:textId="77777777" w:rsidR="007703D4" w:rsidRDefault="007703D4">
                    <w:pPr>
                      <w:pStyle w:val="LineNumbers"/>
                    </w:pPr>
                    <w:r>
                      <w:t>20</w:t>
                    </w:r>
                  </w:p>
                  <w:p w14:paraId="14F35993" w14:textId="77777777" w:rsidR="007703D4" w:rsidRDefault="007703D4">
                    <w:pPr>
                      <w:pStyle w:val="LineNumbers"/>
                    </w:pPr>
                    <w:r>
                      <w:t>21</w:t>
                    </w:r>
                  </w:p>
                  <w:p w14:paraId="56C0144C" w14:textId="77777777" w:rsidR="007703D4" w:rsidRDefault="007703D4">
                    <w:pPr>
                      <w:pStyle w:val="LineNumbers"/>
                    </w:pPr>
                    <w:r>
                      <w:t>22</w:t>
                    </w:r>
                  </w:p>
                  <w:p w14:paraId="21D794C8" w14:textId="77777777" w:rsidR="007703D4" w:rsidRDefault="007703D4">
                    <w:pPr>
                      <w:pStyle w:val="LineNumbers"/>
                    </w:pPr>
                    <w:r>
                      <w:t>23</w:t>
                    </w:r>
                  </w:p>
                  <w:p w14:paraId="66738915" w14:textId="77777777" w:rsidR="007703D4" w:rsidRDefault="007703D4">
                    <w:pPr>
                      <w:pStyle w:val="LineNumbers"/>
                    </w:pPr>
                    <w:r>
                      <w:t>24</w:t>
                    </w:r>
                  </w:p>
                  <w:p w14:paraId="795ECEF4" w14:textId="77777777" w:rsidR="007703D4" w:rsidRDefault="007703D4">
                    <w:pPr>
                      <w:pStyle w:val="LineNumbers"/>
                    </w:pPr>
                    <w:r>
                      <w:t>25</w:t>
                    </w:r>
                  </w:p>
                  <w:p w14:paraId="45366F29" w14:textId="77777777" w:rsidR="007703D4" w:rsidRDefault="007703D4">
                    <w:pPr>
                      <w:pStyle w:val="LineNumbers"/>
                    </w:pPr>
                    <w:r>
                      <w:t>26</w:t>
                    </w:r>
                  </w:p>
                  <w:p w14:paraId="54534FEF" w14:textId="77777777" w:rsidR="007703D4" w:rsidRDefault="007703D4">
                    <w:pPr>
                      <w:pStyle w:val="LineNumbers"/>
                    </w:pPr>
                  </w:p>
                </w:txbxContent>
              </v:textbox>
              <w10:wrap anchorx="margin" anchory="margin"/>
            </v:rect>
          </w:pict>
        </mc:Fallback>
      </mc:AlternateContent>
    </w:r>
    <w:r>
      <w:rPr>
        <w:noProof/>
      </w:rPr>
      <mc:AlternateContent>
        <mc:Choice Requires="wps">
          <w:drawing>
            <wp:anchor distT="0" distB="0" distL="114300" distR="114300" simplePos="0" relativeHeight="251658752" behindDoc="0" locked="1" layoutInCell="0" allowOverlap="1" wp14:anchorId="595C73F8" wp14:editId="4AD9DCD7">
              <wp:simplePos x="0" y="0"/>
              <wp:positionH relativeFrom="margin">
                <wp:posOffset>5989320</wp:posOffset>
              </wp:positionH>
              <wp:positionV relativeFrom="page">
                <wp:posOffset>0</wp:posOffset>
              </wp:positionV>
              <wp:extent cx="635" cy="10058400"/>
              <wp:effectExtent l="0" t="0" r="4445"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F64DF4" id="Line 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oM7QEAAJc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" o:allowincell="f" stroked="f">
              <w10:wrap anchorx="margin" anchory="page"/>
              <w10:anchorlock/>
            </v:line>
          </w:pict>
        </mc:Fallback>
      </mc:AlternateContent>
    </w:r>
    <w:r>
      <w:rPr>
        <w:noProof/>
      </w:rPr>
      <mc:AlternateContent>
        <mc:Choice Requires="wps">
          <w:drawing>
            <wp:anchor distT="0" distB="0" distL="114300" distR="114300" simplePos="0" relativeHeight="251655680" behindDoc="0" locked="1" layoutInCell="0" allowOverlap="1" wp14:anchorId="22FA0597" wp14:editId="6CB53164">
              <wp:simplePos x="0" y="0"/>
              <wp:positionH relativeFrom="margin">
                <wp:posOffset>-45720</wp:posOffset>
              </wp:positionH>
              <wp:positionV relativeFrom="page">
                <wp:posOffset>0</wp:posOffset>
              </wp:positionV>
              <wp:extent cx="635" cy="10058400"/>
              <wp:effectExtent l="17780" t="12700" r="19685"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427170" id="Line 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" o:allowincell="f">
              <v:stroke startarrowwidth="narrow" startarrowlength="short" endarrowwidth="narrow" endarrowlength="short"/>
              <w10:wrap anchorx="margin" anchory="page"/>
              <w10:anchorlock/>
            </v:line>
          </w:pict>
        </mc:Fallback>
      </mc:AlternateContent>
    </w:r>
    <w:r>
      <w:rPr>
        <w:noProof/>
      </w:rPr>
      <mc:AlternateContent>
        <mc:Choice Requires="wps">
          <w:drawing>
            <wp:anchor distT="0" distB="0" distL="114300" distR="114300" simplePos="0" relativeHeight="251656704" behindDoc="0" locked="0" layoutInCell="0" allowOverlap="1" wp14:anchorId="7E34CABA" wp14:editId="4A523615">
              <wp:simplePos x="0" y="0"/>
              <wp:positionH relativeFrom="margin">
                <wp:posOffset>-91440</wp:posOffset>
              </wp:positionH>
              <wp:positionV relativeFrom="page">
                <wp:posOffset>0</wp:posOffset>
              </wp:positionV>
              <wp:extent cx="635" cy="10058400"/>
              <wp:effectExtent l="10160" t="12700" r="27305"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42DADA"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" o:allowincell="f">
              <v:stroke startarrowwidth="narrow" startarrowlength="short" endarrowwidth="narrow" endarrowlength="short"/>
              <w10:wrap anchorx="margin"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6A5B4" w14:textId="77777777" w:rsidR="007703D4" w:rsidRDefault="007703D4">
    <w:pPr>
      <w:pStyle w:val="Header"/>
    </w:pPr>
    <w:r>
      <w:rPr>
        <w:noProof/>
      </w:rPr>
      <mc:AlternateContent>
        <mc:Choice Requires="wps">
          <w:drawing>
            <wp:anchor distT="0" distB="0" distL="114300" distR="114300" simplePos="0" relativeHeight="251657728" behindDoc="0" locked="0" layoutInCell="0" allowOverlap="1" wp14:anchorId="4EF1AEDA" wp14:editId="28CDB844">
              <wp:simplePos x="0" y="0"/>
              <wp:positionH relativeFrom="margin">
                <wp:posOffset>-640080</wp:posOffset>
              </wp:positionH>
              <wp:positionV relativeFrom="margin">
                <wp:posOffset>-146050</wp:posOffset>
              </wp:positionV>
              <wp:extent cx="457200" cy="8046720"/>
              <wp:effectExtent l="0" t="0" r="5080"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04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981B" w14:textId="77777777" w:rsidR="007703D4" w:rsidRDefault="007703D4">
                          <w:pPr>
                            <w:pStyle w:val="LineNumbers"/>
                          </w:pPr>
                          <w:r>
                            <w:t>1</w:t>
                          </w:r>
                        </w:p>
                        <w:p w14:paraId="72752F67" w14:textId="77777777" w:rsidR="007703D4" w:rsidRDefault="007703D4">
                          <w:pPr>
                            <w:pStyle w:val="LineNumbers"/>
                          </w:pPr>
                          <w:r>
                            <w:t>2</w:t>
                          </w:r>
                        </w:p>
                        <w:p w14:paraId="14A87C54" w14:textId="77777777" w:rsidR="007703D4" w:rsidRDefault="007703D4">
                          <w:pPr>
                            <w:pStyle w:val="LineNumbers"/>
                          </w:pPr>
                          <w:r>
                            <w:t>3</w:t>
                          </w:r>
                        </w:p>
                        <w:p w14:paraId="1EB66A60" w14:textId="77777777" w:rsidR="007703D4" w:rsidRDefault="007703D4">
                          <w:pPr>
                            <w:pStyle w:val="LineNumbers"/>
                          </w:pPr>
                          <w:r>
                            <w:t>4</w:t>
                          </w:r>
                        </w:p>
                        <w:p w14:paraId="571B9FC4" w14:textId="77777777" w:rsidR="007703D4" w:rsidRDefault="007703D4">
                          <w:pPr>
                            <w:pStyle w:val="LineNumbers"/>
                          </w:pPr>
                          <w:r>
                            <w:t>5</w:t>
                          </w:r>
                        </w:p>
                        <w:p w14:paraId="59CD1990" w14:textId="77777777" w:rsidR="007703D4" w:rsidRDefault="007703D4">
                          <w:pPr>
                            <w:pStyle w:val="LineNumbers"/>
                          </w:pPr>
                          <w:r>
                            <w:t>6</w:t>
                          </w:r>
                        </w:p>
                        <w:p w14:paraId="2C5A90B7" w14:textId="77777777" w:rsidR="007703D4" w:rsidRDefault="007703D4">
                          <w:pPr>
                            <w:pStyle w:val="LineNumbers"/>
                          </w:pPr>
                          <w:r>
                            <w:t>7</w:t>
                          </w:r>
                        </w:p>
                        <w:p w14:paraId="296E896F" w14:textId="77777777" w:rsidR="007703D4" w:rsidRDefault="007703D4">
                          <w:pPr>
                            <w:pStyle w:val="LineNumbers"/>
                          </w:pPr>
                          <w:r>
                            <w:t>8</w:t>
                          </w:r>
                        </w:p>
                        <w:p w14:paraId="109B2FB5" w14:textId="77777777" w:rsidR="007703D4" w:rsidRDefault="007703D4">
                          <w:pPr>
                            <w:pStyle w:val="LineNumbers"/>
                          </w:pPr>
                          <w:r>
                            <w:t>9</w:t>
                          </w:r>
                        </w:p>
                        <w:p w14:paraId="2C81F810" w14:textId="77777777" w:rsidR="007703D4" w:rsidRDefault="007703D4">
                          <w:pPr>
                            <w:pStyle w:val="LineNumbers"/>
                          </w:pPr>
                          <w:r>
                            <w:t>10</w:t>
                          </w:r>
                        </w:p>
                        <w:p w14:paraId="11165854" w14:textId="77777777" w:rsidR="007703D4" w:rsidRDefault="007703D4">
                          <w:pPr>
                            <w:pStyle w:val="LineNumbers"/>
                          </w:pPr>
                          <w:r>
                            <w:t>11</w:t>
                          </w:r>
                        </w:p>
                        <w:p w14:paraId="2147522E" w14:textId="77777777" w:rsidR="007703D4" w:rsidRDefault="007703D4">
                          <w:pPr>
                            <w:pStyle w:val="LineNumbers"/>
                          </w:pPr>
                          <w:r>
                            <w:t>12</w:t>
                          </w:r>
                        </w:p>
                        <w:p w14:paraId="48286303" w14:textId="77777777" w:rsidR="007703D4" w:rsidRDefault="007703D4">
                          <w:pPr>
                            <w:pStyle w:val="LineNumbers"/>
                          </w:pPr>
                          <w:r>
                            <w:t>13</w:t>
                          </w:r>
                        </w:p>
                        <w:p w14:paraId="506B3BB0" w14:textId="77777777" w:rsidR="007703D4" w:rsidRDefault="007703D4">
                          <w:pPr>
                            <w:pStyle w:val="LineNumbers"/>
                          </w:pPr>
                          <w:r>
                            <w:t>14</w:t>
                          </w:r>
                        </w:p>
                        <w:p w14:paraId="3CDDA15C" w14:textId="77777777" w:rsidR="007703D4" w:rsidRDefault="007703D4">
                          <w:pPr>
                            <w:pStyle w:val="LineNumbers"/>
                          </w:pPr>
                          <w:r>
                            <w:t>15</w:t>
                          </w:r>
                        </w:p>
                        <w:p w14:paraId="1D8418C5" w14:textId="77777777" w:rsidR="007703D4" w:rsidRDefault="007703D4">
                          <w:pPr>
                            <w:pStyle w:val="LineNumbers"/>
                          </w:pPr>
                          <w:r>
                            <w:t>16</w:t>
                          </w:r>
                        </w:p>
                        <w:p w14:paraId="6FB708F1" w14:textId="77777777" w:rsidR="007703D4" w:rsidRDefault="007703D4">
                          <w:pPr>
                            <w:pStyle w:val="LineNumbers"/>
                          </w:pPr>
                          <w:r>
                            <w:t>17</w:t>
                          </w:r>
                        </w:p>
                        <w:p w14:paraId="5BDEFB69" w14:textId="77777777" w:rsidR="007703D4" w:rsidRDefault="007703D4">
                          <w:pPr>
                            <w:pStyle w:val="LineNumbers"/>
                          </w:pPr>
                          <w:r>
                            <w:t>18</w:t>
                          </w:r>
                        </w:p>
                        <w:p w14:paraId="145FE0B6" w14:textId="77777777" w:rsidR="007703D4" w:rsidRDefault="007703D4">
                          <w:pPr>
                            <w:pStyle w:val="LineNumbers"/>
                          </w:pPr>
                          <w:r>
                            <w:t>19</w:t>
                          </w:r>
                        </w:p>
                        <w:p w14:paraId="3D3C595E" w14:textId="77777777" w:rsidR="007703D4" w:rsidRDefault="007703D4">
                          <w:pPr>
                            <w:pStyle w:val="LineNumbers"/>
                          </w:pPr>
                          <w:r>
                            <w:t>20</w:t>
                          </w:r>
                        </w:p>
                        <w:p w14:paraId="4F3D4E47" w14:textId="77777777" w:rsidR="007703D4" w:rsidRDefault="007703D4">
                          <w:pPr>
                            <w:pStyle w:val="LineNumbers"/>
                          </w:pPr>
                          <w:r>
                            <w:t>21</w:t>
                          </w:r>
                        </w:p>
                        <w:p w14:paraId="7DF0DF8B" w14:textId="77777777" w:rsidR="007703D4" w:rsidRDefault="007703D4">
                          <w:pPr>
                            <w:pStyle w:val="LineNumbers"/>
                          </w:pPr>
                          <w:r>
                            <w:t>22</w:t>
                          </w:r>
                        </w:p>
                        <w:p w14:paraId="1CBCCAF7" w14:textId="77777777" w:rsidR="007703D4" w:rsidRDefault="007703D4">
                          <w:pPr>
                            <w:pStyle w:val="LineNumbers"/>
                          </w:pPr>
                          <w:r>
                            <w:t>23</w:t>
                          </w:r>
                        </w:p>
                        <w:p w14:paraId="11C315C3" w14:textId="77777777" w:rsidR="007703D4" w:rsidRDefault="007703D4">
                          <w:pPr>
                            <w:pStyle w:val="LineNumbers"/>
                          </w:pPr>
                          <w:r>
                            <w:t>24</w:t>
                          </w:r>
                        </w:p>
                        <w:p w14:paraId="04269DE1" w14:textId="77777777" w:rsidR="007703D4" w:rsidRDefault="007703D4">
                          <w:pPr>
                            <w:pStyle w:val="LineNumbers"/>
                          </w:pPr>
                          <w:r>
                            <w:t>25</w:t>
                          </w:r>
                        </w:p>
                        <w:p w14:paraId="58837184" w14:textId="77777777" w:rsidR="007703D4" w:rsidRDefault="007703D4">
                          <w:pPr>
                            <w:pStyle w:val="LineNumbers"/>
                          </w:pPr>
                          <w:r>
                            <w:t>26</w:t>
                          </w:r>
                        </w:p>
                        <w:p w14:paraId="45A6B84F" w14:textId="77777777" w:rsidR="007703D4" w:rsidRDefault="007703D4">
                          <w:pPr>
                            <w:pStyle w:val="LineNumbe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50.35pt;margin-top:-11.45pt;width:36pt;height:63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" o:allowincell="f" filled="f" stroked="f">
              <v:textbox inset="0,0,0,0">
                <w:txbxContent>
                  <w:p w14:paraId="5F41981B" w14:textId="77777777" w:rsidR="007703D4" w:rsidRDefault="007703D4">
                    <w:pPr>
                      <w:pStyle w:val="LineNumbers"/>
                    </w:pPr>
                    <w:r>
                      <w:t>1</w:t>
                    </w:r>
                  </w:p>
                  <w:p w14:paraId="72752F67" w14:textId="77777777" w:rsidR="007703D4" w:rsidRDefault="007703D4">
                    <w:pPr>
                      <w:pStyle w:val="LineNumbers"/>
                    </w:pPr>
                    <w:r>
                      <w:t>2</w:t>
                    </w:r>
                  </w:p>
                  <w:p w14:paraId="14A87C54" w14:textId="77777777" w:rsidR="007703D4" w:rsidRDefault="007703D4">
                    <w:pPr>
                      <w:pStyle w:val="LineNumbers"/>
                    </w:pPr>
                    <w:r>
                      <w:t>3</w:t>
                    </w:r>
                  </w:p>
                  <w:p w14:paraId="1EB66A60" w14:textId="77777777" w:rsidR="007703D4" w:rsidRDefault="007703D4">
                    <w:pPr>
                      <w:pStyle w:val="LineNumbers"/>
                    </w:pPr>
                    <w:r>
                      <w:t>4</w:t>
                    </w:r>
                  </w:p>
                  <w:p w14:paraId="571B9FC4" w14:textId="77777777" w:rsidR="007703D4" w:rsidRDefault="007703D4">
                    <w:pPr>
                      <w:pStyle w:val="LineNumbers"/>
                    </w:pPr>
                    <w:r>
                      <w:t>5</w:t>
                    </w:r>
                  </w:p>
                  <w:p w14:paraId="59CD1990" w14:textId="77777777" w:rsidR="007703D4" w:rsidRDefault="007703D4">
                    <w:pPr>
                      <w:pStyle w:val="LineNumbers"/>
                    </w:pPr>
                    <w:r>
                      <w:t>6</w:t>
                    </w:r>
                  </w:p>
                  <w:p w14:paraId="2C5A90B7" w14:textId="77777777" w:rsidR="007703D4" w:rsidRDefault="007703D4">
                    <w:pPr>
                      <w:pStyle w:val="LineNumbers"/>
                    </w:pPr>
                    <w:r>
                      <w:t>7</w:t>
                    </w:r>
                  </w:p>
                  <w:p w14:paraId="296E896F" w14:textId="77777777" w:rsidR="007703D4" w:rsidRDefault="007703D4">
                    <w:pPr>
                      <w:pStyle w:val="LineNumbers"/>
                    </w:pPr>
                    <w:r>
                      <w:t>8</w:t>
                    </w:r>
                  </w:p>
                  <w:p w14:paraId="109B2FB5" w14:textId="77777777" w:rsidR="007703D4" w:rsidRDefault="007703D4">
                    <w:pPr>
                      <w:pStyle w:val="LineNumbers"/>
                    </w:pPr>
                    <w:r>
                      <w:t>9</w:t>
                    </w:r>
                  </w:p>
                  <w:p w14:paraId="2C81F810" w14:textId="77777777" w:rsidR="007703D4" w:rsidRDefault="007703D4">
                    <w:pPr>
                      <w:pStyle w:val="LineNumbers"/>
                    </w:pPr>
                    <w:r>
                      <w:t>10</w:t>
                    </w:r>
                  </w:p>
                  <w:p w14:paraId="11165854" w14:textId="77777777" w:rsidR="007703D4" w:rsidRDefault="007703D4">
                    <w:pPr>
                      <w:pStyle w:val="LineNumbers"/>
                    </w:pPr>
                    <w:r>
                      <w:t>11</w:t>
                    </w:r>
                  </w:p>
                  <w:p w14:paraId="2147522E" w14:textId="77777777" w:rsidR="007703D4" w:rsidRDefault="007703D4">
                    <w:pPr>
                      <w:pStyle w:val="LineNumbers"/>
                    </w:pPr>
                    <w:r>
                      <w:t>12</w:t>
                    </w:r>
                  </w:p>
                  <w:p w14:paraId="48286303" w14:textId="77777777" w:rsidR="007703D4" w:rsidRDefault="007703D4">
                    <w:pPr>
                      <w:pStyle w:val="LineNumbers"/>
                    </w:pPr>
                    <w:r>
                      <w:t>13</w:t>
                    </w:r>
                  </w:p>
                  <w:p w14:paraId="506B3BB0" w14:textId="77777777" w:rsidR="007703D4" w:rsidRDefault="007703D4">
                    <w:pPr>
                      <w:pStyle w:val="LineNumbers"/>
                    </w:pPr>
                    <w:r>
                      <w:t>14</w:t>
                    </w:r>
                  </w:p>
                  <w:p w14:paraId="3CDDA15C" w14:textId="77777777" w:rsidR="007703D4" w:rsidRDefault="007703D4">
                    <w:pPr>
                      <w:pStyle w:val="LineNumbers"/>
                    </w:pPr>
                    <w:r>
                      <w:t>15</w:t>
                    </w:r>
                  </w:p>
                  <w:p w14:paraId="1D8418C5" w14:textId="77777777" w:rsidR="007703D4" w:rsidRDefault="007703D4">
                    <w:pPr>
                      <w:pStyle w:val="LineNumbers"/>
                    </w:pPr>
                    <w:r>
                      <w:t>16</w:t>
                    </w:r>
                  </w:p>
                  <w:p w14:paraId="6FB708F1" w14:textId="77777777" w:rsidR="007703D4" w:rsidRDefault="007703D4">
                    <w:pPr>
                      <w:pStyle w:val="LineNumbers"/>
                    </w:pPr>
                    <w:r>
                      <w:t>17</w:t>
                    </w:r>
                  </w:p>
                  <w:p w14:paraId="5BDEFB69" w14:textId="77777777" w:rsidR="007703D4" w:rsidRDefault="007703D4">
                    <w:pPr>
                      <w:pStyle w:val="LineNumbers"/>
                    </w:pPr>
                    <w:r>
                      <w:t>18</w:t>
                    </w:r>
                  </w:p>
                  <w:p w14:paraId="145FE0B6" w14:textId="77777777" w:rsidR="007703D4" w:rsidRDefault="007703D4">
                    <w:pPr>
                      <w:pStyle w:val="LineNumbers"/>
                    </w:pPr>
                    <w:r>
                      <w:t>19</w:t>
                    </w:r>
                  </w:p>
                  <w:p w14:paraId="3D3C595E" w14:textId="77777777" w:rsidR="007703D4" w:rsidRDefault="007703D4">
                    <w:pPr>
                      <w:pStyle w:val="LineNumbers"/>
                    </w:pPr>
                    <w:r>
                      <w:t>20</w:t>
                    </w:r>
                  </w:p>
                  <w:p w14:paraId="4F3D4E47" w14:textId="77777777" w:rsidR="007703D4" w:rsidRDefault="007703D4">
                    <w:pPr>
                      <w:pStyle w:val="LineNumbers"/>
                    </w:pPr>
                    <w:r>
                      <w:t>21</w:t>
                    </w:r>
                  </w:p>
                  <w:p w14:paraId="7DF0DF8B" w14:textId="77777777" w:rsidR="007703D4" w:rsidRDefault="007703D4">
                    <w:pPr>
                      <w:pStyle w:val="LineNumbers"/>
                    </w:pPr>
                    <w:r>
                      <w:t>22</w:t>
                    </w:r>
                  </w:p>
                  <w:p w14:paraId="1CBCCAF7" w14:textId="77777777" w:rsidR="007703D4" w:rsidRDefault="007703D4">
                    <w:pPr>
                      <w:pStyle w:val="LineNumbers"/>
                    </w:pPr>
                    <w:r>
                      <w:t>23</w:t>
                    </w:r>
                  </w:p>
                  <w:p w14:paraId="11C315C3" w14:textId="77777777" w:rsidR="007703D4" w:rsidRDefault="007703D4">
                    <w:pPr>
                      <w:pStyle w:val="LineNumbers"/>
                    </w:pPr>
                    <w:r>
                      <w:t>24</w:t>
                    </w:r>
                  </w:p>
                  <w:p w14:paraId="04269DE1" w14:textId="77777777" w:rsidR="007703D4" w:rsidRDefault="007703D4">
                    <w:pPr>
                      <w:pStyle w:val="LineNumbers"/>
                    </w:pPr>
                    <w:r>
                      <w:t>25</w:t>
                    </w:r>
                  </w:p>
                  <w:p w14:paraId="58837184" w14:textId="77777777" w:rsidR="007703D4" w:rsidRDefault="007703D4">
                    <w:pPr>
                      <w:pStyle w:val="LineNumbers"/>
                    </w:pPr>
                    <w:r>
                      <w:t>26</w:t>
                    </w:r>
                  </w:p>
                  <w:p w14:paraId="45A6B84F" w14:textId="77777777" w:rsidR="007703D4" w:rsidRDefault="007703D4">
                    <w:pPr>
                      <w:pStyle w:val="LineNumbers"/>
                    </w:pPr>
                  </w:p>
                </w:txbxContent>
              </v:textbox>
              <w10:wrap anchorx="margin" anchory="margin"/>
            </v:rect>
          </w:pict>
        </mc:Fallback>
      </mc:AlternateContent>
    </w:r>
    <w:r>
      <w:rPr>
        <w:noProof/>
      </w:rPr>
      <mc:AlternateContent>
        <mc:Choice Requires="wps">
          <w:drawing>
            <wp:anchor distT="0" distB="0" distL="114300" distR="114300" simplePos="0" relativeHeight="251659776" behindDoc="0" locked="1" layoutInCell="0" allowOverlap="1" wp14:anchorId="7722BEB9" wp14:editId="0AFBBDFD">
              <wp:simplePos x="0" y="0"/>
              <wp:positionH relativeFrom="margin">
                <wp:posOffset>-45720</wp:posOffset>
              </wp:positionH>
              <wp:positionV relativeFrom="margin">
                <wp:posOffset>-1097280</wp:posOffset>
              </wp:positionV>
              <wp:extent cx="635" cy="10058400"/>
              <wp:effectExtent l="17780" t="12700" r="19685"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CAF68" id="Line 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86.4pt" to="-3.55pt,7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60800" behindDoc="0" locked="0" layoutInCell="0" allowOverlap="1" wp14:anchorId="76B45345" wp14:editId="7EEB7F64">
              <wp:simplePos x="0" y="0"/>
              <wp:positionH relativeFrom="margin">
                <wp:posOffset>-91440</wp:posOffset>
              </wp:positionH>
              <wp:positionV relativeFrom="margin">
                <wp:posOffset>-1097280</wp:posOffset>
              </wp:positionV>
              <wp:extent cx="635" cy="10058400"/>
              <wp:effectExtent l="10160" t="12700" r="27305" b="254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DAE906" id="Line 7"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86.4pt" to="-7.15pt,7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" o:allowincell="f">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701"/>
    <w:multiLevelType w:val="hybridMultilevel"/>
    <w:tmpl w:val="FFB6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718C4"/>
    <w:multiLevelType w:val="hybridMultilevel"/>
    <w:tmpl w:val="05B670BE"/>
    <w:lvl w:ilvl="0" w:tplc="D188C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87B57"/>
    <w:multiLevelType w:val="hybridMultilevel"/>
    <w:tmpl w:val="03948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0D66CD"/>
    <w:multiLevelType w:val="hybridMultilevel"/>
    <w:tmpl w:val="335CA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08641D"/>
    <w:multiLevelType w:val="hybridMultilevel"/>
    <w:tmpl w:val="7FB23C2A"/>
    <w:lvl w:ilvl="0" w:tplc="1DFA89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569CB"/>
    <w:multiLevelType w:val="hybridMultilevel"/>
    <w:tmpl w:val="1C9AC6FC"/>
    <w:lvl w:ilvl="0" w:tplc="03DC8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C402B"/>
    <w:multiLevelType w:val="hybridMultilevel"/>
    <w:tmpl w:val="4728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16332"/>
    <w:multiLevelType w:val="hybridMultilevel"/>
    <w:tmpl w:val="BD7240FC"/>
    <w:lvl w:ilvl="0" w:tplc="88663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F0A7649"/>
    <w:multiLevelType w:val="hybridMultilevel"/>
    <w:tmpl w:val="3160A3B0"/>
    <w:lvl w:ilvl="0" w:tplc="45203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E58ED"/>
    <w:multiLevelType w:val="hybridMultilevel"/>
    <w:tmpl w:val="4AB6B694"/>
    <w:lvl w:ilvl="0" w:tplc="1416F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EB214A"/>
    <w:multiLevelType w:val="multilevel"/>
    <w:tmpl w:val="ACFA819C"/>
    <w:lvl w:ilvl="0">
      <w:start w:val="1"/>
      <w:numFmt w:val="lowerLetter"/>
      <w:pStyle w:val="ListLevel11"/>
      <w:lvlText w:val="(%1)"/>
      <w:lvlJc w:val="left"/>
      <w:pPr>
        <w:ind w:left="360" w:hanging="360"/>
      </w:pPr>
      <w:rPr>
        <w:rFonts w:ascii="Times New Roman Bold" w:hAnsi="Times New Roman Bold" w:hint="default"/>
        <w:b/>
        <w:i w:val="0"/>
        <w:strike w:val="0"/>
        <w:dstrike w:val="0"/>
        <w:sz w:val="24"/>
        <w:szCs w:val="24"/>
        <w:u w:val="none"/>
        <w:effect w:val="none"/>
      </w:rPr>
    </w:lvl>
    <w:lvl w:ilvl="1">
      <w:start w:val="1"/>
      <w:numFmt w:val="decimal"/>
      <w:lvlText w:val="(%2)"/>
      <w:lvlJc w:val="left"/>
      <w:pPr>
        <w:tabs>
          <w:tab w:val="num" w:pos="864"/>
        </w:tabs>
        <w:ind w:left="864" w:hanging="504"/>
      </w:pPr>
      <w:rPr>
        <w:rFonts w:ascii="Times New Roman Bold" w:hAnsi="Times New Roman Bold" w:hint="default"/>
        <w:b/>
        <w:i w:val="0"/>
        <w:strike w:val="0"/>
        <w:dstrike w:val="0"/>
        <w:color w:val="auto"/>
        <w:sz w:val="26"/>
        <w:u w:val="none"/>
        <w:effect w:val="none"/>
      </w:rPr>
    </w:lvl>
    <w:lvl w:ilvl="2">
      <w:start w:val="1"/>
      <w:numFmt w:val="upperLetter"/>
      <w:lvlText w:val="(%3)"/>
      <w:lvlJc w:val="left"/>
      <w:pPr>
        <w:ind w:left="1166" w:hanging="446"/>
      </w:pPr>
      <w:rPr>
        <w:rFonts w:ascii="Times New Roman Bold" w:hAnsi="Times New Roman Bold" w:hint="default"/>
        <w:b/>
        <w:i w:val="0"/>
        <w:strike w:val="0"/>
        <w:dstrike w:val="0"/>
        <w:sz w:val="26"/>
        <w:u w:val="none"/>
        <w:effect w:val="none"/>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F23029B"/>
    <w:multiLevelType w:val="hybridMultilevel"/>
    <w:tmpl w:val="BE0C7E04"/>
    <w:lvl w:ilvl="0" w:tplc="14EE4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D5E1B"/>
    <w:multiLevelType w:val="hybridMultilevel"/>
    <w:tmpl w:val="1CE4E0D2"/>
    <w:lvl w:ilvl="0" w:tplc="BEEACF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E01302"/>
    <w:multiLevelType w:val="hybridMultilevel"/>
    <w:tmpl w:val="E67A60B8"/>
    <w:lvl w:ilvl="0" w:tplc="794E36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6D71182"/>
    <w:multiLevelType w:val="hybridMultilevel"/>
    <w:tmpl w:val="E826B696"/>
    <w:lvl w:ilvl="0" w:tplc="6A12D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5394F79"/>
    <w:multiLevelType w:val="hybridMultilevel"/>
    <w:tmpl w:val="F0601458"/>
    <w:lvl w:ilvl="0" w:tplc="2A569C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3510FC"/>
    <w:multiLevelType w:val="hybridMultilevel"/>
    <w:tmpl w:val="085C2F94"/>
    <w:lvl w:ilvl="0" w:tplc="7D92A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3458C5"/>
    <w:multiLevelType w:val="hybridMultilevel"/>
    <w:tmpl w:val="5E86D768"/>
    <w:lvl w:ilvl="0" w:tplc="052CCA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3"/>
  </w:num>
  <w:num w:numId="5">
    <w:abstractNumId w:val="13"/>
  </w:num>
  <w:num w:numId="6">
    <w:abstractNumId w:val="0"/>
  </w:num>
  <w:num w:numId="7">
    <w:abstractNumId w:val="6"/>
  </w:num>
  <w:num w:numId="8">
    <w:abstractNumId w:val="1"/>
  </w:num>
  <w:num w:numId="9">
    <w:abstractNumId w:val="5"/>
  </w:num>
  <w:num w:numId="10">
    <w:abstractNumId w:val="16"/>
  </w:num>
  <w:num w:numId="11">
    <w:abstractNumId w:val="9"/>
  </w:num>
  <w:num w:numId="12">
    <w:abstractNumId w:val="12"/>
  </w:num>
  <w:num w:numId="13">
    <w:abstractNumId w:val="11"/>
  </w:num>
  <w:num w:numId="14">
    <w:abstractNumId w:val="17"/>
  </w:num>
  <w:num w:numId="15">
    <w:abstractNumId w:val="8"/>
  </w:num>
  <w:num w:numId="16">
    <w:abstractNumId w:val="4"/>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D3"/>
    <w:rsid w:val="00001231"/>
    <w:rsid w:val="00004D30"/>
    <w:rsid w:val="00005242"/>
    <w:rsid w:val="00005A77"/>
    <w:rsid w:val="00010CBC"/>
    <w:rsid w:val="00026014"/>
    <w:rsid w:val="00045BD3"/>
    <w:rsid w:val="00047008"/>
    <w:rsid w:val="0007482A"/>
    <w:rsid w:val="00090C6E"/>
    <w:rsid w:val="000A66C4"/>
    <w:rsid w:val="000A6937"/>
    <w:rsid w:val="000A78B1"/>
    <w:rsid w:val="000C30C5"/>
    <w:rsid w:val="000E38B1"/>
    <w:rsid w:val="000E5629"/>
    <w:rsid w:val="000F5256"/>
    <w:rsid w:val="001056C9"/>
    <w:rsid w:val="001132D2"/>
    <w:rsid w:val="00123B82"/>
    <w:rsid w:val="00127249"/>
    <w:rsid w:val="001313AD"/>
    <w:rsid w:val="0013503A"/>
    <w:rsid w:val="001369FA"/>
    <w:rsid w:val="001427F0"/>
    <w:rsid w:val="001469C3"/>
    <w:rsid w:val="001866B2"/>
    <w:rsid w:val="001874A9"/>
    <w:rsid w:val="001A14BE"/>
    <w:rsid w:val="001A2DE5"/>
    <w:rsid w:val="001A59A9"/>
    <w:rsid w:val="001B56A9"/>
    <w:rsid w:val="001B784F"/>
    <w:rsid w:val="001C216E"/>
    <w:rsid w:val="001C21C4"/>
    <w:rsid w:val="001C57AF"/>
    <w:rsid w:val="001E6418"/>
    <w:rsid w:val="001F2B82"/>
    <w:rsid w:val="002016BA"/>
    <w:rsid w:val="002061B4"/>
    <w:rsid w:val="00217CE3"/>
    <w:rsid w:val="002307CC"/>
    <w:rsid w:val="002371DC"/>
    <w:rsid w:val="002557EB"/>
    <w:rsid w:val="00267295"/>
    <w:rsid w:val="0027011F"/>
    <w:rsid w:val="00273BD0"/>
    <w:rsid w:val="002C4168"/>
    <w:rsid w:val="002C693D"/>
    <w:rsid w:val="002D1152"/>
    <w:rsid w:val="002D66A0"/>
    <w:rsid w:val="002E2DEE"/>
    <w:rsid w:val="002E4745"/>
    <w:rsid w:val="002F7FC1"/>
    <w:rsid w:val="00300080"/>
    <w:rsid w:val="00302681"/>
    <w:rsid w:val="003039C1"/>
    <w:rsid w:val="00304C3C"/>
    <w:rsid w:val="00313F46"/>
    <w:rsid w:val="00325713"/>
    <w:rsid w:val="00346197"/>
    <w:rsid w:val="003529E2"/>
    <w:rsid w:val="00365D97"/>
    <w:rsid w:val="0037055E"/>
    <w:rsid w:val="003773B7"/>
    <w:rsid w:val="00381A1A"/>
    <w:rsid w:val="00386634"/>
    <w:rsid w:val="0039415E"/>
    <w:rsid w:val="003A45F4"/>
    <w:rsid w:val="003A67DA"/>
    <w:rsid w:val="003B0FCB"/>
    <w:rsid w:val="003B23E9"/>
    <w:rsid w:val="003C7A89"/>
    <w:rsid w:val="003D34FB"/>
    <w:rsid w:val="003E563D"/>
    <w:rsid w:val="003F1131"/>
    <w:rsid w:val="003F131C"/>
    <w:rsid w:val="003F57D8"/>
    <w:rsid w:val="004050C1"/>
    <w:rsid w:val="00407D2F"/>
    <w:rsid w:val="004120E3"/>
    <w:rsid w:val="004127D7"/>
    <w:rsid w:val="00416AC9"/>
    <w:rsid w:val="0042329E"/>
    <w:rsid w:val="0042507C"/>
    <w:rsid w:val="004263F2"/>
    <w:rsid w:val="004662B7"/>
    <w:rsid w:val="0048500F"/>
    <w:rsid w:val="004856FD"/>
    <w:rsid w:val="004A19CF"/>
    <w:rsid w:val="004A747A"/>
    <w:rsid w:val="004B0746"/>
    <w:rsid w:val="004C3282"/>
    <w:rsid w:val="004C657B"/>
    <w:rsid w:val="004D6BD7"/>
    <w:rsid w:val="004F422F"/>
    <w:rsid w:val="00506992"/>
    <w:rsid w:val="00506C6A"/>
    <w:rsid w:val="00507F6E"/>
    <w:rsid w:val="005128CA"/>
    <w:rsid w:val="005216D2"/>
    <w:rsid w:val="00523B21"/>
    <w:rsid w:val="005249A6"/>
    <w:rsid w:val="005546D0"/>
    <w:rsid w:val="00570B77"/>
    <w:rsid w:val="00571CAC"/>
    <w:rsid w:val="00572484"/>
    <w:rsid w:val="005747F8"/>
    <w:rsid w:val="00581065"/>
    <w:rsid w:val="005A0835"/>
    <w:rsid w:val="005A306B"/>
    <w:rsid w:val="005A6C62"/>
    <w:rsid w:val="005D3F89"/>
    <w:rsid w:val="005E049C"/>
    <w:rsid w:val="005E41AF"/>
    <w:rsid w:val="005F3D5F"/>
    <w:rsid w:val="005F7D62"/>
    <w:rsid w:val="006022AC"/>
    <w:rsid w:val="006068F4"/>
    <w:rsid w:val="00626990"/>
    <w:rsid w:val="00654CCE"/>
    <w:rsid w:val="00654DAA"/>
    <w:rsid w:val="00671B13"/>
    <w:rsid w:val="00673F94"/>
    <w:rsid w:val="00675DDE"/>
    <w:rsid w:val="006806D5"/>
    <w:rsid w:val="00684298"/>
    <w:rsid w:val="006952A1"/>
    <w:rsid w:val="00695A88"/>
    <w:rsid w:val="006B587C"/>
    <w:rsid w:val="006C49AB"/>
    <w:rsid w:val="006F22EB"/>
    <w:rsid w:val="0070349F"/>
    <w:rsid w:val="00703BF9"/>
    <w:rsid w:val="007078DE"/>
    <w:rsid w:val="007102E9"/>
    <w:rsid w:val="007242CE"/>
    <w:rsid w:val="00740D7C"/>
    <w:rsid w:val="00743A1F"/>
    <w:rsid w:val="00744BCB"/>
    <w:rsid w:val="007523D2"/>
    <w:rsid w:val="00753C57"/>
    <w:rsid w:val="00757C27"/>
    <w:rsid w:val="00760D8D"/>
    <w:rsid w:val="00767203"/>
    <w:rsid w:val="007703D4"/>
    <w:rsid w:val="00773B9C"/>
    <w:rsid w:val="007758B2"/>
    <w:rsid w:val="00781AB6"/>
    <w:rsid w:val="00792052"/>
    <w:rsid w:val="00794427"/>
    <w:rsid w:val="00797054"/>
    <w:rsid w:val="007A3EC5"/>
    <w:rsid w:val="007B3A1F"/>
    <w:rsid w:val="007B5E34"/>
    <w:rsid w:val="007C3017"/>
    <w:rsid w:val="007D145C"/>
    <w:rsid w:val="007D7004"/>
    <w:rsid w:val="007D76DC"/>
    <w:rsid w:val="007F4C4A"/>
    <w:rsid w:val="007F7337"/>
    <w:rsid w:val="00801B00"/>
    <w:rsid w:val="008029E7"/>
    <w:rsid w:val="00824CC3"/>
    <w:rsid w:val="00845DC8"/>
    <w:rsid w:val="00845FEB"/>
    <w:rsid w:val="00857135"/>
    <w:rsid w:val="008700BE"/>
    <w:rsid w:val="00871EEC"/>
    <w:rsid w:val="00891693"/>
    <w:rsid w:val="008A2BDF"/>
    <w:rsid w:val="008C5CFF"/>
    <w:rsid w:val="008D6110"/>
    <w:rsid w:val="008F0FA8"/>
    <w:rsid w:val="00932DC7"/>
    <w:rsid w:val="0093671F"/>
    <w:rsid w:val="009435E8"/>
    <w:rsid w:val="00945A2B"/>
    <w:rsid w:val="00945C9A"/>
    <w:rsid w:val="00971E4E"/>
    <w:rsid w:val="00975034"/>
    <w:rsid w:val="009808F7"/>
    <w:rsid w:val="00986B1A"/>
    <w:rsid w:val="009B33F0"/>
    <w:rsid w:val="009B7531"/>
    <w:rsid w:val="009C7940"/>
    <w:rsid w:val="009D3A5D"/>
    <w:rsid w:val="009D454C"/>
    <w:rsid w:val="009D474F"/>
    <w:rsid w:val="009E0068"/>
    <w:rsid w:val="009E08D8"/>
    <w:rsid w:val="009E359E"/>
    <w:rsid w:val="009E483F"/>
    <w:rsid w:val="00A00634"/>
    <w:rsid w:val="00A0292F"/>
    <w:rsid w:val="00A0462A"/>
    <w:rsid w:val="00A14771"/>
    <w:rsid w:val="00A21CF1"/>
    <w:rsid w:val="00A24214"/>
    <w:rsid w:val="00A271F9"/>
    <w:rsid w:val="00A35C36"/>
    <w:rsid w:val="00A44191"/>
    <w:rsid w:val="00A639DA"/>
    <w:rsid w:val="00A664C4"/>
    <w:rsid w:val="00A97774"/>
    <w:rsid w:val="00AC2EF3"/>
    <w:rsid w:val="00AD1711"/>
    <w:rsid w:val="00AD22FA"/>
    <w:rsid w:val="00AF02E2"/>
    <w:rsid w:val="00B15983"/>
    <w:rsid w:val="00B15E66"/>
    <w:rsid w:val="00B27D10"/>
    <w:rsid w:val="00B51385"/>
    <w:rsid w:val="00B81F74"/>
    <w:rsid w:val="00B96934"/>
    <w:rsid w:val="00BA4CCC"/>
    <w:rsid w:val="00BA7B20"/>
    <w:rsid w:val="00BC37BF"/>
    <w:rsid w:val="00BD71EC"/>
    <w:rsid w:val="00BF6D81"/>
    <w:rsid w:val="00C07EDC"/>
    <w:rsid w:val="00C13646"/>
    <w:rsid w:val="00C15BBF"/>
    <w:rsid w:val="00C168A9"/>
    <w:rsid w:val="00C27264"/>
    <w:rsid w:val="00C30064"/>
    <w:rsid w:val="00C31276"/>
    <w:rsid w:val="00C36241"/>
    <w:rsid w:val="00C5059A"/>
    <w:rsid w:val="00C531B1"/>
    <w:rsid w:val="00C56F4C"/>
    <w:rsid w:val="00C5705B"/>
    <w:rsid w:val="00C77CF2"/>
    <w:rsid w:val="00C91081"/>
    <w:rsid w:val="00CC5A95"/>
    <w:rsid w:val="00CE50DA"/>
    <w:rsid w:val="00D011A6"/>
    <w:rsid w:val="00D03E95"/>
    <w:rsid w:val="00D07F43"/>
    <w:rsid w:val="00D12125"/>
    <w:rsid w:val="00D13191"/>
    <w:rsid w:val="00D23606"/>
    <w:rsid w:val="00D31255"/>
    <w:rsid w:val="00D34DAB"/>
    <w:rsid w:val="00D4702E"/>
    <w:rsid w:val="00D712B4"/>
    <w:rsid w:val="00D72851"/>
    <w:rsid w:val="00D73163"/>
    <w:rsid w:val="00D7773F"/>
    <w:rsid w:val="00D83A5B"/>
    <w:rsid w:val="00D8497F"/>
    <w:rsid w:val="00D92AF1"/>
    <w:rsid w:val="00DA1E5A"/>
    <w:rsid w:val="00DB25AE"/>
    <w:rsid w:val="00DB75C6"/>
    <w:rsid w:val="00DD14FB"/>
    <w:rsid w:val="00DD20D0"/>
    <w:rsid w:val="00DD5A29"/>
    <w:rsid w:val="00DE1AC4"/>
    <w:rsid w:val="00E0265E"/>
    <w:rsid w:val="00E0382A"/>
    <w:rsid w:val="00E038B5"/>
    <w:rsid w:val="00E1342C"/>
    <w:rsid w:val="00E20BD4"/>
    <w:rsid w:val="00E31AAE"/>
    <w:rsid w:val="00E4794F"/>
    <w:rsid w:val="00E50F03"/>
    <w:rsid w:val="00E530CF"/>
    <w:rsid w:val="00E546BD"/>
    <w:rsid w:val="00E559BF"/>
    <w:rsid w:val="00E65090"/>
    <w:rsid w:val="00E7326A"/>
    <w:rsid w:val="00E75473"/>
    <w:rsid w:val="00E809BF"/>
    <w:rsid w:val="00E822E5"/>
    <w:rsid w:val="00E867A2"/>
    <w:rsid w:val="00E91593"/>
    <w:rsid w:val="00EA7E28"/>
    <w:rsid w:val="00EB1EE4"/>
    <w:rsid w:val="00EC111B"/>
    <w:rsid w:val="00ED002E"/>
    <w:rsid w:val="00ED0C0A"/>
    <w:rsid w:val="00EE49C4"/>
    <w:rsid w:val="00EF6A64"/>
    <w:rsid w:val="00F2486E"/>
    <w:rsid w:val="00F60DBE"/>
    <w:rsid w:val="00F66F4D"/>
    <w:rsid w:val="00F724ED"/>
    <w:rsid w:val="00F80F0F"/>
    <w:rsid w:val="00F84EA3"/>
    <w:rsid w:val="00F900CD"/>
    <w:rsid w:val="00FA451A"/>
    <w:rsid w:val="00FB10B9"/>
    <w:rsid w:val="00FF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E67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4C"/>
    <w:pPr>
      <w:overflowPunct w:val="0"/>
      <w:autoSpaceDE w:val="0"/>
      <w:autoSpaceDN w:val="0"/>
      <w:adjustRightInd w:val="0"/>
      <w:spacing w:line="487" w:lineRule="exact"/>
      <w:textAlignment w:val="baseline"/>
    </w:pPr>
    <w:rPr>
      <w:rFonts w:ascii="CG Times" w:hAnsi="CG Times"/>
      <w:position w:val="-5"/>
      <w:sz w:val="24"/>
    </w:rPr>
  </w:style>
  <w:style w:type="paragraph" w:styleId="Heading1">
    <w:name w:val="heading 1"/>
    <w:basedOn w:val="Normal"/>
    <w:next w:val="Normal"/>
    <w:qFormat/>
    <w:rsid w:val="00C56F4C"/>
    <w:pPr>
      <w:spacing w:before="240" w:after="60"/>
      <w:outlineLvl w:val="0"/>
    </w:pPr>
    <w:rPr>
      <w:rFonts w:ascii="Arial" w:hAnsi="Arial"/>
      <w:b/>
      <w:sz w:val="28"/>
    </w:rPr>
  </w:style>
  <w:style w:type="paragraph" w:styleId="Heading2">
    <w:name w:val="heading 2"/>
    <w:basedOn w:val="Normal"/>
    <w:next w:val="Normal"/>
    <w:qFormat/>
    <w:rsid w:val="00C56F4C"/>
    <w:pPr>
      <w:spacing w:before="240" w:after="60"/>
      <w:outlineLvl w:val="1"/>
    </w:pPr>
    <w:rPr>
      <w:rFonts w:ascii="Arial" w:hAnsi="Arial"/>
      <w:b/>
      <w:i/>
    </w:rPr>
  </w:style>
  <w:style w:type="paragraph" w:styleId="Heading3">
    <w:name w:val="heading 3"/>
    <w:basedOn w:val="Normal"/>
    <w:next w:val="Normal"/>
    <w:qFormat/>
    <w:rsid w:val="00C56F4C"/>
    <w:pPr>
      <w:spacing w:before="240" w:after="6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6F4C"/>
    <w:pPr>
      <w:tabs>
        <w:tab w:val="center" w:pos="4320"/>
        <w:tab w:val="right" w:pos="8640"/>
      </w:tabs>
    </w:pPr>
  </w:style>
  <w:style w:type="paragraph" w:styleId="Footer">
    <w:name w:val="footer"/>
    <w:basedOn w:val="Normal"/>
    <w:semiHidden/>
    <w:rsid w:val="00C56F4C"/>
    <w:pPr>
      <w:tabs>
        <w:tab w:val="center" w:pos="4320"/>
        <w:tab w:val="right" w:pos="8640"/>
      </w:tabs>
    </w:pPr>
  </w:style>
  <w:style w:type="paragraph" w:customStyle="1" w:styleId="LineNumbers">
    <w:name w:val="LineNumbers"/>
    <w:basedOn w:val="Normal"/>
    <w:rsid w:val="00C56F4C"/>
    <w:pPr>
      <w:jc w:val="right"/>
    </w:pPr>
  </w:style>
  <w:style w:type="paragraph" w:customStyle="1" w:styleId="SingleSpacing">
    <w:name w:val="Single Spacing"/>
    <w:basedOn w:val="Normal"/>
    <w:rsid w:val="00C56F4C"/>
    <w:pPr>
      <w:spacing w:line="244" w:lineRule="exact"/>
    </w:pPr>
    <w:rPr>
      <w:position w:val="0"/>
    </w:rPr>
  </w:style>
  <w:style w:type="paragraph" w:customStyle="1" w:styleId="15Spacing">
    <w:name w:val="1.5 Spacing"/>
    <w:basedOn w:val="Normal"/>
    <w:rsid w:val="00C56F4C"/>
    <w:pPr>
      <w:spacing w:line="366" w:lineRule="exact"/>
    </w:pPr>
    <w:rPr>
      <w:position w:val="0"/>
    </w:rPr>
  </w:style>
  <w:style w:type="paragraph" w:customStyle="1" w:styleId="DoubleSpacing">
    <w:name w:val="Double Spacing"/>
    <w:basedOn w:val="Normal"/>
    <w:rsid w:val="00C56F4C"/>
  </w:style>
  <w:style w:type="character" w:styleId="PageNumber">
    <w:name w:val="page number"/>
    <w:basedOn w:val="DefaultParagraphFont"/>
    <w:semiHidden/>
    <w:rsid w:val="00C56F4C"/>
  </w:style>
  <w:style w:type="paragraph" w:customStyle="1" w:styleId="Address">
    <w:name w:val="Address"/>
    <w:basedOn w:val="SingleSpacing"/>
    <w:rsid w:val="00C56F4C"/>
  </w:style>
  <w:style w:type="paragraph" w:customStyle="1" w:styleId="CourtName">
    <w:name w:val="CourtName"/>
    <w:basedOn w:val="Normal"/>
    <w:rsid w:val="00C56F4C"/>
    <w:pPr>
      <w:jc w:val="center"/>
    </w:pPr>
  </w:style>
  <w:style w:type="paragraph" w:styleId="BalloonText">
    <w:name w:val="Balloon Text"/>
    <w:basedOn w:val="Normal"/>
    <w:semiHidden/>
    <w:rsid w:val="00C56F4C"/>
    <w:rPr>
      <w:rFonts w:ascii="Tahoma" w:hAnsi="Tahoma" w:cs="Tahoma"/>
      <w:sz w:val="16"/>
      <w:szCs w:val="16"/>
    </w:rPr>
  </w:style>
  <w:style w:type="paragraph" w:styleId="FootnoteText">
    <w:name w:val="footnote text"/>
    <w:basedOn w:val="Normal"/>
    <w:semiHidden/>
    <w:rsid w:val="00C56F4C"/>
    <w:rPr>
      <w:sz w:val="20"/>
    </w:rPr>
  </w:style>
  <w:style w:type="character" w:styleId="FootnoteReference">
    <w:name w:val="footnote reference"/>
    <w:basedOn w:val="DefaultParagraphFont"/>
    <w:semiHidden/>
    <w:rsid w:val="00C56F4C"/>
    <w:rPr>
      <w:vertAlign w:val="superscript"/>
    </w:rPr>
  </w:style>
  <w:style w:type="paragraph" w:styleId="NormalWeb">
    <w:name w:val="Normal (Web)"/>
    <w:basedOn w:val="Normal"/>
    <w:uiPriority w:val="99"/>
    <w:unhideWhenUsed/>
    <w:rsid w:val="001313AD"/>
    <w:pPr>
      <w:overflowPunct/>
      <w:autoSpaceDE/>
      <w:autoSpaceDN/>
      <w:adjustRightInd/>
      <w:spacing w:line="300" w:lineRule="auto"/>
      <w:textAlignment w:val="auto"/>
    </w:pPr>
    <w:rPr>
      <w:rFonts w:ascii="Verdana" w:hAnsi="Verdana"/>
      <w:color w:val="000000"/>
      <w:position w:val="0"/>
      <w:sz w:val="20"/>
    </w:rPr>
  </w:style>
  <w:style w:type="character" w:styleId="Hyperlink">
    <w:name w:val="Hyperlink"/>
    <w:basedOn w:val="DefaultParagraphFont"/>
    <w:uiPriority w:val="99"/>
    <w:unhideWhenUsed/>
    <w:rsid w:val="00E546BD"/>
    <w:rPr>
      <w:color w:val="0000FF" w:themeColor="hyperlink"/>
      <w:u w:val="single"/>
    </w:rPr>
  </w:style>
  <w:style w:type="paragraph" w:customStyle="1" w:styleId="Default">
    <w:name w:val="Default"/>
    <w:rsid w:val="000A78B1"/>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C57AF"/>
    <w:rPr>
      <w:color w:val="800080" w:themeColor="followedHyperlink"/>
      <w:u w:val="single"/>
    </w:rPr>
  </w:style>
  <w:style w:type="paragraph" w:styleId="ListParagraph">
    <w:name w:val="List Paragraph"/>
    <w:basedOn w:val="Normal"/>
    <w:uiPriority w:val="34"/>
    <w:qFormat/>
    <w:rsid w:val="00753C57"/>
    <w:pPr>
      <w:ind w:left="720"/>
      <w:contextualSpacing/>
    </w:pPr>
  </w:style>
  <w:style w:type="paragraph" w:customStyle="1" w:styleId="ListLevel11">
    <w:name w:val="List Level 11"/>
    <w:basedOn w:val="Normal"/>
    <w:next w:val="ListParagraph"/>
    <w:uiPriority w:val="34"/>
    <w:qFormat/>
    <w:rsid w:val="002307CC"/>
    <w:pPr>
      <w:numPr>
        <w:numId w:val="18"/>
      </w:numPr>
      <w:overflowPunct/>
      <w:autoSpaceDE/>
      <w:autoSpaceDN/>
      <w:adjustRightInd/>
      <w:spacing w:after="160" w:line="256" w:lineRule="auto"/>
      <w:textAlignment w:val="auto"/>
    </w:pPr>
    <w:rPr>
      <w:rFonts w:ascii="Times New Roman" w:eastAsiaTheme="minorHAnsi" w:hAnsi="Times New Roman"/>
      <w:position w:val="0"/>
      <w:sz w:val="26"/>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4C"/>
    <w:pPr>
      <w:overflowPunct w:val="0"/>
      <w:autoSpaceDE w:val="0"/>
      <w:autoSpaceDN w:val="0"/>
      <w:adjustRightInd w:val="0"/>
      <w:spacing w:line="487" w:lineRule="exact"/>
      <w:textAlignment w:val="baseline"/>
    </w:pPr>
    <w:rPr>
      <w:rFonts w:ascii="CG Times" w:hAnsi="CG Times"/>
      <w:position w:val="-5"/>
      <w:sz w:val="24"/>
    </w:rPr>
  </w:style>
  <w:style w:type="paragraph" w:styleId="Heading1">
    <w:name w:val="heading 1"/>
    <w:basedOn w:val="Normal"/>
    <w:next w:val="Normal"/>
    <w:qFormat/>
    <w:rsid w:val="00C56F4C"/>
    <w:pPr>
      <w:spacing w:before="240" w:after="60"/>
      <w:outlineLvl w:val="0"/>
    </w:pPr>
    <w:rPr>
      <w:rFonts w:ascii="Arial" w:hAnsi="Arial"/>
      <w:b/>
      <w:sz w:val="28"/>
    </w:rPr>
  </w:style>
  <w:style w:type="paragraph" w:styleId="Heading2">
    <w:name w:val="heading 2"/>
    <w:basedOn w:val="Normal"/>
    <w:next w:val="Normal"/>
    <w:qFormat/>
    <w:rsid w:val="00C56F4C"/>
    <w:pPr>
      <w:spacing w:before="240" w:after="60"/>
      <w:outlineLvl w:val="1"/>
    </w:pPr>
    <w:rPr>
      <w:rFonts w:ascii="Arial" w:hAnsi="Arial"/>
      <w:b/>
      <w:i/>
    </w:rPr>
  </w:style>
  <w:style w:type="paragraph" w:styleId="Heading3">
    <w:name w:val="heading 3"/>
    <w:basedOn w:val="Normal"/>
    <w:next w:val="Normal"/>
    <w:qFormat/>
    <w:rsid w:val="00C56F4C"/>
    <w:pPr>
      <w:spacing w:before="240" w:after="6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6F4C"/>
    <w:pPr>
      <w:tabs>
        <w:tab w:val="center" w:pos="4320"/>
        <w:tab w:val="right" w:pos="8640"/>
      </w:tabs>
    </w:pPr>
  </w:style>
  <w:style w:type="paragraph" w:styleId="Footer">
    <w:name w:val="footer"/>
    <w:basedOn w:val="Normal"/>
    <w:semiHidden/>
    <w:rsid w:val="00C56F4C"/>
    <w:pPr>
      <w:tabs>
        <w:tab w:val="center" w:pos="4320"/>
        <w:tab w:val="right" w:pos="8640"/>
      </w:tabs>
    </w:pPr>
  </w:style>
  <w:style w:type="paragraph" w:customStyle="1" w:styleId="LineNumbers">
    <w:name w:val="LineNumbers"/>
    <w:basedOn w:val="Normal"/>
    <w:rsid w:val="00C56F4C"/>
    <w:pPr>
      <w:jc w:val="right"/>
    </w:pPr>
  </w:style>
  <w:style w:type="paragraph" w:customStyle="1" w:styleId="SingleSpacing">
    <w:name w:val="Single Spacing"/>
    <w:basedOn w:val="Normal"/>
    <w:rsid w:val="00C56F4C"/>
    <w:pPr>
      <w:spacing w:line="244" w:lineRule="exact"/>
    </w:pPr>
    <w:rPr>
      <w:position w:val="0"/>
    </w:rPr>
  </w:style>
  <w:style w:type="paragraph" w:customStyle="1" w:styleId="15Spacing">
    <w:name w:val="1.5 Spacing"/>
    <w:basedOn w:val="Normal"/>
    <w:rsid w:val="00C56F4C"/>
    <w:pPr>
      <w:spacing w:line="366" w:lineRule="exact"/>
    </w:pPr>
    <w:rPr>
      <w:position w:val="0"/>
    </w:rPr>
  </w:style>
  <w:style w:type="paragraph" w:customStyle="1" w:styleId="DoubleSpacing">
    <w:name w:val="Double Spacing"/>
    <w:basedOn w:val="Normal"/>
    <w:rsid w:val="00C56F4C"/>
  </w:style>
  <w:style w:type="character" w:styleId="PageNumber">
    <w:name w:val="page number"/>
    <w:basedOn w:val="DefaultParagraphFont"/>
    <w:semiHidden/>
    <w:rsid w:val="00C56F4C"/>
  </w:style>
  <w:style w:type="paragraph" w:customStyle="1" w:styleId="Address">
    <w:name w:val="Address"/>
    <w:basedOn w:val="SingleSpacing"/>
    <w:rsid w:val="00C56F4C"/>
  </w:style>
  <w:style w:type="paragraph" w:customStyle="1" w:styleId="CourtName">
    <w:name w:val="CourtName"/>
    <w:basedOn w:val="Normal"/>
    <w:rsid w:val="00C56F4C"/>
    <w:pPr>
      <w:jc w:val="center"/>
    </w:pPr>
  </w:style>
  <w:style w:type="paragraph" w:styleId="BalloonText">
    <w:name w:val="Balloon Text"/>
    <w:basedOn w:val="Normal"/>
    <w:semiHidden/>
    <w:rsid w:val="00C56F4C"/>
    <w:rPr>
      <w:rFonts w:ascii="Tahoma" w:hAnsi="Tahoma" w:cs="Tahoma"/>
      <w:sz w:val="16"/>
      <w:szCs w:val="16"/>
    </w:rPr>
  </w:style>
  <w:style w:type="paragraph" w:styleId="FootnoteText">
    <w:name w:val="footnote text"/>
    <w:basedOn w:val="Normal"/>
    <w:semiHidden/>
    <w:rsid w:val="00C56F4C"/>
    <w:rPr>
      <w:sz w:val="20"/>
    </w:rPr>
  </w:style>
  <w:style w:type="character" w:styleId="FootnoteReference">
    <w:name w:val="footnote reference"/>
    <w:basedOn w:val="DefaultParagraphFont"/>
    <w:semiHidden/>
    <w:rsid w:val="00C56F4C"/>
    <w:rPr>
      <w:vertAlign w:val="superscript"/>
    </w:rPr>
  </w:style>
  <w:style w:type="paragraph" w:styleId="NormalWeb">
    <w:name w:val="Normal (Web)"/>
    <w:basedOn w:val="Normal"/>
    <w:uiPriority w:val="99"/>
    <w:unhideWhenUsed/>
    <w:rsid w:val="001313AD"/>
    <w:pPr>
      <w:overflowPunct/>
      <w:autoSpaceDE/>
      <w:autoSpaceDN/>
      <w:adjustRightInd/>
      <w:spacing w:line="300" w:lineRule="auto"/>
      <w:textAlignment w:val="auto"/>
    </w:pPr>
    <w:rPr>
      <w:rFonts w:ascii="Verdana" w:hAnsi="Verdana"/>
      <w:color w:val="000000"/>
      <w:position w:val="0"/>
      <w:sz w:val="20"/>
    </w:rPr>
  </w:style>
  <w:style w:type="character" w:styleId="Hyperlink">
    <w:name w:val="Hyperlink"/>
    <w:basedOn w:val="DefaultParagraphFont"/>
    <w:uiPriority w:val="99"/>
    <w:unhideWhenUsed/>
    <w:rsid w:val="00E546BD"/>
    <w:rPr>
      <w:color w:val="0000FF" w:themeColor="hyperlink"/>
      <w:u w:val="single"/>
    </w:rPr>
  </w:style>
  <w:style w:type="paragraph" w:customStyle="1" w:styleId="Default">
    <w:name w:val="Default"/>
    <w:rsid w:val="000A78B1"/>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C57AF"/>
    <w:rPr>
      <w:color w:val="800080" w:themeColor="followedHyperlink"/>
      <w:u w:val="single"/>
    </w:rPr>
  </w:style>
  <w:style w:type="paragraph" w:styleId="ListParagraph">
    <w:name w:val="List Paragraph"/>
    <w:basedOn w:val="Normal"/>
    <w:uiPriority w:val="34"/>
    <w:qFormat/>
    <w:rsid w:val="00753C57"/>
    <w:pPr>
      <w:ind w:left="720"/>
      <w:contextualSpacing/>
    </w:pPr>
  </w:style>
  <w:style w:type="paragraph" w:customStyle="1" w:styleId="ListLevel11">
    <w:name w:val="List Level 11"/>
    <w:basedOn w:val="Normal"/>
    <w:next w:val="ListParagraph"/>
    <w:uiPriority w:val="34"/>
    <w:qFormat/>
    <w:rsid w:val="002307CC"/>
    <w:pPr>
      <w:numPr>
        <w:numId w:val="18"/>
      </w:numPr>
      <w:overflowPunct/>
      <w:autoSpaceDE/>
      <w:autoSpaceDN/>
      <w:adjustRightInd/>
      <w:spacing w:after="160" w:line="256" w:lineRule="auto"/>
      <w:textAlignment w:val="auto"/>
    </w:pPr>
    <w:rPr>
      <w:rFonts w:ascii="Times New Roman" w:eastAsiaTheme="minorHAnsi" w:hAnsi="Times New Roman"/>
      <w:position w:val="0"/>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9537">
      <w:bodyDiv w:val="1"/>
      <w:marLeft w:val="0"/>
      <w:marRight w:val="0"/>
      <w:marTop w:val="0"/>
      <w:marBottom w:val="0"/>
      <w:divBdr>
        <w:top w:val="none" w:sz="0" w:space="0" w:color="auto"/>
        <w:left w:val="none" w:sz="0" w:space="0" w:color="auto"/>
        <w:bottom w:val="none" w:sz="0" w:space="0" w:color="auto"/>
        <w:right w:val="none" w:sz="0" w:space="0" w:color="auto"/>
      </w:divBdr>
      <w:divsChild>
        <w:div w:id="1148982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7877">
              <w:marLeft w:val="0"/>
              <w:marRight w:val="0"/>
              <w:marTop w:val="0"/>
              <w:marBottom w:val="0"/>
              <w:divBdr>
                <w:top w:val="none" w:sz="0" w:space="0" w:color="auto"/>
                <w:left w:val="none" w:sz="0" w:space="0" w:color="auto"/>
                <w:bottom w:val="none" w:sz="0" w:space="0" w:color="auto"/>
                <w:right w:val="none" w:sz="0" w:space="0" w:color="auto"/>
              </w:divBdr>
              <w:divsChild>
                <w:div w:id="914782602">
                  <w:marLeft w:val="0"/>
                  <w:marRight w:val="0"/>
                  <w:marTop w:val="0"/>
                  <w:marBottom w:val="0"/>
                  <w:divBdr>
                    <w:top w:val="none" w:sz="0" w:space="0" w:color="auto"/>
                    <w:left w:val="none" w:sz="0" w:space="0" w:color="auto"/>
                    <w:bottom w:val="none" w:sz="0" w:space="0" w:color="auto"/>
                    <w:right w:val="none" w:sz="0" w:space="0" w:color="auto"/>
                  </w:divBdr>
                  <w:divsChild>
                    <w:div w:id="8697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2499">
      <w:bodyDiv w:val="1"/>
      <w:marLeft w:val="0"/>
      <w:marRight w:val="0"/>
      <w:marTop w:val="0"/>
      <w:marBottom w:val="0"/>
      <w:divBdr>
        <w:top w:val="none" w:sz="0" w:space="0" w:color="auto"/>
        <w:left w:val="none" w:sz="0" w:space="0" w:color="auto"/>
        <w:bottom w:val="none" w:sz="0" w:space="0" w:color="auto"/>
        <w:right w:val="none" w:sz="0" w:space="0" w:color="auto"/>
      </w:divBdr>
      <w:divsChild>
        <w:div w:id="1654675009">
          <w:marLeft w:val="0"/>
          <w:marRight w:val="0"/>
          <w:marTop w:val="0"/>
          <w:marBottom w:val="0"/>
          <w:divBdr>
            <w:top w:val="none" w:sz="0" w:space="0" w:color="auto"/>
            <w:left w:val="none" w:sz="0" w:space="0" w:color="auto"/>
            <w:bottom w:val="none" w:sz="0" w:space="0" w:color="auto"/>
            <w:right w:val="none" w:sz="0" w:space="0" w:color="auto"/>
          </w:divBdr>
          <w:divsChild>
            <w:div w:id="1238173622">
              <w:marLeft w:val="0"/>
              <w:marRight w:val="0"/>
              <w:marTop w:val="0"/>
              <w:marBottom w:val="0"/>
              <w:divBdr>
                <w:top w:val="none" w:sz="0" w:space="0" w:color="auto"/>
                <w:left w:val="none" w:sz="0" w:space="0" w:color="auto"/>
                <w:bottom w:val="none" w:sz="0" w:space="0" w:color="auto"/>
                <w:right w:val="none" w:sz="0" w:space="0" w:color="auto"/>
              </w:divBdr>
              <w:divsChild>
                <w:div w:id="1243639654">
                  <w:marLeft w:val="0"/>
                  <w:marRight w:val="0"/>
                  <w:marTop w:val="0"/>
                  <w:marBottom w:val="100"/>
                  <w:divBdr>
                    <w:top w:val="none" w:sz="0" w:space="0" w:color="auto"/>
                    <w:left w:val="none" w:sz="0" w:space="0" w:color="auto"/>
                    <w:bottom w:val="none" w:sz="0" w:space="0" w:color="auto"/>
                    <w:right w:val="none" w:sz="0" w:space="0" w:color="auto"/>
                  </w:divBdr>
                  <w:divsChild>
                    <w:div w:id="131558733">
                      <w:marLeft w:val="0"/>
                      <w:marRight w:val="0"/>
                      <w:marTop w:val="0"/>
                      <w:marBottom w:val="0"/>
                      <w:divBdr>
                        <w:top w:val="none" w:sz="0" w:space="0" w:color="auto"/>
                        <w:left w:val="none" w:sz="0" w:space="0" w:color="auto"/>
                        <w:bottom w:val="none" w:sz="0" w:space="0" w:color="auto"/>
                        <w:right w:val="none" w:sz="0" w:space="0" w:color="auto"/>
                      </w:divBdr>
                      <w:divsChild>
                        <w:div w:id="112722991">
                          <w:marLeft w:val="0"/>
                          <w:marRight w:val="0"/>
                          <w:marTop w:val="0"/>
                          <w:marBottom w:val="0"/>
                          <w:divBdr>
                            <w:top w:val="none" w:sz="0" w:space="0" w:color="auto"/>
                            <w:left w:val="none" w:sz="0" w:space="0" w:color="auto"/>
                            <w:bottom w:val="none" w:sz="0" w:space="0" w:color="auto"/>
                            <w:right w:val="none" w:sz="0" w:space="0" w:color="auto"/>
                          </w:divBdr>
                          <w:divsChild>
                            <w:div w:id="4556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034061">
      <w:bodyDiv w:val="1"/>
      <w:marLeft w:val="0"/>
      <w:marRight w:val="0"/>
      <w:marTop w:val="0"/>
      <w:marBottom w:val="0"/>
      <w:divBdr>
        <w:top w:val="none" w:sz="0" w:space="0" w:color="auto"/>
        <w:left w:val="none" w:sz="0" w:space="0" w:color="auto"/>
        <w:bottom w:val="none" w:sz="0" w:space="0" w:color="auto"/>
        <w:right w:val="none" w:sz="0" w:space="0" w:color="auto"/>
      </w:divBdr>
      <w:divsChild>
        <w:div w:id="1699817723">
          <w:marLeft w:val="0"/>
          <w:marRight w:val="0"/>
          <w:marTop w:val="0"/>
          <w:marBottom w:val="0"/>
          <w:divBdr>
            <w:top w:val="none" w:sz="0" w:space="0" w:color="auto"/>
            <w:left w:val="none" w:sz="0" w:space="0" w:color="auto"/>
            <w:bottom w:val="none" w:sz="0" w:space="0" w:color="auto"/>
            <w:right w:val="none" w:sz="0" w:space="0" w:color="auto"/>
          </w:divBdr>
          <w:divsChild>
            <w:div w:id="155348105">
              <w:marLeft w:val="0"/>
              <w:marRight w:val="0"/>
              <w:marTop w:val="0"/>
              <w:marBottom w:val="0"/>
              <w:divBdr>
                <w:top w:val="none" w:sz="0" w:space="0" w:color="auto"/>
                <w:left w:val="none" w:sz="0" w:space="0" w:color="auto"/>
                <w:bottom w:val="none" w:sz="0" w:space="0" w:color="auto"/>
                <w:right w:val="none" w:sz="0" w:space="0" w:color="auto"/>
              </w:divBdr>
              <w:divsChild>
                <w:div w:id="478619140">
                  <w:marLeft w:val="0"/>
                  <w:marRight w:val="0"/>
                  <w:marTop w:val="0"/>
                  <w:marBottom w:val="100"/>
                  <w:divBdr>
                    <w:top w:val="none" w:sz="0" w:space="0" w:color="auto"/>
                    <w:left w:val="none" w:sz="0" w:space="0" w:color="auto"/>
                    <w:bottom w:val="none" w:sz="0" w:space="0" w:color="auto"/>
                    <w:right w:val="none" w:sz="0" w:space="0" w:color="auto"/>
                  </w:divBdr>
                  <w:divsChild>
                    <w:div w:id="1605190314">
                      <w:marLeft w:val="0"/>
                      <w:marRight w:val="0"/>
                      <w:marTop w:val="0"/>
                      <w:marBottom w:val="0"/>
                      <w:divBdr>
                        <w:top w:val="none" w:sz="0" w:space="0" w:color="auto"/>
                        <w:left w:val="none" w:sz="0" w:space="0" w:color="auto"/>
                        <w:bottom w:val="none" w:sz="0" w:space="0" w:color="auto"/>
                        <w:right w:val="none" w:sz="0" w:space="0" w:color="auto"/>
                      </w:divBdr>
                      <w:divsChild>
                        <w:div w:id="1346521175">
                          <w:marLeft w:val="0"/>
                          <w:marRight w:val="0"/>
                          <w:marTop w:val="0"/>
                          <w:marBottom w:val="0"/>
                          <w:divBdr>
                            <w:top w:val="none" w:sz="0" w:space="0" w:color="auto"/>
                            <w:left w:val="none" w:sz="0" w:space="0" w:color="auto"/>
                            <w:bottom w:val="none" w:sz="0" w:space="0" w:color="auto"/>
                            <w:right w:val="none" w:sz="0" w:space="0" w:color="auto"/>
                          </w:divBdr>
                          <w:divsChild>
                            <w:div w:id="9113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8182">
      <w:bodyDiv w:val="1"/>
      <w:marLeft w:val="0"/>
      <w:marRight w:val="0"/>
      <w:marTop w:val="0"/>
      <w:marBottom w:val="0"/>
      <w:divBdr>
        <w:top w:val="none" w:sz="0" w:space="0" w:color="auto"/>
        <w:left w:val="none" w:sz="0" w:space="0" w:color="auto"/>
        <w:bottom w:val="none" w:sz="0" w:space="0" w:color="auto"/>
        <w:right w:val="none" w:sz="0" w:space="0" w:color="auto"/>
      </w:divBdr>
      <w:divsChild>
        <w:div w:id="849683848">
          <w:marLeft w:val="0"/>
          <w:marRight w:val="0"/>
          <w:marTop w:val="0"/>
          <w:marBottom w:val="0"/>
          <w:divBdr>
            <w:top w:val="none" w:sz="0" w:space="0" w:color="auto"/>
            <w:left w:val="none" w:sz="0" w:space="0" w:color="auto"/>
            <w:bottom w:val="none" w:sz="0" w:space="0" w:color="auto"/>
            <w:right w:val="none" w:sz="0" w:space="0" w:color="auto"/>
          </w:divBdr>
          <w:divsChild>
            <w:div w:id="1848246747">
              <w:marLeft w:val="0"/>
              <w:marRight w:val="0"/>
              <w:marTop w:val="0"/>
              <w:marBottom w:val="0"/>
              <w:divBdr>
                <w:top w:val="none" w:sz="0" w:space="0" w:color="auto"/>
                <w:left w:val="none" w:sz="0" w:space="0" w:color="auto"/>
                <w:bottom w:val="none" w:sz="0" w:space="0" w:color="auto"/>
                <w:right w:val="none" w:sz="0" w:space="0" w:color="auto"/>
              </w:divBdr>
              <w:divsChild>
                <w:div w:id="1004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6170">
      <w:bodyDiv w:val="1"/>
      <w:marLeft w:val="0"/>
      <w:marRight w:val="0"/>
      <w:marTop w:val="0"/>
      <w:marBottom w:val="0"/>
      <w:divBdr>
        <w:top w:val="none" w:sz="0" w:space="0" w:color="auto"/>
        <w:left w:val="none" w:sz="0" w:space="0" w:color="auto"/>
        <w:bottom w:val="none" w:sz="0" w:space="0" w:color="auto"/>
        <w:right w:val="none" w:sz="0" w:space="0" w:color="auto"/>
      </w:divBdr>
      <w:divsChild>
        <w:div w:id="38433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3641">
              <w:marLeft w:val="0"/>
              <w:marRight w:val="0"/>
              <w:marTop w:val="0"/>
              <w:marBottom w:val="0"/>
              <w:divBdr>
                <w:top w:val="none" w:sz="0" w:space="0" w:color="auto"/>
                <w:left w:val="none" w:sz="0" w:space="0" w:color="auto"/>
                <w:bottom w:val="none" w:sz="0" w:space="0" w:color="auto"/>
                <w:right w:val="none" w:sz="0" w:space="0" w:color="auto"/>
              </w:divBdr>
              <w:divsChild>
                <w:div w:id="2027977407">
                  <w:marLeft w:val="0"/>
                  <w:marRight w:val="0"/>
                  <w:marTop w:val="0"/>
                  <w:marBottom w:val="0"/>
                  <w:divBdr>
                    <w:top w:val="none" w:sz="0" w:space="0" w:color="auto"/>
                    <w:left w:val="none" w:sz="0" w:space="0" w:color="auto"/>
                    <w:bottom w:val="none" w:sz="0" w:space="0" w:color="auto"/>
                    <w:right w:val="none" w:sz="0" w:space="0" w:color="auto"/>
                  </w:divBdr>
                  <w:divsChild>
                    <w:div w:id="12417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61832">
      <w:bodyDiv w:val="1"/>
      <w:marLeft w:val="0"/>
      <w:marRight w:val="0"/>
      <w:marTop w:val="0"/>
      <w:marBottom w:val="0"/>
      <w:divBdr>
        <w:top w:val="none" w:sz="0" w:space="0" w:color="auto"/>
        <w:left w:val="none" w:sz="0" w:space="0" w:color="auto"/>
        <w:bottom w:val="none" w:sz="0" w:space="0" w:color="auto"/>
        <w:right w:val="none" w:sz="0" w:space="0" w:color="auto"/>
      </w:divBdr>
      <w:divsChild>
        <w:div w:id="1261061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166118">
              <w:marLeft w:val="0"/>
              <w:marRight w:val="0"/>
              <w:marTop w:val="0"/>
              <w:marBottom w:val="0"/>
              <w:divBdr>
                <w:top w:val="none" w:sz="0" w:space="0" w:color="auto"/>
                <w:left w:val="none" w:sz="0" w:space="0" w:color="auto"/>
                <w:bottom w:val="none" w:sz="0" w:space="0" w:color="auto"/>
                <w:right w:val="none" w:sz="0" w:space="0" w:color="auto"/>
              </w:divBdr>
              <w:divsChild>
                <w:div w:id="625816522">
                  <w:marLeft w:val="0"/>
                  <w:marRight w:val="0"/>
                  <w:marTop w:val="0"/>
                  <w:marBottom w:val="0"/>
                  <w:divBdr>
                    <w:top w:val="none" w:sz="0" w:space="0" w:color="auto"/>
                    <w:left w:val="none" w:sz="0" w:space="0" w:color="auto"/>
                    <w:bottom w:val="none" w:sz="0" w:space="0" w:color="auto"/>
                    <w:right w:val="none" w:sz="0" w:space="0" w:color="auto"/>
                  </w:divBdr>
                  <w:divsChild>
                    <w:div w:id="6146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ott\Desktop\Victor\Demke_NO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EA75F-D68F-0144-97CD-5D8124D9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Settings\scott\Desktop\Victor\Demke_NOA.dot</Template>
  <TotalTime>10</TotalTime>
  <Pages>8</Pages>
  <Words>2304</Words>
  <Characters>13134</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Stickney NOA</vt:lpstr>
    </vt:vector>
  </TitlesOfParts>
  <Company>Roberts &amp; Rowley, Ltd.</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Stickney NOA</dc:title>
  <dc:creator>Andrea Yirak</dc:creator>
  <cp:lastModifiedBy>Samantha DuMond</cp:lastModifiedBy>
  <cp:revision>3</cp:revision>
  <cp:lastPrinted>2017-03-15T03:15:00Z</cp:lastPrinted>
  <dcterms:created xsi:type="dcterms:W3CDTF">2017-03-15T02:42:00Z</dcterms:created>
  <dcterms:modified xsi:type="dcterms:W3CDTF">2017-03-15T03:16:00Z</dcterms:modified>
</cp:coreProperties>
</file>