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0A5238">
              <w:rPr>
                <w:b/>
                <w:smallCaps/>
                <w:kern w:val="2"/>
                <w:sz w:val="28"/>
                <w:szCs w:val="28"/>
              </w:rPr>
              <w:t>In Re:</w:t>
            </w:r>
            <w:r w:rsidR="00240AD0" w:rsidRPr="000A5238">
              <w:rPr>
                <w:b/>
                <w:sz w:val="28"/>
                <w:szCs w:val="28"/>
              </w:rPr>
              <w:t xml:space="preserve"> </w:t>
            </w:r>
            <w:r w:rsidR="00B02B57">
              <w:rPr>
                <w:b/>
                <w:sz w:val="28"/>
                <w:szCs w:val="28"/>
              </w:rPr>
              <w:t xml:space="preserve">PETITION TO AMEND </w:t>
            </w:r>
            <w:r w:rsidR="00C90E25">
              <w:rPr>
                <w:b/>
                <w:sz w:val="28"/>
                <w:szCs w:val="28"/>
              </w:rPr>
              <w:t>THE ARIZONA RULES OF CRIMINAL PROCEDURE</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-1</w:t>
            </w:r>
            <w:r w:rsidR="00AD4953">
              <w:rPr>
                <w:smallCaps/>
                <w:kern w:val="2"/>
                <w:sz w:val="28"/>
                <w:szCs w:val="28"/>
              </w:rPr>
              <w:t>7</w:t>
            </w:r>
            <w:r w:rsidR="00264DAB">
              <w:rPr>
                <w:smallCaps/>
                <w:kern w:val="2"/>
                <w:sz w:val="28"/>
                <w:szCs w:val="28"/>
              </w:rPr>
              <w:t>-00</w:t>
            </w:r>
            <w:r w:rsidR="00C90E25">
              <w:rPr>
                <w:smallCaps/>
                <w:kern w:val="2"/>
                <w:sz w:val="28"/>
                <w:szCs w:val="28"/>
              </w:rPr>
              <w:t>02</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 xml:space="preserve">ition to Amend </w:t>
            </w:r>
            <w:r w:rsidR="00C90E25">
              <w:rPr>
                <w:smallCaps/>
                <w:kern w:val="2"/>
                <w:sz w:val="28"/>
                <w:szCs w:val="28"/>
              </w:rPr>
              <w:t>The Rules of Criminal Procedure</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6F1A7C"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C35878">
        <w:rPr>
          <w:sz w:val="28"/>
          <w:szCs w:val="28"/>
        </w:rPr>
        <w:t xml:space="preserve">hereby </w:t>
      </w:r>
      <w:r w:rsidR="006027C0">
        <w:rPr>
          <w:sz w:val="28"/>
          <w:szCs w:val="28"/>
        </w:rPr>
        <w:t>responds</w:t>
      </w:r>
      <w:r w:rsidR="00C35878">
        <w:rPr>
          <w:sz w:val="28"/>
          <w:szCs w:val="28"/>
        </w:rPr>
        <w:t xml:space="preserve"> to the Petition to </w:t>
      </w:r>
      <w:r w:rsidR="00C90E25">
        <w:rPr>
          <w:sz w:val="28"/>
          <w:szCs w:val="28"/>
        </w:rPr>
        <w:t xml:space="preserve">Amend the Rules of Criminal Procedure </w:t>
      </w:r>
      <w:r w:rsidR="00B604A9">
        <w:rPr>
          <w:sz w:val="28"/>
          <w:szCs w:val="28"/>
        </w:rPr>
        <w:t xml:space="preserve">and asks this Court to </w:t>
      </w:r>
      <w:r w:rsidR="00C90E25">
        <w:rPr>
          <w:sz w:val="28"/>
          <w:szCs w:val="28"/>
        </w:rPr>
        <w:t xml:space="preserve">modify </w:t>
      </w:r>
      <w:r w:rsidR="004D43EB">
        <w:rPr>
          <w:sz w:val="28"/>
          <w:szCs w:val="28"/>
        </w:rPr>
        <w:t>three</w:t>
      </w:r>
      <w:r w:rsidR="00C90E25">
        <w:rPr>
          <w:sz w:val="28"/>
          <w:szCs w:val="28"/>
        </w:rPr>
        <w:t xml:space="preserve"> proposed changes as discussed below</w:t>
      </w:r>
      <w:r w:rsidR="00264DAB">
        <w:rPr>
          <w:sz w:val="28"/>
          <w:szCs w:val="28"/>
        </w:rPr>
        <w:t>.</w:t>
      </w:r>
    </w:p>
    <w:p w:rsidR="001D1A25" w:rsidRDefault="001D1A25" w:rsidP="001D1A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b/>
          <w:kern w:val="2"/>
          <w:sz w:val="28"/>
          <w:szCs w:val="28"/>
          <w:u w:val="single"/>
        </w:rPr>
      </w:pPr>
      <w:r>
        <w:rPr>
          <w:b/>
          <w:kern w:val="2"/>
          <w:sz w:val="28"/>
          <w:szCs w:val="28"/>
          <w:u w:val="single"/>
        </w:rPr>
        <w:t>Rule 11</w:t>
      </w:r>
    </w:p>
    <w:p w:rsidR="001D1A25" w:rsidRDefault="00F71B85" w:rsidP="001D1A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According to Appendix B submitted with the </w:t>
      </w:r>
      <w:r w:rsidR="004D43EB">
        <w:rPr>
          <w:kern w:val="2"/>
          <w:sz w:val="28"/>
          <w:szCs w:val="28"/>
        </w:rPr>
        <w:t>P</w:t>
      </w:r>
      <w:r>
        <w:rPr>
          <w:kern w:val="2"/>
          <w:sz w:val="28"/>
          <w:szCs w:val="28"/>
        </w:rPr>
        <w:t>etition, the Task Force decided to split Rule 11 between competency proceedings and inquiries into the defendant’s mental status at the time of the offen</w:t>
      </w:r>
      <w:r w:rsidR="00E4653D">
        <w:rPr>
          <w:kern w:val="2"/>
          <w:sz w:val="28"/>
          <w:szCs w:val="28"/>
        </w:rPr>
        <w:t>s</w:t>
      </w:r>
      <w:r>
        <w:rPr>
          <w:kern w:val="2"/>
          <w:sz w:val="28"/>
          <w:szCs w:val="28"/>
        </w:rPr>
        <w:t>e.  The current rule blends both inquiries together.  MCAO agrees with the Task Force that dividing these two topics makes the rule clearer and easier to use.</w:t>
      </w:r>
    </w:p>
    <w:p w:rsidR="00675EAD" w:rsidRDefault="00F71B85" w:rsidP="00675EA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division, however, has left some ambiguity in the rule.  </w:t>
      </w:r>
      <w:r w:rsidR="00675EAD">
        <w:rPr>
          <w:kern w:val="2"/>
          <w:sz w:val="28"/>
          <w:szCs w:val="28"/>
        </w:rPr>
        <w:t>Nothing in the new 11.8 addresses the delivery of an expert’s report</w:t>
      </w:r>
      <w:r w:rsidR="001D1258">
        <w:rPr>
          <w:kern w:val="2"/>
          <w:sz w:val="28"/>
          <w:szCs w:val="28"/>
        </w:rPr>
        <w:t xml:space="preserve">.  </w:t>
      </w:r>
      <w:r w:rsidR="00675EAD">
        <w:rPr>
          <w:kern w:val="2"/>
          <w:sz w:val="28"/>
          <w:szCs w:val="28"/>
        </w:rPr>
        <w:t xml:space="preserve">Therefore, in the proposal, only </w:t>
      </w:r>
      <w:r w:rsidR="00675EAD">
        <w:rPr>
          <w:kern w:val="2"/>
          <w:sz w:val="28"/>
          <w:szCs w:val="28"/>
        </w:rPr>
        <w:lastRenderedPageBreak/>
        <w:t xml:space="preserve">Rule 11.4 addresses the disclosure of mental health reports.  But, as currently drafted, </w:t>
      </w:r>
      <w:r w:rsidR="001D1258">
        <w:rPr>
          <w:kern w:val="2"/>
          <w:sz w:val="28"/>
          <w:szCs w:val="28"/>
        </w:rPr>
        <w:t>Rule 11.4</w:t>
      </w:r>
      <w:r w:rsidR="00675EAD">
        <w:rPr>
          <w:kern w:val="2"/>
          <w:sz w:val="28"/>
          <w:szCs w:val="28"/>
        </w:rPr>
        <w:t xml:space="preserve"> is confusing </w:t>
      </w:r>
      <w:r w:rsidR="001D1258">
        <w:rPr>
          <w:kern w:val="2"/>
          <w:sz w:val="28"/>
          <w:szCs w:val="28"/>
        </w:rPr>
        <w:t xml:space="preserve">because it does not reference the new Rule 11.8 but it does reference Rule 11.3 in (a)(1) </w:t>
      </w:r>
      <w:r w:rsidR="00675EAD">
        <w:rPr>
          <w:kern w:val="2"/>
          <w:sz w:val="28"/>
          <w:szCs w:val="28"/>
        </w:rPr>
        <w:t xml:space="preserve">and </w:t>
      </w:r>
      <w:r w:rsidR="001D1258">
        <w:rPr>
          <w:kern w:val="2"/>
          <w:sz w:val="28"/>
          <w:szCs w:val="28"/>
        </w:rPr>
        <w:t xml:space="preserve">it references </w:t>
      </w:r>
      <w:r w:rsidR="00675EAD">
        <w:rPr>
          <w:kern w:val="2"/>
          <w:sz w:val="28"/>
          <w:szCs w:val="28"/>
        </w:rPr>
        <w:t>Rule 11.5</w:t>
      </w:r>
      <w:r w:rsidR="001D1258">
        <w:rPr>
          <w:kern w:val="2"/>
          <w:sz w:val="28"/>
          <w:szCs w:val="28"/>
        </w:rPr>
        <w:t xml:space="preserve"> in (b) and that rule only addresses </w:t>
      </w:r>
      <w:r w:rsidR="00675EAD">
        <w:rPr>
          <w:kern w:val="2"/>
          <w:sz w:val="28"/>
          <w:szCs w:val="28"/>
        </w:rPr>
        <w:t xml:space="preserve">competency hearings.  The proposed rule needs to be modified to be clear that Rule 11.4(a) addresses experts appointed </w:t>
      </w:r>
      <w:r w:rsidR="00E70888">
        <w:rPr>
          <w:kern w:val="2"/>
          <w:sz w:val="28"/>
          <w:szCs w:val="28"/>
        </w:rPr>
        <w:t xml:space="preserve">for competency determinations </w:t>
      </w:r>
      <w:r w:rsidR="00675EAD">
        <w:rPr>
          <w:kern w:val="2"/>
          <w:sz w:val="28"/>
          <w:szCs w:val="28"/>
        </w:rPr>
        <w:t xml:space="preserve">while (b) address the reports of any other type of mental health expert. </w:t>
      </w:r>
    </w:p>
    <w:p w:rsidR="00E70888" w:rsidRDefault="00AE6725" w:rsidP="00E7088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MCAO </w:t>
      </w:r>
      <w:r w:rsidR="00675EAD">
        <w:rPr>
          <w:kern w:val="2"/>
          <w:sz w:val="28"/>
          <w:szCs w:val="28"/>
        </w:rPr>
        <w:t>suggests the following modification to the proposed Rule 11.4.</w:t>
      </w:r>
    </w:p>
    <w:p w:rsidR="00E4653D" w:rsidRDefault="00F13155" w:rsidP="00E7088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b/>
          <w:bCs/>
          <w:sz w:val="26"/>
          <w:szCs w:val="26"/>
        </w:rPr>
      </w:pPr>
      <w:r>
        <w:rPr>
          <w:b/>
          <w:sz w:val="26"/>
          <w:szCs w:val="26"/>
        </w:rPr>
        <w:t>Rule 11.4</w:t>
      </w:r>
      <w:r w:rsidR="002D0287">
        <w:rPr>
          <w:b/>
          <w:sz w:val="26"/>
          <w:szCs w:val="26"/>
        </w:rPr>
        <w:t xml:space="preserve">. </w:t>
      </w:r>
      <w:r>
        <w:rPr>
          <w:b/>
          <w:bCs/>
          <w:sz w:val="26"/>
          <w:szCs w:val="26"/>
        </w:rPr>
        <w:t>Disclosure of Experts’ Reports</w:t>
      </w:r>
    </w:p>
    <w:p w:rsidR="00E70888" w:rsidRDefault="00F13155" w:rsidP="00E70888">
      <w:pPr>
        <w:pStyle w:val="Default"/>
        <w:spacing w:after="99"/>
        <w:ind w:left="540"/>
        <w:rPr>
          <w:b/>
          <w:bCs/>
          <w:sz w:val="26"/>
          <w:szCs w:val="26"/>
        </w:rPr>
      </w:pPr>
      <w:r>
        <w:rPr>
          <w:b/>
          <w:bCs/>
          <w:sz w:val="26"/>
          <w:szCs w:val="26"/>
        </w:rPr>
        <w:t xml:space="preserve">(a) </w:t>
      </w:r>
      <w:r w:rsidR="00E70888">
        <w:rPr>
          <w:b/>
          <w:bCs/>
          <w:sz w:val="26"/>
          <w:szCs w:val="26"/>
        </w:rPr>
        <w:t xml:space="preserve">Reports of </w:t>
      </w:r>
      <w:r w:rsidR="00E70888" w:rsidRPr="00407A8B">
        <w:rPr>
          <w:b/>
          <w:bCs/>
          <w:sz w:val="26"/>
          <w:szCs w:val="26"/>
        </w:rPr>
        <w:t>Appointed</w:t>
      </w:r>
      <w:r w:rsidR="00E70888">
        <w:rPr>
          <w:b/>
          <w:bCs/>
          <w:sz w:val="26"/>
          <w:szCs w:val="26"/>
        </w:rPr>
        <w:t xml:space="preserve"> Experts </w:t>
      </w:r>
      <w:r w:rsidR="00E70888">
        <w:rPr>
          <w:b/>
          <w:bCs/>
          <w:sz w:val="26"/>
          <w:szCs w:val="26"/>
          <w:u w:val="single"/>
        </w:rPr>
        <w:t>UNDER RULE 11.3</w:t>
      </w:r>
      <w:r w:rsidR="00E70888">
        <w:rPr>
          <w:b/>
          <w:bCs/>
          <w:sz w:val="26"/>
          <w:szCs w:val="26"/>
        </w:rPr>
        <w:t xml:space="preserve">. </w:t>
      </w:r>
    </w:p>
    <w:p w:rsidR="00E70888" w:rsidRDefault="002D0287" w:rsidP="00E70888">
      <w:pPr>
        <w:pStyle w:val="Default"/>
        <w:spacing w:after="99"/>
        <w:ind w:left="1350" w:hanging="450"/>
        <w:rPr>
          <w:sz w:val="26"/>
          <w:szCs w:val="26"/>
        </w:rPr>
      </w:pPr>
      <w:r>
        <w:rPr>
          <w:b/>
          <w:bCs/>
          <w:sz w:val="26"/>
          <w:szCs w:val="26"/>
        </w:rPr>
        <w:t>(1)</w:t>
      </w:r>
      <w:r w:rsidR="00E70888">
        <w:rPr>
          <w:b/>
          <w:bCs/>
          <w:sz w:val="26"/>
          <w:szCs w:val="26"/>
        </w:rPr>
        <w:t xml:space="preserve">  </w:t>
      </w:r>
      <w:r w:rsidR="00F13155">
        <w:rPr>
          <w:b/>
          <w:bCs/>
          <w:i/>
          <w:iCs/>
          <w:sz w:val="26"/>
          <w:szCs w:val="26"/>
        </w:rPr>
        <w:t xml:space="preserve">Deadline. </w:t>
      </w:r>
      <w:r w:rsidR="00F13155">
        <w:rPr>
          <w:sz w:val="26"/>
          <w:szCs w:val="26"/>
        </w:rPr>
        <w:t xml:space="preserve">An expert appointed under Rule 11.3 must submit a report to the </w:t>
      </w:r>
      <w:r w:rsidR="00E70888">
        <w:rPr>
          <w:sz w:val="26"/>
          <w:szCs w:val="26"/>
        </w:rPr>
        <w:t>c</w:t>
      </w:r>
      <w:r w:rsidR="00F13155">
        <w:rPr>
          <w:sz w:val="26"/>
          <w:szCs w:val="26"/>
        </w:rPr>
        <w:t xml:space="preserve">ourt no later than 10 business days after the expert’s examination is completed. The expert must inform the court if the report cannot be made available at least 7 days before the scheduled hearing. </w:t>
      </w:r>
    </w:p>
    <w:p w:rsidR="002D0287" w:rsidRDefault="00F13155" w:rsidP="00E70888">
      <w:pPr>
        <w:pStyle w:val="Default"/>
        <w:spacing w:after="99"/>
        <w:ind w:left="1350" w:hanging="450"/>
        <w:rPr>
          <w:sz w:val="26"/>
          <w:szCs w:val="26"/>
        </w:rPr>
      </w:pPr>
      <w:r>
        <w:rPr>
          <w:b/>
          <w:bCs/>
          <w:sz w:val="26"/>
          <w:szCs w:val="26"/>
        </w:rPr>
        <w:t>(</w:t>
      </w:r>
      <w:r w:rsidR="00E70888">
        <w:rPr>
          <w:b/>
          <w:bCs/>
          <w:sz w:val="26"/>
          <w:szCs w:val="26"/>
        </w:rPr>
        <w:t>2</w:t>
      </w:r>
      <w:r>
        <w:rPr>
          <w:b/>
          <w:bCs/>
          <w:sz w:val="26"/>
          <w:szCs w:val="26"/>
        </w:rPr>
        <w:t xml:space="preserve">) </w:t>
      </w:r>
      <w:r w:rsidR="00E70888">
        <w:rPr>
          <w:b/>
          <w:bCs/>
          <w:i/>
          <w:sz w:val="26"/>
          <w:szCs w:val="26"/>
        </w:rPr>
        <w:t xml:space="preserve"> Availability</w:t>
      </w:r>
      <w:r w:rsidR="002D0287">
        <w:rPr>
          <w:b/>
          <w:bCs/>
          <w:i/>
          <w:iCs/>
          <w:sz w:val="26"/>
          <w:szCs w:val="26"/>
        </w:rPr>
        <w:t xml:space="preserve">. </w:t>
      </w:r>
      <w:r w:rsidR="002D0287">
        <w:rPr>
          <w:sz w:val="26"/>
          <w:szCs w:val="26"/>
        </w:rPr>
        <w:t xml:space="preserve">An expert’s report </w:t>
      </w:r>
      <w:r w:rsidR="00407A8B">
        <w:rPr>
          <w:sz w:val="26"/>
          <w:szCs w:val="26"/>
          <w:u w:val="single"/>
        </w:rPr>
        <w:t xml:space="preserve">COMPLETED UNDER RULE 11.3 </w:t>
      </w:r>
      <w:r w:rsidR="002D0287">
        <w:rPr>
          <w:sz w:val="26"/>
          <w:szCs w:val="26"/>
        </w:rPr>
        <w:t xml:space="preserve">must be made available to the examined defendant and the State, except that any statement by the defendant about the charged offense or any other charged or uncharged offense (or any summary of such a statement) may be made available only to the defendant. Upon receipt, court staff will copy and provide the expert’s report to the court and defense counsel. Defense counsel is responsible for editing a copy of the report for the State. Defense counsel must provide the edited report to court staff to be made available to the State no later than 3 days after receiving the unedited report. </w:t>
      </w:r>
    </w:p>
    <w:p w:rsidR="00E4653D" w:rsidRPr="00E70888" w:rsidRDefault="00E4653D" w:rsidP="00E70888">
      <w:pPr>
        <w:pStyle w:val="Default"/>
        <w:spacing w:after="95"/>
        <w:ind w:left="900" w:hanging="360"/>
        <w:rPr>
          <w:strike/>
          <w:sz w:val="26"/>
          <w:szCs w:val="26"/>
        </w:rPr>
      </w:pPr>
      <w:r>
        <w:rPr>
          <w:b/>
          <w:bCs/>
          <w:sz w:val="26"/>
          <w:szCs w:val="26"/>
        </w:rPr>
        <w:t>(</w:t>
      </w:r>
      <w:r w:rsidR="00E70888">
        <w:rPr>
          <w:b/>
          <w:bCs/>
          <w:sz w:val="26"/>
          <w:szCs w:val="26"/>
        </w:rPr>
        <w:t>b</w:t>
      </w:r>
      <w:r>
        <w:rPr>
          <w:b/>
          <w:bCs/>
          <w:sz w:val="26"/>
          <w:szCs w:val="26"/>
        </w:rPr>
        <w:t xml:space="preserve">) Reports of Other Experts. </w:t>
      </w:r>
      <w:r>
        <w:rPr>
          <w:sz w:val="26"/>
          <w:szCs w:val="26"/>
        </w:rPr>
        <w:t xml:space="preserve">For any </w:t>
      </w:r>
      <w:r w:rsidR="00407A8B">
        <w:rPr>
          <w:sz w:val="26"/>
          <w:szCs w:val="26"/>
          <w:u w:val="single"/>
        </w:rPr>
        <w:t xml:space="preserve">OTHER </w:t>
      </w:r>
      <w:r>
        <w:rPr>
          <w:sz w:val="26"/>
          <w:szCs w:val="26"/>
        </w:rPr>
        <w:t>mental health expert who has personally examined the defendant or any evidence in connection with the case</w:t>
      </w:r>
      <w:r w:rsidR="005D6233">
        <w:rPr>
          <w:sz w:val="26"/>
          <w:szCs w:val="26"/>
        </w:rPr>
        <w:t xml:space="preserve"> </w:t>
      </w:r>
      <w:r w:rsidR="00407A8B">
        <w:rPr>
          <w:sz w:val="26"/>
          <w:szCs w:val="26"/>
          <w:u w:val="single"/>
        </w:rPr>
        <w:t>TO DETERMINE COMPETENCY OR THE DEFENDANT’S MENTAL STATUS AT THE TIME OF THE CRIME, THE</w:t>
      </w:r>
      <w:r>
        <w:rPr>
          <w:sz w:val="26"/>
          <w:szCs w:val="26"/>
        </w:rPr>
        <w:t xml:space="preserve"> that defendant and the State must disclose</w:t>
      </w:r>
      <w:r w:rsidR="00E70888">
        <w:rPr>
          <w:sz w:val="26"/>
          <w:szCs w:val="26"/>
          <w:u w:val="single"/>
        </w:rPr>
        <w:t>:</w:t>
      </w:r>
      <w:r>
        <w:rPr>
          <w:sz w:val="26"/>
          <w:szCs w:val="26"/>
        </w:rPr>
        <w:t xml:space="preserve"> </w:t>
      </w:r>
      <w:r w:rsidRPr="00E70888">
        <w:rPr>
          <w:strike/>
          <w:sz w:val="26"/>
          <w:szCs w:val="26"/>
        </w:rPr>
        <w:t xml:space="preserve">to each other at least 15 business days before any Rule 11.5 hearing: </w:t>
      </w:r>
    </w:p>
    <w:p w:rsidR="00E70888" w:rsidRDefault="00E4653D" w:rsidP="00E70888">
      <w:pPr>
        <w:pStyle w:val="Default"/>
        <w:spacing w:after="95"/>
        <w:ind w:left="1350" w:hanging="450"/>
        <w:rPr>
          <w:sz w:val="26"/>
          <w:szCs w:val="26"/>
        </w:rPr>
      </w:pPr>
      <w:r>
        <w:rPr>
          <w:b/>
          <w:bCs/>
          <w:sz w:val="26"/>
          <w:szCs w:val="26"/>
        </w:rPr>
        <w:t>(</w:t>
      </w:r>
      <w:r w:rsidR="00E70888">
        <w:rPr>
          <w:b/>
          <w:bCs/>
          <w:sz w:val="26"/>
          <w:szCs w:val="26"/>
        </w:rPr>
        <w:t>1</w:t>
      </w:r>
      <w:r>
        <w:rPr>
          <w:b/>
          <w:bCs/>
          <w:sz w:val="26"/>
          <w:szCs w:val="26"/>
        </w:rPr>
        <w:t xml:space="preserve">) </w:t>
      </w:r>
      <w:r w:rsidR="00E70888">
        <w:rPr>
          <w:b/>
          <w:bCs/>
          <w:sz w:val="26"/>
          <w:szCs w:val="26"/>
        </w:rPr>
        <w:t xml:space="preserve"> </w:t>
      </w:r>
      <w:r>
        <w:rPr>
          <w:sz w:val="26"/>
          <w:szCs w:val="26"/>
        </w:rPr>
        <w:t xml:space="preserve">the expert’s name and address; </w:t>
      </w:r>
    </w:p>
    <w:p w:rsidR="00E70888" w:rsidRDefault="00E4653D" w:rsidP="00E70888">
      <w:pPr>
        <w:pStyle w:val="Default"/>
        <w:spacing w:after="95"/>
        <w:ind w:left="1350" w:hanging="450"/>
        <w:rPr>
          <w:sz w:val="26"/>
          <w:szCs w:val="26"/>
        </w:rPr>
      </w:pPr>
      <w:r>
        <w:rPr>
          <w:b/>
          <w:bCs/>
          <w:sz w:val="26"/>
          <w:szCs w:val="26"/>
        </w:rPr>
        <w:t>(</w:t>
      </w:r>
      <w:r w:rsidR="00E70888">
        <w:rPr>
          <w:b/>
          <w:bCs/>
          <w:sz w:val="26"/>
          <w:szCs w:val="26"/>
        </w:rPr>
        <w:t>2</w:t>
      </w:r>
      <w:r>
        <w:rPr>
          <w:b/>
          <w:bCs/>
          <w:sz w:val="26"/>
          <w:szCs w:val="26"/>
        </w:rPr>
        <w:t xml:space="preserve">) </w:t>
      </w:r>
      <w:r w:rsidR="00E70888">
        <w:rPr>
          <w:b/>
          <w:bCs/>
          <w:sz w:val="26"/>
          <w:szCs w:val="26"/>
        </w:rPr>
        <w:t xml:space="preserve"> </w:t>
      </w:r>
      <w:r>
        <w:rPr>
          <w:sz w:val="26"/>
          <w:szCs w:val="26"/>
        </w:rPr>
        <w:t xml:space="preserve">the results of any mental examinations, scientific tests, experiments, or comparisons conducted on the defendant or on any evidence in the case by or on the behalf of the mental health expert; and </w:t>
      </w:r>
    </w:p>
    <w:p w:rsidR="00203EE0" w:rsidRDefault="00E70888" w:rsidP="00E70888">
      <w:pPr>
        <w:pStyle w:val="Default"/>
        <w:spacing w:after="95"/>
        <w:ind w:left="1350" w:hanging="450"/>
        <w:rPr>
          <w:sz w:val="26"/>
          <w:szCs w:val="26"/>
        </w:rPr>
      </w:pPr>
      <w:r w:rsidRPr="00E70888">
        <w:rPr>
          <w:b/>
          <w:sz w:val="26"/>
          <w:szCs w:val="26"/>
        </w:rPr>
        <w:t>(3</w:t>
      </w:r>
      <w:r w:rsidR="00E4653D" w:rsidRPr="00E70888">
        <w:rPr>
          <w:b/>
          <w:bCs/>
          <w:sz w:val="26"/>
          <w:szCs w:val="26"/>
        </w:rPr>
        <w:t>)</w:t>
      </w:r>
      <w:r w:rsidR="00E4653D">
        <w:rPr>
          <w:b/>
          <w:bCs/>
          <w:sz w:val="26"/>
          <w:szCs w:val="26"/>
        </w:rPr>
        <w:t xml:space="preserve"> </w:t>
      </w:r>
      <w:r>
        <w:rPr>
          <w:b/>
          <w:bCs/>
          <w:sz w:val="26"/>
          <w:szCs w:val="26"/>
        </w:rPr>
        <w:t xml:space="preserve"> </w:t>
      </w:r>
      <w:r w:rsidR="00E4653D">
        <w:rPr>
          <w:sz w:val="26"/>
          <w:szCs w:val="26"/>
        </w:rPr>
        <w:t>any written report or statement in connection with the case</w:t>
      </w:r>
      <w:r>
        <w:rPr>
          <w:sz w:val="26"/>
          <w:szCs w:val="26"/>
        </w:rPr>
        <w:t xml:space="preserve">. </w:t>
      </w:r>
    </w:p>
    <w:p w:rsidR="001D1A25" w:rsidRPr="00C90E25" w:rsidRDefault="001D1A25" w:rsidP="001D1A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b/>
          <w:kern w:val="2"/>
          <w:sz w:val="28"/>
          <w:szCs w:val="28"/>
          <w:u w:val="single"/>
        </w:rPr>
      </w:pPr>
      <w:r>
        <w:rPr>
          <w:b/>
          <w:kern w:val="2"/>
          <w:sz w:val="28"/>
          <w:szCs w:val="28"/>
          <w:u w:val="single"/>
        </w:rPr>
        <w:lastRenderedPageBreak/>
        <w:t>Rule 15.1(b)(2)</w:t>
      </w:r>
    </w:p>
    <w:p w:rsidR="00BB04F9" w:rsidRDefault="00203EE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Although the Task Force retained the current substance of Rule 15.1(b)(2), the rule was poorly written in the first instance and should be modified to correct a peculiar oversight.  Rule 15.1(b) deals with supplemental disclosures the State must provide to the defense.  </w:t>
      </w:r>
      <w:r w:rsidR="00174EC9">
        <w:rPr>
          <w:kern w:val="2"/>
          <w:sz w:val="28"/>
          <w:szCs w:val="28"/>
        </w:rPr>
        <w:t xml:space="preserve">Nearly every subsection has some limiting language to limit the items that need to be disclosed to material that pertains to the current prosecution.  </w:t>
      </w:r>
      <w:r>
        <w:rPr>
          <w:kern w:val="2"/>
          <w:sz w:val="28"/>
          <w:szCs w:val="28"/>
        </w:rPr>
        <w:t xml:space="preserve">Subsection (b)(1) </w:t>
      </w:r>
      <w:r w:rsidR="00174EC9">
        <w:rPr>
          <w:kern w:val="2"/>
          <w:sz w:val="28"/>
          <w:szCs w:val="28"/>
        </w:rPr>
        <w:t xml:space="preserve">requires </w:t>
      </w:r>
      <w:r>
        <w:rPr>
          <w:kern w:val="2"/>
          <w:sz w:val="28"/>
          <w:szCs w:val="28"/>
        </w:rPr>
        <w:t xml:space="preserve">the State </w:t>
      </w:r>
      <w:r w:rsidR="00174EC9">
        <w:rPr>
          <w:kern w:val="2"/>
          <w:sz w:val="28"/>
          <w:szCs w:val="28"/>
        </w:rPr>
        <w:t>to</w:t>
      </w:r>
      <w:r>
        <w:rPr>
          <w:kern w:val="2"/>
          <w:sz w:val="28"/>
          <w:szCs w:val="28"/>
        </w:rPr>
        <w:t xml:space="preserve"> disclose the names and address of witnesses </w:t>
      </w:r>
      <w:r w:rsidR="00BB04F9">
        <w:rPr>
          <w:kern w:val="2"/>
          <w:sz w:val="28"/>
          <w:szCs w:val="28"/>
        </w:rPr>
        <w:t>and any “</w:t>
      </w:r>
      <w:r w:rsidRPr="00BB04F9">
        <w:rPr>
          <w:kern w:val="2"/>
          <w:sz w:val="28"/>
          <w:szCs w:val="28"/>
        </w:rPr>
        <w:t>relevant</w:t>
      </w:r>
      <w:r>
        <w:rPr>
          <w:kern w:val="2"/>
          <w:sz w:val="28"/>
          <w:szCs w:val="28"/>
        </w:rPr>
        <w:t xml:space="preserve"> written or recorded</w:t>
      </w:r>
      <w:r w:rsidR="00BB04F9">
        <w:rPr>
          <w:kern w:val="2"/>
          <w:sz w:val="28"/>
          <w:szCs w:val="28"/>
        </w:rPr>
        <w:t>”</w:t>
      </w:r>
      <w:r>
        <w:rPr>
          <w:kern w:val="2"/>
          <w:sz w:val="28"/>
          <w:szCs w:val="28"/>
        </w:rPr>
        <w:t xml:space="preserve"> statements.</w:t>
      </w:r>
      <w:r w:rsidR="00BB04F9">
        <w:rPr>
          <w:kern w:val="2"/>
          <w:sz w:val="28"/>
          <w:szCs w:val="28"/>
        </w:rPr>
        <w:t xml:space="preserve">  </w:t>
      </w:r>
      <w:r w:rsidR="00174EC9">
        <w:rPr>
          <w:kern w:val="2"/>
          <w:sz w:val="28"/>
          <w:szCs w:val="28"/>
        </w:rPr>
        <w:t>Subsection (b)(3) requires the State to disclose law enforcement reports “in connection with the charged offense</w:t>
      </w:r>
      <w:r w:rsidR="00BB04F9">
        <w:rPr>
          <w:kern w:val="2"/>
          <w:sz w:val="28"/>
          <w:szCs w:val="28"/>
        </w:rPr>
        <w:t>.</w:t>
      </w:r>
      <w:r w:rsidR="00174EC9">
        <w:rPr>
          <w:kern w:val="2"/>
          <w:sz w:val="28"/>
          <w:szCs w:val="28"/>
        </w:rPr>
        <w:t xml:space="preserve">” Subsection (b)(4) requires the disclosure of </w:t>
      </w:r>
      <w:r w:rsidR="00BB04F9">
        <w:rPr>
          <w:kern w:val="2"/>
          <w:sz w:val="28"/>
          <w:szCs w:val="28"/>
        </w:rPr>
        <w:t>an expert “</w:t>
      </w:r>
      <w:r w:rsidR="00174EC9">
        <w:rPr>
          <w:kern w:val="2"/>
          <w:sz w:val="28"/>
          <w:szCs w:val="28"/>
        </w:rPr>
        <w:t>who has examined a defendant or any evidence in the case, or who the State intends to call at trial.”  Subsection (b)(5) requires disclosure of a list of tangible objects that the State “intends to use at trial</w:t>
      </w:r>
      <w:r w:rsidR="00BB04F9">
        <w:rPr>
          <w:kern w:val="2"/>
          <w:sz w:val="28"/>
          <w:szCs w:val="28"/>
        </w:rPr>
        <w:t>.”</w:t>
      </w:r>
    </w:p>
    <w:p w:rsidR="00203EE0" w:rsidRPr="00203EE0" w:rsidRDefault="00174EC9"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Every subsection under Rule 15.1(b) limits the disclosure to items that will be used at trial or are connected with the specific case being prosecuted – with one exception.  Rule 15.1(b)(2) requires the State to disclose </w:t>
      </w:r>
      <w:r w:rsidR="0095722E">
        <w:rPr>
          <w:kern w:val="2"/>
          <w:sz w:val="28"/>
          <w:szCs w:val="28"/>
        </w:rPr>
        <w:t xml:space="preserve">“all statements of the defendant and of any person who will be tried with the defendant” (in the current version) or “any statement of the defendant and any co-defendant” (in the revised version).  This subsection is the only one that does not limit the disclosure obligation to the trial or </w:t>
      </w:r>
      <w:r w:rsidR="00BB04F9">
        <w:rPr>
          <w:kern w:val="2"/>
          <w:sz w:val="28"/>
          <w:szCs w:val="28"/>
        </w:rPr>
        <w:t xml:space="preserve">to the </w:t>
      </w:r>
      <w:r w:rsidR="0095722E">
        <w:rPr>
          <w:kern w:val="2"/>
          <w:sz w:val="28"/>
          <w:szCs w:val="28"/>
        </w:rPr>
        <w:t xml:space="preserve">specific crime being prosecuted.  Given the very broad definition of “statement” in Rule 15.4(a) and the unfortunate fact that many defendants make many statements to law enforcement over many years of different arrests and prosecutions, it would be impossible and nonsensical for anyone to comply with the rule’s literal mandate.  Rule 15.1(b)(2) needs to have the same limiting language as every other section in Rule 15.1(b).  Therefore, MCAO </w:t>
      </w:r>
      <w:r w:rsidR="00865E42">
        <w:rPr>
          <w:kern w:val="2"/>
          <w:sz w:val="28"/>
          <w:szCs w:val="28"/>
        </w:rPr>
        <w:t xml:space="preserve">requests that Rule 15.1(b)(2) be modified to read, </w:t>
      </w:r>
      <w:r w:rsidR="0095722E">
        <w:rPr>
          <w:kern w:val="2"/>
          <w:sz w:val="28"/>
          <w:szCs w:val="28"/>
        </w:rPr>
        <w:t xml:space="preserve">“any statement of the defendant and any codefendant that was made in connection with the charged offense.” </w:t>
      </w:r>
    </w:p>
    <w:p w:rsidR="00317224" w:rsidRDefault="00C90E25"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b/>
          <w:kern w:val="2"/>
          <w:sz w:val="28"/>
          <w:szCs w:val="28"/>
          <w:u w:val="single"/>
        </w:rPr>
      </w:pPr>
      <w:r>
        <w:rPr>
          <w:b/>
          <w:kern w:val="2"/>
          <w:sz w:val="28"/>
          <w:szCs w:val="28"/>
          <w:u w:val="single"/>
        </w:rPr>
        <w:t>Rule 39(</w:t>
      </w:r>
      <w:r w:rsidR="00593DB2">
        <w:rPr>
          <w:b/>
          <w:kern w:val="2"/>
          <w:sz w:val="28"/>
          <w:szCs w:val="28"/>
          <w:u w:val="single"/>
        </w:rPr>
        <w:t>d</w:t>
      </w:r>
      <w:r>
        <w:rPr>
          <w:b/>
          <w:kern w:val="2"/>
          <w:sz w:val="28"/>
          <w:szCs w:val="28"/>
          <w:u w:val="single"/>
        </w:rPr>
        <w:t>)</w:t>
      </w:r>
      <w:r w:rsidR="00593DB2">
        <w:rPr>
          <w:b/>
          <w:kern w:val="2"/>
          <w:sz w:val="28"/>
          <w:szCs w:val="28"/>
          <w:u w:val="single"/>
        </w:rPr>
        <w:t>(3)</w:t>
      </w:r>
    </w:p>
    <w:p w:rsidR="002D7FDC" w:rsidRDefault="002D7FDC"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The petition proposes a modification to Rule 39 that would renumber current Rule 39(c)(3) as Rule 39(d)</w:t>
      </w:r>
      <w:r w:rsidR="00772ADE">
        <w:rPr>
          <w:kern w:val="2"/>
          <w:sz w:val="28"/>
          <w:szCs w:val="28"/>
        </w:rPr>
        <w:t>(3) and the new rule changes the end of the sentence from “the prosecutor shall have the responsibility to direct the victim to the appropriate legal refer</w:t>
      </w:r>
      <w:r w:rsidR="00E46850">
        <w:rPr>
          <w:kern w:val="2"/>
          <w:sz w:val="28"/>
          <w:szCs w:val="28"/>
        </w:rPr>
        <w:t>ral</w:t>
      </w:r>
      <w:r w:rsidR="00772ADE">
        <w:rPr>
          <w:kern w:val="2"/>
          <w:sz w:val="28"/>
          <w:szCs w:val="28"/>
        </w:rPr>
        <w:t xml:space="preserve">, legal assistance, or legal aid agency” to “the prosecutor must advise the victim of the right to seek independent legal counsel and provide contact information to the appropriate state or local bar association for referral to a lawyer.”  While the MCAO appreciates the need to refer victims to independent counsel, the options in the proposed rule are too limiting.  The MCAO recommends the following language, “the prosecutor must advise the victim of the right to seek independent legal counsel and provide contact information to an appropriate organization for referral to a lawyer which may include a state or local bar association or </w:t>
      </w:r>
      <w:r w:rsidR="00701FC9">
        <w:rPr>
          <w:kern w:val="2"/>
          <w:sz w:val="28"/>
          <w:szCs w:val="28"/>
        </w:rPr>
        <w:t>the Attorney General’s Victims’ Rights Program.”</w:t>
      </w:r>
    </w:p>
    <w:p w:rsidR="00701FC9" w:rsidRDefault="00701FC9"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u w:val="single"/>
        </w:rPr>
      </w:pPr>
      <w:r>
        <w:rPr>
          <w:b/>
          <w:kern w:val="2"/>
          <w:sz w:val="28"/>
          <w:szCs w:val="28"/>
          <w:u w:val="single"/>
        </w:rPr>
        <w:t>Conclusion</w:t>
      </w:r>
    </w:p>
    <w:p w:rsidR="00701FC9" w:rsidRPr="00701FC9" w:rsidRDefault="00701FC9"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MCAO </w:t>
      </w:r>
      <w:r w:rsidR="009739AF">
        <w:rPr>
          <w:kern w:val="2"/>
          <w:sz w:val="28"/>
          <w:szCs w:val="28"/>
        </w:rPr>
        <w:t xml:space="preserve">asks the Task Force, or this Court, to modify three portions of the petition.  First, Rule 11.4 needs to be modified to clarify the disclosure requirements for </w:t>
      </w:r>
      <w:r w:rsidR="001D1258">
        <w:rPr>
          <w:kern w:val="2"/>
          <w:sz w:val="28"/>
          <w:szCs w:val="28"/>
        </w:rPr>
        <w:t xml:space="preserve">appointed </w:t>
      </w:r>
      <w:r w:rsidR="009739AF">
        <w:rPr>
          <w:kern w:val="2"/>
          <w:sz w:val="28"/>
          <w:szCs w:val="28"/>
        </w:rPr>
        <w:t>expert</w:t>
      </w:r>
      <w:r w:rsidR="001D1258">
        <w:rPr>
          <w:kern w:val="2"/>
          <w:sz w:val="28"/>
          <w:szCs w:val="28"/>
        </w:rPr>
        <w:t>s’</w:t>
      </w:r>
      <w:r w:rsidR="009739AF">
        <w:rPr>
          <w:kern w:val="2"/>
          <w:sz w:val="28"/>
          <w:szCs w:val="28"/>
        </w:rPr>
        <w:t xml:space="preserve"> reports </w:t>
      </w:r>
      <w:r w:rsidR="001D1258">
        <w:rPr>
          <w:kern w:val="2"/>
          <w:sz w:val="28"/>
          <w:szCs w:val="28"/>
        </w:rPr>
        <w:t xml:space="preserve">under the </w:t>
      </w:r>
      <w:r w:rsidR="009739AF">
        <w:rPr>
          <w:kern w:val="2"/>
          <w:sz w:val="28"/>
          <w:szCs w:val="28"/>
        </w:rPr>
        <w:t xml:space="preserve">competency </w:t>
      </w:r>
      <w:r w:rsidR="001D1258">
        <w:rPr>
          <w:kern w:val="2"/>
          <w:sz w:val="28"/>
          <w:szCs w:val="28"/>
        </w:rPr>
        <w:t xml:space="preserve">rules and the requirements for all other types of mental health reports.  </w:t>
      </w:r>
      <w:r w:rsidR="009739AF">
        <w:rPr>
          <w:kern w:val="2"/>
          <w:sz w:val="28"/>
          <w:szCs w:val="28"/>
        </w:rPr>
        <w:t>Second, Rule 15.1(b)(2) should be modified for consistency with the other provision</w:t>
      </w:r>
      <w:r w:rsidR="001D1258">
        <w:rPr>
          <w:kern w:val="2"/>
          <w:sz w:val="28"/>
          <w:szCs w:val="28"/>
        </w:rPr>
        <w:t>s</w:t>
      </w:r>
      <w:r w:rsidR="00F31612">
        <w:rPr>
          <w:kern w:val="2"/>
          <w:sz w:val="28"/>
          <w:szCs w:val="28"/>
        </w:rPr>
        <w:t xml:space="preserve"> of that rule.  </w:t>
      </w:r>
      <w:r w:rsidR="009739AF">
        <w:rPr>
          <w:kern w:val="2"/>
          <w:sz w:val="28"/>
          <w:szCs w:val="28"/>
        </w:rPr>
        <w:t>Third, Rule 39(d)(3) should provide broader and more permissive guidance regarding legal referrals to victims.</w:t>
      </w:r>
    </w:p>
    <w:p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Respectfully submitted this ____day of</w:t>
      </w:r>
      <w:r w:rsidR="00C83859">
        <w:rPr>
          <w:kern w:val="2"/>
          <w:sz w:val="28"/>
          <w:szCs w:val="28"/>
        </w:rPr>
        <w:t xml:space="preserve"> </w:t>
      </w:r>
      <w:r w:rsidR="006B2B6B">
        <w:rPr>
          <w:kern w:val="2"/>
          <w:sz w:val="28"/>
          <w:szCs w:val="28"/>
        </w:rPr>
        <w:t>March</w:t>
      </w:r>
      <w:r w:rsidRPr="00240AD0">
        <w:rPr>
          <w:kern w:val="2"/>
          <w:sz w:val="28"/>
          <w:szCs w:val="28"/>
        </w:rPr>
        <w:t>, 20</w:t>
      </w:r>
      <w:r w:rsidR="00642713">
        <w:rPr>
          <w:kern w:val="2"/>
          <w:sz w:val="28"/>
          <w:szCs w:val="28"/>
        </w:rPr>
        <w:t>1</w:t>
      </w:r>
      <w:r w:rsidR="00AD4953">
        <w:rPr>
          <w:kern w:val="2"/>
          <w:sz w:val="28"/>
          <w:szCs w:val="28"/>
        </w:rPr>
        <w:t>7</w:t>
      </w:r>
      <w:r w:rsidRPr="00240AD0">
        <w:rPr>
          <w:kern w:val="2"/>
          <w:sz w:val="28"/>
          <w:szCs w:val="28"/>
        </w:rPr>
        <w:t>.</w:t>
      </w:r>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bookmarkStart w:id="0" w:name="_GoBack"/>
      <w:bookmarkEnd w:id="0"/>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p w:rsidR="00C90E25" w:rsidRDefault="00C90E2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C90E25">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2" w:rsidRDefault="00A42C92">
      <w:r>
        <w:separator/>
      </w:r>
    </w:p>
  </w:endnote>
  <w:endnote w:type="continuationSeparator" w:id="0">
    <w:p w:rsidR="00A42C92" w:rsidRDefault="00A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792A10">
      <w:rPr>
        <w:noProof/>
        <w:sz w:val="20"/>
      </w:rPr>
      <w:t>5</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2" w:rsidRDefault="00A42C92">
      <w:r>
        <w:separator/>
      </w:r>
    </w:p>
  </w:footnote>
  <w:footnote w:type="continuationSeparator" w:id="0">
    <w:p w:rsidR="00A42C92" w:rsidRDefault="00A4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2C30C143" wp14:editId="6572EE4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052CB3FA" wp14:editId="1F01338C">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0C233E68" wp14:editId="3F1DC644">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206EB"/>
    <w:rsid w:val="00033D41"/>
    <w:rsid w:val="000356B6"/>
    <w:rsid w:val="000540CA"/>
    <w:rsid w:val="00062AD9"/>
    <w:rsid w:val="00091266"/>
    <w:rsid w:val="000A5238"/>
    <w:rsid w:val="000A639F"/>
    <w:rsid w:val="000A6D9F"/>
    <w:rsid w:val="000C72BC"/>
    <w:rsid w:val="001462C8"/>
    <w:rsid w:val="00151ED9"/>
    <w:rsid w:val="00160A0A"/>
    <w:rsid w:val="00160A64"/>
    <w:rsid w:val="00172749"/>
    <w:rsid w:val="00174EC9"/>
    <w:rsid w:val="00186E0B"/>
    <w:rsid w:val="001A7B95"/>
    <w:rsid w:val="001C177E"/>
    <w:rsid w:val="001D1258"/>
    <w:rsid w:val="001D1A25"/>
    <w:rsid w:val="001F129E"/>
    <w:rsid w:val="00203EE0"/>
    <w:rsid w:val="002344A9"/>
    <w:rsid w:val="00240AD0"/>
    <w:rsid w:val="00241C3C"/>
    <w:rsid w:val="0024204B"/>
    <w:rsid w:val="00264DAB"/>
    <w:rsid w:val="00291F6B"/>
    <w:rsid w:val="00296C13"/>
    <w:rsid w:val="002A47F1"/>
    <w:rsid w:val="002B7D2E"/>
    <w:rsid w:val="002C701F"/>
    <w:rsid w:val="002C702F"/>
    <w:rsid w:val="002D0287"/>
    <w:rsid w:val="002D22F7"/>
    <w:rsid w:val="002D7FDC"/>
    <w:rsid w:val="002E3F85"/>
    <w:rsid w:val="002F2A78"/>
    <w:rsid w:val="002F3EB1"/>
    <w:rsid w:val="002F499A"/>
    <w:rsid w:val="00313306"/>
    <w:rsid w:val="003165C9"/>
    <w:rsid w:val="00317224"/>
    <w:rsid w:val="00330B95"/>
    <w:rsid w:val="003616F4"/>
    <w:rsid w:val="00375DCD"/>
    <w:rsid w:val="00375E59"/>
    <w:rsid w:val="00386A35"/>
    <w:rsid w:val="003968B9"/>
    <w:rsid w:val="003F5667"/>
    <w:rsid w:val="00407A8B"/>
    <w:rsid w:val="004363FF"/>
    <w:rsid w:val="00444AB3"/>
    <w:rsid w:val="00466C3A"/>
    <w:rsid w:val="00480D6D"/>
    <w:rsid w:val="004851FD"/>
    <w:rsid w:val="00494514"/>
    <w:rsid w:val="004A7039"/>
    <w:rsid w:val="004C3B70"/>
    <w:rsid w:val="004D370F"/>
    <w:rsid w:val="004D43EB"/>
    <w:rsid w:val="004F6F2A"/>
    <w:rsid w:val="0054761C"/>
    <w:rsid w:val="00572D5C"/>
    <w:rsid w:val="00583854"/>
    <w:rsid w:val="00585CC4"/>
    <w:rsid w:val="00593DB2"/>
    <w:rsid w:val="005D6233"/>
    <w:rsid w:val="005F3216"/>
    <w:rsid w:val="005F5F61"/>
    <w:rsid w:val="00601830"/>
    <w:rsid w:val="006027C0"/>
    <w:rsid w:val="00633330"/>
    <w:rsid w:val="00642713"/>
    <w:rsid w:val="0065463E"/>
    <w:rsid w:val="006619B2"/>
    <w:rsid w:val="006711C7"/>
    <w:rsid w:val="00675EAD"/>
    <w:rsid w:val="00680D2C"/>
    <w:rsid w:val="006B2B6B"/>
    <w:rsid w:val="006D3B9E"/>
    <w:rsid w:val="006F1A7C"/>
    <w:rsid w:val="00701FC9"/>
    <w:rsid w:val="00707B10"/>
    <w:rsid w:val="00714098"/>
    <w:rsid w:val="0076653F"/>
    <w:rsid w:val="00772ADE"/>
    <w:rsid w:val="0079128E"/>
    <w:rsid w:val="00792A10"/>
    <w:rsid w:val="007B2EB9"/>
    <w:rsid w:val="007D0F12"/>
    <w:rsid w:val="00804992"/>
    <w:rsid w:val="00831EC9"/>
    <w:rsid w:val="008455F6"/>
    <w:rsid w:val="00850C3E"/>
    <w:rsid w:val="00865E42"/>
    <w:rsid w:val="008858DA"/>
    <w:rsid w:val="00887359"/>
    <w:rsid w:val="008A5C26"/>
    <w:rsid w:val="008B718A"/>
    <w:rsid w:val="008C3D93"/>
    <w:rsid w:val="00947D99"/>
    <w:rsid w:val="00952701"/>
    <w:rsid w:val="0095722E"/>
    <w:rsid w:val="009739AF"/>
    <w:rsid w:val="00980F4C"/>
    <w:rsid w:val="009B388C"/>
    <w:rsid w:val="009C08F8"/>
    <w:rsid w:val="009C1082"/>
    <w:rsid w:val="009C477B"/>
    <w:rsid w:val="009F35FF"/>
    <w:rsid w:val="00A035EA"/>
    <w:rsid w:val="00A27296"/>
    <w:rsid w:val="00A30908"/>
    <w:rsid w:val="00A34E85"/>
    <w:rsid w:val="00A42C92"/>
    <w:rsid w:val="00A56857"/>
    <w:rsid w:val="00A652DE"/>
    <w:rsid w:val="00A73F88"/>
    <w:rsid w:val="00A745EF"/>
    <w:rsid w:val="00A97971"/>
    <w:rsid w:val="00AA12EA"/>
    <w:rsid w:val="00AD14AC"/>
    <w:rsid w:val="00AD4953"/>
    <w:rsid w:val="00AD6B2B"/>
    <w:rsid w:val="00AE4D6B"/>
    <w:rsid w:val="00AE6725"/>
    <w:rsid w:val="00AE75B3"/>
    <w:rsid w:val="00AF2CC8"/>
    <w:rsid w:val="00AF5C12"/>
    <w:rsid w:val="00B02B57"/>
    <w:rsid w:val="00B03DED"/>
    <w:rsid w:val="00B04EFF"/>
    <w:rsid w:val="00B13E25"/>
    <w:rsid w:val="00B3764E"/>
    <w:rsid w:val="00B464A5"/>
    <w:rsid w:val="00B532D8"/>
    <w:rsid w:val="00B604A9"/>
    <w:rsid w:val="00B75DC0"/>
    <w:rsid w:val="00BB04F9"/>
    <w:rsid w:val="00BD0F5D"/>
    <w:rsid w:val="00BD58C4"/>
    <w:rsid w:val="00BF23F8"/>
    <w:rsid w:val="00BF5583"/>
    <w:rsid w:val="00C001D7"/>
    <w:rsid w:val="00C03076"/>
    <w:rsid w:val="00C20E87"/>
    <w:rsid w:val="00C27007"/>
    <w:rsid w:val="00C35878"/>
    <w:rsid w:val="00C453DE"/>
    <w:rsid w:val="00C50E4C"/>
    <w:rsid w:val="00C74C5F"/>
    <w:rsid w:val="00C83859"/>
    <w:rsid w:val="00C90E25"/>
    <w:rsid w:val="00C966EF"/>
    <w:rsid w:val="00CA4AE7"/>
    <w:rsid w:val="00CD7181"/>
    <w:rsid w:val="00CF4C05"/>
    <w:rsid w:val="00D40318"/>
    <w:rsid w:val="00D52A27"/>
    <w:rsid w:val="00D54AE8"/>
    <w:rsid w:val="00DC1528"/>
    <w:rsid w:val="00DD5CED"/>
    <w:rsid w:val="00DE1278"/>
    <w:rsid w:val="00DE2CD3"/>
    <w:rsid w:val="00DF0BEB"/>
    <w:rsid w:val="00DF191F"/>
    <w:rsid w:val="00DF7741"/>
    <w:rsid w:val="00E00C47"/>
    <w:rsid w:val="00E13078"/>
    <w:rsid w:val="00E4653D"/>
    <w:rsid w:val="00E46850"/>
    <w:rsid w:val="00E52D1F"/>
    <w:rsid w:val="00E55016"/>
    <w:rsid w:val="00E6336F"/>
    <w:rsid w:val="00E70888"/>
    <w:rsid w:val="00E91B4A"/>
    <w:rsid w:val="00E9533D"/>
    <w:rsid w:val="00EB16EB"/>
    <w:rsid w:val="00ED53CE"/>
    <w:rsid w:val="00EE0233"/>
    <w:rsid w:val="00EE200A"/>
    <w:rsid w:val="00F13155"/>
    <w:rsid w:val="00F31612"/>
    <w:rsid w:val="00F34B7A"/>
    <w:rsid w:val="00F57CC2"/>
    <w:rsid w:val="00F60EA3"/>
    <w:rsid w:val="00F71B85"/>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customStyle="1" w:styleId="Default">
    <w:name w:val="Default"/>
    <w:rsid w:val="002E3F85"/>
    <w:pPr>
      <w:autoSpaceDE w:val="0"/>
      <w:autoSpaceDN w:val="0"/>
      <w:adjustRightInd w:val="0"/>
    </w:pPr>
    <w:rPr>
      <w:color w:val="000000"/>
      <w:sz w:val="24"/>
      <w:szCs w:val="24"/>
    </w:rPr>
  </w:style>
  <w:style w:type="paragraph" w:styleId="BalloonText">
    <w:name w:val="Balloon Text"/>
    <w:basedOn w:val="Normal"/>
    <w:link w:val="BalloonTextChar"/>
    <w:rsid w:val="00792A10"/>
    <w:rPr>
      <w:rFonts w:ascii="Tahoma" w:hAnsi="Tahoma" w:cs="Tahoma"/>
      <w:sz w:val="16"/>
      <w:szCs w:val="16"/>
    </w:rPr>
  </w:style>
  <w:style w:type="character" w:customStyle="1" w:styleId="BalloonTextChar">
    <w:name w:val="Balloon Text Char"/>
    <w:basedOn w:val="DefaultParagraphFont"/>
    <w:link w:val="BalloonText"/>
    <w:rsid w:val="00792A1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customStyle="1" w:styleId="Default">
    <w:name w:val="Default"/>
    <w:rsid w:val="002E3F85"/>
    <w:pPr>
      <w:autoSpaceDE w:val="0"/>
      <w:autoSpaceDN w:val="0"/>
      <w:adjustRightInd w:val="0"/>
    </w:pPr>
    <w:rPr>
      <w:color w:val="000000"/>
      <w:sz w:val="24"/>
      <w:szCs w:val="24"/>
    </w:rPr>
  </w:style>
  <w:style w:type="paragraph" w:styleId="BalloonText">
    <w:name w:val="Balloon Text"/>
    <w:basedOn w:val="Normal"/>
    <w:link w:val="BalloonTextChar"/>
    <w:rsid w:val="00792A10"/>
    <w:rPr>
      <w:rFonts w:ascii="Tahoma" w:hAnsi="Tahoma" w:cs="Tahoma"/>
      <w:sz w:val="16"/>
      <w:szCs w:val="16"/>
    </w:rPr>
  </w:style>
  <w:style w:type="character" w:customStyle="1" w:styleId="BalloonTextChar">
    <w:name w:val="Balloon Text Char"/>
    <w:basedOn w:val="DefaultParagraphFont"/>
    <w:link w:val="BalloonText"/>
    <w:rsid w:val="00792A1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786F-FDB1-4974-9AA6-1A026F7A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1127</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2017-03-14T21:12:00Z</cp:lastPrinted>
  <dcterms:created xsi:type="dcterms:W3CDTF">2017-03-14T21:12:00Z</dcterms:created>
  <dcterms:modified xsi:type="dcterms:W3CDTF">2017-03-14T21:41:00Z</dcterms:modified>
</cp:coreProperties>
</file>