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45" w:rsidRDefault="00CF137E">
      <w:pPr>
        <w:rPr>
          <w:u w:val="single"/>
        </w:rPr>
      </w:pPr>
      <w:r w:rsidRPr="00CF137E">
        <w:rPr>
          <w:b/>
          <w:noProof/>
          <w:sz w:val="17"/>
        </w:rPr>
        <mc:AlternateContent>
          <mc:Choice Requires="wps">
            <w:drawing>
              <wp:anchor distT="0" distB="0" distL="114300" distR="114300" simplePos="0" relativeHeight="251664384" behindDoc="0" locked="0" layoutInCell="1" allowOverlap="1" wp14:anchorId="1A6C7CA9" wp14:editId="4EF71052">
                <wp:simplePos x="0" y="0"/>
                <wp:positionH relativeFrom="column">
                  <wp:posOffset>3810635</wp:posOffset>
                </wp:positionH>
                <wp:positionV relativeFrom="paragraph">
                  <wp:posOffset>-193040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CF137E" w:rsidRDefault="00CF137E">
                            <w:r>
                              <w:t>Martin Lynch</w:t>
                            </w:r>
                          </w:p>
                          <w:p w:rsidR="00CF137E" w:rsidRDefault="00CF137E">
                            <w:r>
                              <w:t>1120 W Broadway Rd Apt 55</w:t>
                            </w:r>
                          </w:p>
                          <w:p w:rsidR="00CF137E" w:rsidRDefault="00CF137E">
                            <w:r>
                              <w:t>Tempe AZ 85282</w:t>
                            </w:r>
                          </w:p>
                          <w:p w:rsidR="00CF137E" w:rsidRDefault="00CF137E">
                            <w:r>
                              <w:t>602-550-6304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05pt;margin-top:-15.2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" filled="f" stroked="f">
                <v:textbox style="mso-fit-shape-to-text:t">
                  <w:txbxContent>
                    <w:p w:rsidR="00CF137E" w:rsidRDefault="00CF137E">
                      <w:r>
                        <w:t>Martin Lynch</w:t>
                      </w:r>
                    </w:p>
                    <w:p w:rsidR="00CF137E" w:rsidRDefault="00CF137E">
                      <w:r>
                        <w:t>1120 W Broadway Rd Apt 55</w:t>
                      </w:r>
                    </w:p>
                    <w:p w:rsidR="00CF137E" w:rsidRDefault="00CF137E">
                      <w:r>
                        <w:t>Tempe AZ 85282</w:t>
                      </w:r>
                    </w:p>
                    <w:p w:rsidR="00CF137E" w:rsidRDefault="00CF137E">
                      <w:r>
                        <w:t>602-550-6304</w:t>
                      </w:r>
                    </w:p>
                  </w:txbxContent>
                </v:textbox>
              </v:shape>
            </w:pict>
          </mc:Fallback>
        </mc:AlternateContent>
      </w:r>
      <w:r w:rsidR="00426180">
        <w:t xml:space="preserve">SC </w:t>
      </w:r>
      <w:r w:rsidR="00052DD7">
        <w:t>Rule 28 (G) Petition for Expedited Relief</w:t>
      </w:r>
      <w:r w:rsidR="00052DD7">
        <w:br/>
      </w:r>
      <w:r w:rsidR="00052DD7">
        <w:br/>
      </w:r>
      <w:r w:rsidR="00426180" w:rsidRPr="00CF137E">
        <w:rPr>
          <w:u w:val="single"/>
        </w:rPr>
        <w:t xml:space="preserve">SC </w:t>
      </w:r>
      <w:r w:rsidR="00052DD7" w:rsidRPr="00CF137E">
        <w:rPr>
          <w:u w:val="single"/>
        </w:rPr>
        <w:t>Rule 123 is UnConstitutional</w:t>
      </w:r>
      <w:r w:rsidR="00426180">
        <w:br/>
      </w:r>
      <w:r w:rsidR="00426180">
        <w:br/>
        <w:t>T</w:t>
      </w:r>
      <w:r w:rsidR="00052DD7">
        <w:t>he Civil Rights of 997,554 people of Pima County are now being denied per the Equal Protection clause of the 14</w:t>
      </w:r>
      <w:r w:rsidR="00052DD7" w:rsidRPr="00052DD7">
        <w:rPr>
          <w:vertAlign w:val="superscript"/>
        </w:rPr>
        <w:t>th</w:t>
      </w:r>
      <w:r w:rsidR="00052DD7">
        <w:t xml:space="preserve"> Amendment.  </w:t>
      </w:r>
      <w:r w:rsidR="00052DD7" w:rsidRPr="00052DD7">
        <w:rPr>
          <w:u w:val="single"/>
        </w:rPr>
        <w:t>Everyone must be granted equal access to justice.</w:t>
      </w:r>
    </w:p>
    <w:p w:rsidR="00052DD7" w:rsidRDefault="00052DD7">
      <w:pPr>
        <w:rPr>
          <w:u w:val="single"/>
        </w:rPr>
      </w:pPr>
    </w:p>
    <w:p w:rsidR="00052DD7" w:rsidRDefault="00052DD7">
      <w:r>
        <w:t xml:space="preserve">Under Article 6 of the AZ Constitution </w:t>
      </w:r>
      <w:r w:rsidRPr="00D10631">
        <w:rPr>
          <w:u w:val="single"/>
        </w:rPr>
        <w:t xml:space="preserve">the Chief Justice has the authority to sign an </w:t>
      </w:r>
      <w:r w:rsidR="00426180" w:rsidRPr="00D10631">
        <w:rPr>
          <w:u w:val="single"/>
        </w:rPr>
        <w:t>A</w:t>
      </w:r>
      <w:r w:rsidRPr="00D10631">
        <w:rPr>
          <w:u w:val="single"/>
        </w:rPr>
        <w:t xml:space="preserve">dministrative </w:t>
      </w:r>
      <w:r w:rsidR="00426180" w:rsidRPr="00D10631">
        <w:rPr>
          <w:u w:val="single"/>
        </w:rPr>
        <w:t>O</w:t>
      </w:r>
      <w:r w:rsidRPr="00D10631">
        <w:rPr>
          <w:u w:val="single"/>
        </w:rPr>
        <w:t>rder to correct these violations today</w:t>
      </w:r>
      <w:r>
        <w:t xml:space="preserve">, and is compelled by the US Constitution to do so.  </w:t>
      </w:r>
      <w:r w:rsidR="00426180">
        <w:t xml:space="preserve">There exists no provision in AZ or US Constitution granting the Chief Justice discretion to wait a year to grant the people their </w:t>
      </w:r>
      <w:r w:rsidR="00426180" w:rsidRPr="00D10631">
        <w:rPr>
          <w:u w:val="single"/>
        </w:rPr>
        <w:t>Civil Rights which are guaranteed to them, today.</w:t>
      </w:r>
    </w:p>
    <w:p w:rsidR="0054524D" w:rsidRDefault="0054524D"/>
    <w:p w:rsidR="0054524D" w:rsidRPr="009879CA" w:rsidRDefault="0054524D" w:rsidP="009879CA">
      <w:pPr>
        <w:pStyle w:val="Heading1"/>
        <w:spacing w:before="94"/>
        <w:ind w:left="3001" w:right="2986" w:firstLine="0"/>
        <w:jc w:val="center"/>
      </w:pPr>
      <w:r>
        <w:rPr>
          <w:noProof/>
        </w:rPr>
        <mc:AlternateContent>
          <mc:Choice Requires="wpg">
            <w:drawing>
              <wp:anchor distT="0" distB="0" distL="114300" distR="114300" simplePos="0" relativeHeight="251662336" behindDoc="1" locked="0" layoutInCell="1" allowOverlap="1" wp14:anchorId="2CF8C491" wp14:editId="5E99C032">
                <wp:simplePos x="0" y="0"/>
                <wp:positionH relativeFrom="page">
                  <wp:posOffset>368300</wp:posOffset>
                </wp:positionH>
                <wp:positionV relativeFrom="paragraph">
                  <wp:posOffset>-53340</wp:posOffset>
                </wp:positionV>
                <wp:extent cx="7033260" cy="8111490"/>
                <wp:effectExtent l="6350" t="381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3260" cy="8111490"/>
                          <a:chOff x="580" y="-84"/>
                          <a:chExt cx="11076" cy="12774"/>
                        </a:xfrm>
                      </wpg:grpSpPr>
                      <wps:wsp>
                        <wps:cNvPr id="5" name="Line 6"/>
                        <wps:cNvCnPr/>
                        <wps:spPr bwMode="auto">
                          <a:xfrm>
                            <a:off x="592" y="-60"/>
                            <a:ext cx="11051" cy="0"/>
                          </a:xfrm>
                          <a:prstGeom prst="line">
                            <a:avLst/>
                          </a:prstGeom>
                          <a:noFill/>
                          <a:ln w="15075">
                            <a:solidFill>
                              <a:srgbClr val="DFDFDF"/>
                            </a:solidFill>
                            <a:prstDash val="solid"/>
                            <a:round/>
                            <a:headEnd/>
                            <a:tailEnd/>
                          </a:ln>
                          <a:extLst>
                            <a:ext uri="{909E8E84-426E-40DD-AFC4-6F175D3DCCD1}">
                              <a14:hiddenFill xmlns:a14="http://schemas.microsoft.com/office/drawing/2010/main">
                                <a:noFill/>
                              </a14:hiddenFill>
                            </a:ext>
                          </a:extLst>
                        </wps:spPr>
                        <wps:bodyPr/>
                      </wps:wsp>
                      <wps:wsp>
                        <wps:cNvPr id="6" name="Line 7"/>
                        <wps:cNvCnPr/>
                        <wps:spPr bwMode="auto">
                          <a:xfrm>
                            <a:off x="604" y="-72"/>
                            <a:ext cx="0" cy="12749"/>
                          </a:xfrm>
                          <a:prstGeom prst="line">
                            <a:avLst/>
                          </a:prstGeom>
                          <a:noFill/>
                          <a:ln w="15088">
                            <a:solidFill>
                              <a:srgbClr val="DFDFDF"/>
                            </a:solidFill>
                            <a:prstDash val="solid"/>
                            <a:round/>
                            <a:headEnd/>
                            <a:tailEnd/>
                          </a:ln>
                          <a:extLst>
                            <a:ext uri="{909E8E84-426E-40DD-AFC4-6F175D3DCCD1}">
                              <a14:hiddenFill xmlns:a14="http://schemas.microsoft.com/office/drawing/2010/main">
                                <a:noFill/>
                              </a14:hiddenFill>
                            </a:ext>
                          </a:extLst>
                        </wps:spPr>
                        <wps:bodyPr/>
                      </wps:wsp>
                      <wps:wsp>
                        <wps:cNvPr id="7" name="Line 8"/>
                        <wps:cNvCnPr/>
                        <wps:spPr bwMode="auto">
                          <a:xfrm>
                            <a:off x="11631" y="-72"/>
                            <a:ext cx="0" cy="12749"/>
                          </a:xfrm>
                          <a:prstGeom prst="line">
                            <a:avLst/>
                          </a:prstGeom>
                          <a:noFill/>
                          <a:ln w="15075">
                            <a:solidFill>
                              <a:srgbClr val="DFDFD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9pt;margin-top:-4.2pt;width:553.8pt;height:638.7pt;z-index:-251654144;mso-position-horizontal-relative:page" coordorigin="580,-84" coordsize="11076,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">
                <v:line id="Line 6" o:spid="_x0000_s1027" style="position:absolute;visibility:visible;mso-wrap-style:square" from="592,-60" to="116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SF9MIAAADaAAAADwAAAGRycy9kb3ducmV2LnhtbESPT4vCMBTE7wt+h/CEva2pu7gr1Sii&#10;CJ4U/54fzbONNi/dJtb67Y2wsMdhZn7DjKetLUVDtTeOFfR7CQjizGnDuYLDfvkxBOEDssbSMSl4&#10;kIfppPM2xlS7O2+p2YVcRAj7FBUUIVSplD4ryKLvuYo4emdXWwxR1rnUNd4j3JbyM0m+pUXDcaHA&#10;iuYFZdfdzSow5idr9qf143S8aP79um0ui+1ZqfduOxuBCNSG//Bfe6UVDOB1Jd4AO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SF9MIAAADaAAAADwAAAAAAAAAAAAAA&#10;AAChAgAAZHJzL2Rvd25yZXYueG1sUEsFBgAAAAAEAAQA+QAAAJADAAAAAA==&#10;" strokecolor="#dfdfdf" strokeweight=".41875mm"/>
                <v:line id="Line 7" o:spid="_x0000_s1028" style="position:absolute;visibility:visible;mso-wrap-style:square" from="604,-72" to="604,1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xTtcEAAADaAAAADwAAAGRycy9kb3ducmV2LnhtbESPQWvCQBSE7wX/w/IEb3XTHLREV7FC&#10;watR6vWZfU2WZt/G7KvG/vpuoeBxmJlvmOV68K26Uh9dYAMv0wwUcRWs49rA8fD+/AoqCrLFNjAZ&#10;uFOE9Wr0tMTChhvv6VpKrRKEY4EGGpGu0DpWDXmM09ARJ+8z9B4lyb7WtsdbgvtW51k20x4dp4UG&#10;O9o2VH2V397A+e0y35UutvlGoh3kdP/5yJ0xk/GwWYASGuQR/m/vrIEZ/F1JN0C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PFO1wQAAANoAAAAPAAAAAAAAAAAAAAAA&#10;AKECAABkcnMvZG93bnJldi54bWxQSwUGAAAAAAQABAD5AAAAjwMAAAAA&#10;" strokecolor="#dfdfdf" strokeweight=".41911mm"/>
                <v:line id="Line 8" o:spid="_x0000_s1029" style="position:absolute;visibility:visible;mso-wrap-style:square" from="11631,-72" to="11631,1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q+GMEAAADaAAAADwAAAGRycy9kb3ducmV2LnhtbESPQYvCMBSE74L/ITzBm6ausEo1irgI&#10;nnZRV8+P5tlGm5faxFr//UYQ9jjMzDfMfNnaUjRUe+NYwWiYgCDOnDacK/g9bAZTED4gaywdk4In&#10;eVguup05pto9eEfNPuQiQtinqKAIoUql9FlBFv3QVcTRO7vaYoiyzqWu8RHhtpQfSfIpLRqOCwVW&#10;tC4ou+7vVoExk6w5nL6fp+NF8218/7l87c5K9XvtagYiUBv+w+/2ViuYwOtKvA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ar4YwQAAANoAAAAPAAAAAAAAAAAAAAAA&#10;AKECAABkcnMvZG93bnJldi54bWxQSwUGAAAAAAQABAD5AAAAjwMAAAAA&#10;" strokecolor="#dfdfdf" strokeweight=".41875mm"/>
                <w10:wrap anchorx="page"/>
              </v:group>
            </w:pict>
          </mc:Fallback>
        </mc:AlternateContent>
      </w:r>
      <w:r>
        <w:rPr>
          <w:noProof/>
        </w:rPr>
        <mc:AlternateContent>
          <mc:Choice Requires="wps">
            <w:drawing>
              <wp:anchor distT="0" distB="0" distL="0" distR="0" simplePos="0" relativeHeight="251659264" behindDoc="0" locked="0" layoutInCell="1" allowOverlap="1" wp14:anchorId="4B6F2FFB" wp14:editId="039086A8">
                <wp:simplePos x="0" y="0"/>
                <wp:positionH relativeFrom="page">
                  <wp:posOffset>605790</wp:posOffset>
                </wp:positionH>
                <wp:positionV relativeFrom="paragraph">
                  <wp:posOffset>332105</wp:posOffset>
                </wp:positionV>
                <wp:extent cx="6558280" cy="437515"/>
                <wp:effectExtent l="5715" t="6350" r="8255" b="133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437515"/>
                        </a:xfrm>
                        <a:prstGeom prst="rect">
                          <a:avLst/>
                        </a:prstGeom>
                        <a:noFill/>
                        <a:ln w="7544">
                          <a:solidFill>
                            <a:srgbClr val="D7D7D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24D" w:rsidRDefault="0054524D" w:rsidP="0054524D">
                            <w:pPr>
                              <w:pStyle w:val="BodyText"/>
                              <w:spacing w:before="4"/>
                              <w:ind w:left="94"/>
                              <w:rPr>
                                <w:rFonts w:ascii="Georgia"/>
                              </w:rPr>
                            </w:pPr>
                            <w:r>
                              <w:rPr>
                                <w:rFonts w:ascii="Georgia"/>
                                <w:color w:val="1B1B1B"/>
                              </w:rPr>
                              <w:t>Arizona Revised Statutes Annotated</w:t>
                            </w:r>
                          </w:p>
                          <w:p w:rsidR="0054524D" w:rsidRDefault="0054524D" w:rsidP="0054524D">
                            <w:pPr>
                              <w:pStyle w:val="BodyText"/>
                              <w:spacing w:before="9"/>
                              <w:ind w:left="284"/>
                              <w:rPr>
                                <w:rFonts w:ascii="Georgia"/>
                              </w:rPr>
                            </w:pPr>
                            <w:r>
                              <w:rPr>
                                <w:rFonts w:ascii="Georgia"/>
                                <w:color w:val="1B1B1B"/>
                              </w:rPr>
                              <w:t>Rules of the Supreme Court of Arizona (Refs &amp; Annos)</w:t>
                            </w:r>
                          </w:p>
                          <w:p w:rsidR="0054524D" w:rsidRDefault="0054524D" w:rsidP="0054524D">
                            <w:pPr>
                              <w:pStyle w:val="BodyText"/>
                              <w:spacing w:before="9"/>
                              <w:ind w:left="474"/>
                              <w:rPr>
                                <w:rFonts w:ascii="Georgia"/>
                              </w:rPr>
                            </w:pPr>
                            <w:bookmarkStart w:id="0" w:name="_bookmark0"/>
                            <w:bookmarkEnd w:id="0"/>
                            <w:r>
                              <w:rPr>
                                <w:rFonts w:ascii="Georgia"/>
                                <w:color w:val="1B1B1B"/>
                              </w:rPr>
                              <w:t>XII. Miscellaneous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7pt;margin-top:26.15pt;width:516.4pt;height:34.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" filled="f" strokecolor="#d7d7d7" strokeweight=".20956mm">
                <v:textbox inset="0,0,0,0">
                  <w:txbxContent>
                    <w:p w:rsidR="0054524D" w:rsidRDefault="0054524D" w:rsidP="0054524D">
                      <w:pPr>
                        <w:pStyle w:val="BodyText"/>
                        <w:spacing w:before="4"/>
                        <w:ind w:left="94"/>
                        <w:rPr>
                          <w:rFonts w:ascii="Georgia"/>
                        </w:rPr>
                      </w:pPr>
                      <w:r>
                        <w:rPr>
                          <w:rFonts w:ascii="Georgia"/>
                          <w:color w:val="1B1B1B"/>
                        </w:rPr>
                        <w:t>Arizona Revised Statutes Annotated</w:t>
                      </w:r>
                    </w:p>
                    <w:p w:rsidR="0054524D" w:rsidRDefault="0054524D" w:rsidP="0054524D">
                      <w:pPr>
                        <w:pStyle w:val="BodyText"/>
                        <w:spacing w:before="9"/>
                        <w:ind w:left="284"/>
                        <w:rPr>
                          <w:rFonts w:ascii="Georgia"/>
                        </w:rPr>
                      </w:pPr>
                      <w:r>
                        <w:rPr>
                          <w:rFonts w:ascii="Georgia"/>
                          <w:color w:val="1B1B1B"/>
                        </w:rPr>
                        <w:t>Rules of the Supreme Court of Arizona (Refs &amp; Annos)</w:t>
                      </w:r>
                    </w:p>
                    <w:p w:rsidR="0054524D" w:rsidRDefault="0054524D" w:rsidP="0054524D">
                      <w:pPr>
                        <w:pStyle w:val="BodyText"/>
                        <w:spacing w:before="9"/>
                        <w:ind w:left="474"/>
                        <w:rPr>
                          <w:rFonts w:ascii="Georgia"/>
                        </w:rPr>
                      </w:pPr>
                      <w:bookmarkStart w:id="1" w:name="_bookmark0"/>
                      <w:bookmarkEnd w:id="1"/>
                      <w:r>
                        <w:rPr>
                          <w:rFonts w:ascii="Georgia"/>
                          <w:color w:val="1B1B1B"/>
                        </w:rPr>
                        <w:t>XII. Miscellaneous Provisions</w:t>
                      </w:r>
                    </w:p>
                  </w:txbxContent>
                </v:textbox>
                <w10:wrap type="topAndBottom" anchorx="page"/>
              </v:shape>
            </w:pict>
          </mc:Fallback>
        </mc:AlternateContent>
      </w:r>
      <w:bookmarkStart w:id="1" w:name="_GoBack"/>
      <w:bookmarkEnd w:id="1"/>
    </w:p>
    <w:p w:rsidR="0054524D" w:rsidRDefault="0054524D" w:rsidP="0054524D">
      <w:pPr>
        <w:pStyle w:val="BodyText"/>
        <w:spacing w:before="5"/>
        <w:rPr>
          <w:rFonts w:ascii="Georgia"/>
          <w:sz w:val="23"/>
        </w:rPr>
      </w:pPr>
    </w:p>
    <w:p w:rsidR="0054524D" w:rsidRDefault="0054524D" w:rsidP="005046E9">
      <w:pPr>
        <w:ind w:left="3001" w:right="2988"/>
        <w:jc w:val="center"/>
        <w:rPr>
          <w:rFonts w:ascii="Georgia"/>
        </w:rPr>
      </w:pPr>
      <w:r>
        <w:rPr>
          <w:rFonts w:ascii="Georgia"/>
          <w:color w:val="202020"/>
          <w:sz w:val="22"/>
        </w:rPr>
        <w:t>Rule 123. Access to the Judicial Records of the State of   Arizona</w:t>
      </w:r>
    </w:p>
    <w:p w:rsidR="0054524D" w:rsidRDefault="0054524D" w:rsidP="0054524D">
      <w:pPr>
        <w:pStyle w:val="BodyText"/>
        <w:spacing w:before="7"/>
        <w:rPr>
          <w:rFonts w:ascii="Georgia"/>
          <w:sz w:val="25"/>
        </w:rPr>
      </w:pPr>
    </w:p>
    <w:p w:rsidR="0054524D" w:rsidRDefault="0054524D" w:rsidP="0054524D">
      <w:pPr>
        <w:pStyle w:val="ListParagraph"/>
        <w:numPr>
          <w:ilvl w:val="0"/>
          <w:numId w:val="2"/>
        </w:numPr>
        <w:tabs>
          <w:tab w:val="left" w:pos="1233"/>
        </w:tabs>
        <w:spacing w:before="94" w:line="247" w:lineRule="auto"/>
        <w:ind w:right="947" w:firstLine="0"/>
        <w:rPr>
          <w:sz w:val="19"/>
        </w:rPr>
      </w:pPr>
      <w:r>
        <w:rPr>
          <w:b/>
          <w:color w:val="1B1B1B"/>
          <w:sz w:val="19"/>
        </w:rPr>
        <w:t xml:space="preserve">Authority and Scope of Rule. </w:t>
      </w:r>
      <w:r>
        <w:rPr>
          <w:color w:val="1B1B1B"/>
          <w:sz w:val="19"/>
        </w:rPr>
        <w:t xml:space="preserve">Pursuant to the administrative powers vested in the </w:t>
      </w:r>
      <w:proofErr w:type="gramStart"/>
      <w:r>
        <w:rPr>
          <w:color w:val="1B1B1B"/>
          <w:sz w:val="19"/>
        </w:rPr>
        <w:t>supreme cour</w:t>
      </w:r>
      <w:r w:rsidR="009879CA">
        <w:rPr>
          <w:color w:val="1B1B1B"/>
          <w:sz w:val="19"/>
        </w:rPr>
        <w:t>t</w:t>
      </w:r>
      <w:proofErr w:type="gramEnd"/>
      <w:r>
        <w:rPr>
          <w:color w:val="1B1B1B"/>
          <w:sz w:val="19"/>
        </w:rPr>
        <w:t xml:space="preserve"> by Article</w:t>
      </w:r>
      <w:r>
        <w:rPr>
          <w:color w:val="1B1B1B"/>
          <w:spacing w:val="-2"/>
          <w:sz w:val="19"/>
        </w:rPr>
        <w:t xml:space="preserve"> </w:t>
      </w:r>
      <w:r>
        <w:rPr>
          <w:color w:val="1B1B1B"/>
          <w:sz w:val="19"/>
        </w:rPr>
        <w:t>VI,</w:t>
      </w:r>
      <w:r>
        <w:rPr>
          <w:color w:val="1B1B1B"/>
          <w:spacing w:val="-1"/>
          <w:sz w:val="19"/>
        </w:rPr>
        <w:t xml:space="preserve"> </w:t>
      </w:r>
      <w:r>
        <w:rPr>
          <w:color w:val="1B1B1B"/>
          <w:sz w:val="19"/>
        </w:rPr>
        <w:t>Section</w:t>
      </w:r>
      <w:r>
        <w:rPr>
          <w:color w:val="1B1B1B"/>
          <w:w w:val="99"/>
          <w:sz w:val="19"/>
        </w:rPr>
        <w:t xml:space="preserve"> </w:t>
      </w:r>
      <w:r>
        <w:rPr>
          <w:color w:val="1B1B1B"/>
          <w:sz w:val="19"/>
        </w:rPr>
        <w:t>3, of the Arizona Constitution</w:t>
      </w:r>
      <w:r w:rsidR="009879CA">
        <w:rPr>
          <w:color w:val="1B1B1B"/>
          <w:sz w:val="19"/>
        </w:rPr>
        <w:t>…….</w:t>
      </w:r>
    </w:p>
    <w:p w:rsidR="0054524D" w:rsidRDefault="0054524D" w:rsidP="0054524D">
      <w:pPr>
        <w:pStyle w:val="BodyText"/>
        <w:spacing w:before="6"/>
        <w:rPr>
          <w:sz w:val="16"/>
        </w:rPr>
      </w:pPr>
      <w:r>
        <w:rPr>
          <w:sz w:val="16"/>
        </w:rPr>
        <w:tab/>
        <w:t xml:space="preserve">     /</w:t>
      </w:r>
    </w:p>
    <w:p w:rsidR="009879CA" w:rsidRDefault="0054524D" w:rsidP="00CF137E">
      <w:pPr>
        <w:pStyle w:val="BodyText"/>
        <w:spacing w:before="1"/>
        <w:rPr>
          <w:b/>
          <w:sz w:val="17"/>
        </w:rPr>
      </w:pPr>
      <w:r>
        <w:rPr>
          <w:b/>
          <w:sz w:val="17"/>
        </w:rPr>
        <w:tab/>
        <w:t xml:space="preserve">     /</w:t>
      </w:r>
    </w:p>
    <w:p w:rsidR="0054524D" w:rsidRPr="00CF137E" w:rsidRDefault="009879CA" w:rsidP="00CF137E">
      <w:pPr>
        <w:pStyle w:val="BodyText"/>
        <w:spacing w:before="1"/>
        <w:rPr>
          <w:b/>
          <w:sz w:val="17"/>
        </w:rPr>
      </w:pPr>
      <w:r>
        <w:rPr>
          <w:b/>
          <w:sz w:val="17"/>
        </w:rPr>
        <w:tab/>
        <w:t xml:space="preserve">     /</w:t>
      </w:r>
      <w:r w:rsidR="0054524D">
        <w:rPr>
          <w:noProof/>
        </w:rPr>
        <mc:AlternateContent>
          <mc:Choice Requires="wps">
            <w:drawing>
              <wp:anchor distT="0" distB="0" distL="114300" distR="114300" simplePos="0" relativeHeight="251660288" behindDoc="0" locked="0" layoutInCell="1" allowOverlap="1" wp14:anchorId="2EAC802E" wp14:editId="2ABE2048">
                <wp:simplePos x="0" y="0"/>
                <wp:positionH relativeFrom="page">
                  <wp:posOffset>383540</wp:posOffset>
                </wp:positionH>
                <wp:positionV relativeFrom="page">
                  <wp:posOffset>330200</wp:posOffset>
                </wp:positionV>
                <wp:extent cx="0" cy="9271000"/>
                <wp:effectExtent l="12065" t="15875" r="1651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0"/>
                        </a:xfrm>
                        <a:prstGeom prst="line">
                          <a:avLst/>
                        </a:prstGeom>
                        <a:noFill/>
                        <a:ln w="15075">
                          <a:solidFill>
                            <a:srgbClr val="DFDF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pt,26pt" to="30.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" strokecolor="#dfdfdf" strokeweight=".41875mm">
                <w10:wrap anchorx="page" anchory="page"/>
              </v:line>
            </w:pict>
          </mc:Fallback>
        </mc:AlternateContent>
      </w:r>
      <w:r w:rsidR="0054524D">
        <w:rPr>
          <w:noProof/>
        </w:rPr>
        <mc:AlternateContent>
          <mc:Choice Requires="wps">
            <w:drawing>
              <wp:anchor distT="0" distB="0" distL="114300" distR="114300" simplePos="0" relativeHeight="251661312" behindDoc="0" locked="0" layoutInCell="1" allowOverlap="1" wp14:anchorId="5AE92D24" wp14:editId="3E75A6C1">
                <wp:simplePos x="0" y="0"/>
                <wp:positionH relativeFrom="page">
                  <wp:posOffset>7385685</wp:posOffset>
                </wp:positionH>
                <wp:positionV relativeFrom="page">
                  <wp:posOffset>330200</wp:posOffset>
                </wp:positionV>
                <wp:extent cx="0" cy="9271000"/>
                <wp:effectExtent l="13335" t="15875" r="1524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0"/>
                        </a:xfrm>
                        <a:prstGeom prst="line">
                          <a:avLst/>
                        </a:prstGeom>
                        <a:noFill/>
                        <a:ln w="15075">
                          <a:solidFill>
                            <a:srgbClr val="DFDF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55pt,26pt" to="581.5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" strokecolor="#dfdfdf" strokeweight=".41875mm">
                <w10:wrap anchorx="page" anchory="page"/>
              </v:line>
            </w:pict>
          </mc:Fallback>
        </mc:AlternateContent>
      </w:r>
    </w:p>
    <w:p w:rsidR="0054524D" w:rsidRPr="003B3710" w:rsidRDefault="0054524D" w:rsidP="0054524D">
      <w:pPr>
        <w:pStyle w:val="ListParagraph"/>
        <w:numPr>
          <w:ilvl w:val="0"/>
          <w:numId w:val="1"/>
        </w:numPr>
        <w:tabs>
          <w:tab w:val="left" w:pos="1233"/>
        </w:tabs>
        <w:spacing w:before="94"/>
        <w:rPr>
          <w:sz w:val="24"/>
          <w:szCs w:val="24"/>
        </w:rPr>
      </w:pPr>
      <w:r w:rsidRPr="003B3710">
        <w:rPr>
          <w:color w:val="1B1B1B"/>
          <w:sz w:val="24"/>
          <w:szCs w:val="24"/>
        </w:rPr>
        <w:t>A court may provide remote electronic access to case records as</w:t>
      </w:r>
      <w:r w:rsidRPr="003B3710">
        <w:rPr>
          <w:color w:val="1B1B1B"/>
          <w:spacing w:val="-1"/>
          <w:sz w:val="24"/>
          <w:szCs w:val="24"/>
        </w:rPr>
        <w:t xml:space="preserve"> </w:t>
      </w:r>
      <w:r w:rsidRPr="003B3710">
        <w:rPr>
          <w:color w:val="1B1B1B"/>
          <w:sz w:val="24"/>
          <w:szCs w:val="24"/>
        </w:rPr>
        <w:t>follows:</w:t>
      </w:r>
    </w:p>
    <w:p w:rsidR="0054524D" w:rsidRDefault="0054524D" w:rsidP="0054524D">
      <w:pPr>
        <w:pStyle w:val="BodyText"/>
        <w:spacing w:before="1"/>
        <w:rPr>
          <w:sz w:val="17"/>
        </w:rPr>
      </w:pPr>
    </w:p>
    <w:p w:rsidR="0054524D" w:rsidRPr="00052DD7" w:rsidRDefault="0054524D" w:rsidP="00CF137E">
      <w:pPr>
        <w:pStyle w:val="ListParagraph"/>
        <w:numPr>
          <w:ilvl w:val="1"/>
          <w:numId w:val="1"/>
        </w:numPr>
        <w:tabs>
          <w:tab w:val="left" w:pos="1444"/>
        </w:tabs>
        <w:spacing w:line="247" w:lineRule="auto"/>
        <w:ind w:right="999" w:firstLine="0"/>
      </w:pPr>
      <w:r w:rsidRPr="00CF137E">
        <w:rPr>
          <w:i/>
          <w:color w:val="1B1B1B"/>
          <w:sz w:val="24"/>
          <w:szCs w:val="24"/>
        </w:rPr>
        <w:t>Parties, Attorneys, and Arbitrators</w:t>
      </w:r>
      <w:r w:rsidRPr="00CF137E">
        <w:rPr>
          <w:color w:val="1B1B1B"/>
          <w:sz w:val="24"/>
          <w:szCs w:val="24"/>
        </w:rPr>
        <w:t xml:space="preserve">. Parties, attorneys, and arbitrators may be provided remote electronic access, upon registering, to case records that are not sealed in all case types in which the person is an attorney of record, arbitrator, or named party, including an individual, partnership, corporation, association, or public or private </w:t>
      </w:r>
      <w:r w:rsidRPr="00CF137E">
        <w:rPr>
          <w:color w:val="1B1B1B"/>
          <w:spacing w:val="-11"/>
          <w:sz w:val="24"/>
          <w:szCs w:val="24"/>
        </w:rPr>
        <w:t xml:space="preserve">organization. </w:t>
      </w:r>
      <w:r w:rsidRPr="00CF137E">
        <w:rPr>
          <w:color w:val="1B1B1B"/>
          <w:sz w:val="24"/>
          <w:szCs w:val="24"/>
        </w:rPr>
        <w:t>An attorney of record on the staff of a public or private law firm may extend access to any other attorney or person working for or on behalf of that public or private law firm, upon the other attorney's or person's</w:t>
      </w:r>
      <w:r w:rsidRPr="00CF137E">
        <w:rPr>
          <w:color w:val="1B1B1B"/>
          <w:spacing w:val="-2"/>
          <w:sz w:val="24"/>
          <w:szCs w:val="24"/>
        </w:rPr>
        <w:t xml:space="preserve"> </w:t>
      </w:r>
      <w:r w:rsidRPr="00CF137E">
        <w:rPr>
          <w:color w:val="1B1B1B"/>
          <w:sz w:val="24"/>
          <w:szCs w:val="24"/>
        </w:rPr>
        <w:t xml:space="preserve">registration.  </w:t>
      </w:r>
      <w:r w:rsidRPr="00CF137E">
        <w:rPr>
          <w:color w:val="000099"/>
          <w:sz w:val="24"/>
          <w:szCs w:val="24"/>
        </w:rPr>
        <w:t>THE EQUAL PROTECTION CLAUSE OF THE 14</w:t>
      </w:r>
      <w:r w:rsidRPr="00CF137E">
        <w:rPr>
          <w:color w:val="000099"/>
          <w:sz w:val="24"/>
          <w:szCs w:val="24"/>
          <w:vertAlign w:val="superscript"/>
        </w:rPr>
        <w:t>TH</w:t>
      </w:r>
      <w:r w:rsidRPr="00CF137E">
        <w:rPr>
          <w:color w:val="000099"/>
          <w:sz w:val="24"/>
          <w:szCs w:val="24"/>
        </w:rPr>
        <w:t xml:space="preserve"> AMENDMENT MUST BE OBSERVED.  EQUAL ACCESS TO JUSTICE SHALL BE GRANTED TO ALL.  NO ONE MAY BE GRANTED SPECIAL PRIV</w:t>
      </w:r>
      <w:r w:rsidR="00A3635A">
        <w:rPr>
          <w:color w:val="000099"/>
          <w:sz w:val="24"/>
          <w:szCs w:val="24"/>
        </w:rPr>
        <w:t>I</w:t>
      </w:r>
      <w:r w:rsidRPr="00CF137E">
        <w:rPr>
          <w:color w:val="000099"/>
          <w:sz w:val="24"/>
          <w:szCs w:val="24"/>
        </w:rPr>
        <w:t>LEGES NOT GRANTED TO EVERYONE.</w:t>
      </w:r>
    </w:p>
    <w:sectPr w:rsidR="0054524D" w:rsidRPr="00052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55E49"/>
    <w:multiLevelType w:val="hybridMultilevel"/>
    <w:tmpl w:val="A066EFD8"/>
    <w:lvl w:ilvl="0" w:tplc="B5B2FC0A">
      <w:start w:val="1"/>
      <w:numFmt w:val="decimal"/>
      <w:lvlText w:val="(%1)"/>
      <w:lvlJc w:val="left"/>
      <w:pPr>
        <w:ind w:left="1232" w:hanging="285"/>
        <w:jc w:val="left"/>
      </w:pPr>
      <w:rPr>
        <w:rFonts w:ascii="Arial" w:eastAsia="Arial" w:hAnsi="Arial" w:cs="Arial" w:hint="default"/>
        <w:color w:val="1B1B1B"/>
        <w:w w:val="99"/>
        <w:sz w:val="19"/>
        <w:szCs w:val="19"/>
      </w:rPr>
    </w:lvl>
    <w:lvl w:ilvl="1" w:tplc="9BCEDC08">
      <w:start w:val="1"/>
      <w:numFmt w:val="upperLetter"/>
      <w:lvlText w:val="(%2)"/>
      <w:lvlJc w:val="left"/>
      <w:pPr>
        <w:ind w:left="1137" w:hanging="306"/>
        <w:jc w:val="left"/>
      </w:pPr>
      <w:rPr>
        <w:rFonts w:ascii="Arial" w:eastAsia="Arial" w:hAnsi="Arial" w:cs="Arial" w:hint="default"/>
        <w:color w:val="1B1B1B"/>
        <w:spacing w:val="-11"/>
        <w:w w:val="99"/>
        <w:sz w:val="19"/>
        <w:szCs w:val="19"/>
      </w:rPr>
    </w:lvl>
    <w:lvl w:ilvl="2" w:tplc="CAE67FB8">
      <w:start w:val="1"/>
      <w:numFmt w:val="lowerRoman"/>
      <w:lvlText w:val="(%3)"/>
      <w:lvlJc w:val="left"/>
      <w:pPr>
        <w:ind w:left="1327" w:hanging="222"/>
        <w:jc w:val="left"/>
      </w:pPr>
      <w:rPr>
        <w:rFonts w:ascii="Arial" w:eastAsia="Arial" w:hAnsi="Arial" w:cs="Arial" w:hint="default"/>
        <w:color w:val="1B1B1B"/>
        <w:w w:val="99"/>
        <w:sz w:val="19"/>
        <w:szCs w:val="19"/>
      </w:rPr>
    </w:lvl>
    <w:lvl w:ilvl="3" w:tplc="34B09106">
      <w:start w:val="1"/>
      <w:numFmt w:val="lowerLetter"/>
      <w:lvlText w:val="(%4)"/>
      <w:lvlJc w:val="left"/>
      <w:pPr>
        <w:ind w:left="1517" w:hanging="285"/>
        <w:jc w:val="left"/>
      </w:pPr>
      <w:rPr>
        <w:rFonts w:ascii="Arial" w:eastAsia="Arial" w:hAnsi="Arial" w:cs="Arial" w:hint="default"/>
        <w:color w:val="1B1B1B"/>
        <w:w w:val="99"/>
        <w:sz w:val="19"/>
        <w:szCs w:val="19"/>
      </w:rPr>
    </w:lvl>
    <w:lvl w:ilvl="4" w:tplc="14569A6C">
      <w:numFmt w:val="bullet"/>
      <w:lvlText w:val="•"/>
      <w:lvlJc w:val="left"/>
      <w:pPr>
        <w:ind w:left="3048" w:hanging="285"/>
      </w:pPr>
      <w:rPr>
        <w:rFonts w:hint="default"/>
      </w:rPr>
    </w:lvl>
    <w:lvl w:ilvl="5" w:tplc="A244BB3A">
      <w:numFmt w:val="bullet"/>
      <w:lvlText w:val="•"/>
      <w:lvlJc w:val="left"/>
      <w:pPr>
        <w:ind w:left="4577" w:hanging="285"/>
      </w:pPr>
      <w:rPr>
        <w:rFonts w:hint="default"/>
      </w:rPr>
    </w:lvl>
    <w:lvl w:ilvl="6" w:tplc="20084A94">
      <w:numFmt w:val="bullet"/>
      <w:lvlText w:val="•"/>
      <w:lvlJc w:val="left"/>
      <w:pPr>
        <w:ind w:left="6105" w:hanging="285"/>
      </w:pPr>
      <w:rPr>
        <w:rFonts w:hint="default"/>
      </w:rPr>
    </w:lvl>
    <w:lvl w:ilvl="7" w:tplc="68A02298">
      <w:numFmt w:val="bullet"/>
      <w:lvlText w:val="•"/>
      <w:lvlJc w:val="left"/>
      <w:pPr>
        <w:ind w:left="7634" w:hanging="285"/>
      </w:pPr>
      <w:rPr>
        <w:rFonts w:hint="default"/>
      </w:rPr>
    </w:lvl>
    <w:lvl w:ilvl="8" w:tplc="70C22FA8">
      <w:numFmt w:val="bullet"/>
      <w:lvlText w:val="•"/>
      <w:lvlJc w:val="left"/>
      <w:pPr>
        <w:ind w:left="9162" w:hanging="285"/>
      </w:pPr>
      <w:rPr>
        <w:rFonts w:hint="default"/>
      </w:rPr>
    </w:lvl>
  </w:abstractNum>
  <w:abstractNum w:abstractNumId="1">
    <w:nsid w:val="5DE5664B"/>
    <w:multiLevelType w:val="hybridMultilevel"/>
    <w:tmpl w:val="4404C500"/>
    <w:lvl w:ilvl="0" w:tplc="366E7240">
      <w:start w:val="1"/>
      <w:numFmt w:val="lowerLetter"/>
      <w:lvlText w:val="(%1)"/>
      <w:lvlJc w:val="left"/>
      <w:pPr>
        <w:ind w:left="947" w:hanging="285"/>
        <w:jc w:val="left"/>
      </w:pPr>
      <w:rPr>
        <w:rFonts w:ascii="Arial" w:eastAsia="Arial" w:hAnsi="Arial" w:cs="Arial" w:hint="default"/>
        <w:b/>
        <w:bCs/>
        <w:color w:val="1B1B1B"/>
        <w:w w:val="99"/>
        <w:sz w:val="19"/>
        <w:szCs w:val="19"/>
      </w:rPr>
    </w:lvl>
    <w:lvl w:ilvl="1" w:tplc="86CA5912">
      <w:start w:val="1"/>
      <w:numFmt w:val="decimal"/>
      <w:lvlText w:val="(%2)"/>
      <w:lvlJc w:val="left"/>
      <w:pPr>
        <w:ind w:left="947" w:hanging="285"/>
        <w:jc w:val="left"/>
      </w:pPr>
      <w:rPr>
        <w:rFonts w:ascii="Arial" w:eastAsia="Arial" w:hAnsi="Arial" w:cs="Arial" w:hint="default"/>
        <w:color w:val="1B1B1B"/>
        <w:w w:val="99"/>
        <w:sz w:val="19"/>
        <w:szCs w:val="19"/>
      </w:rPr>
    </w:lvl>
    <w:lvl w:ilvl="2" w:tplc="8A1E3EF2">
      <w:numFmt w:val="bullet"/>
      <w:lvlText w:val="•"/>
      <w:lvlJc w:val="left"/>
      <w:pPr>
        <w:ind w:left="3196" w:hanging="285"/>
      </w:pPr>
      <w:rPr>
        <w:rFonts w:hint="default"/>
      </w:rPr>
    </w:lvl>
    <w:lvl w:ilvl="3" w:tplc="3074275A">
      <w:numFmt w:val="bullet"/>
      <w:lvlText w:val="•"/>
      <w:lvlJc w:val="left"/>
      <w:pPr>
        <w:ind w:left="4324" w:hanging="285"/>
      </w:pPr>
      <w:rPr>
        <w:rFonts w:hint="default"/>
      </w:rPr>
    </w:lvl>
    <w:lvl w:ilvl="4" w:tplc="0D223824">
      <w:numFmt w:val="bullet"/>
      <w:lvlText w:val="•"/>
      <w:lvlJc w:val="left"/>
      <w:pPr>
        <w:ind w:left="5452" w:hanging="285"/>
      </w:pPr>
      <w:rPr>
        <w:rFonts w:hint="default"/>
      </w:rPr>
    </w:lvl>
    <w:lvl w:ilvl="5" w:tplc="0D083F0A">
      <w:numFmt w:val="bullet"/>
      <w:lvlText w:val="•"/>
      <w:lvlJc w:val="left"/>
      <w:pPr>
        <w:ind w:left="6580" w:hanging="285"/>
      </w:pPr>
      <w:rPr>
        <w:rFonts w:hint="default"/>
      </w:rPr>
    </w:lvl>
    <w:lvl w:ilvl="6" w:tplc="E6B09BC2">
      <w:numFmt w:val="bullet"/>
      <w:lvlText w:val="•"/>
      <w:lvlJc w:val="left"/>
      <w:pPr>
        <w:ind w:left="7708" w:hanging="285"/>
      </w:pPr>
      <w:rPr>
        <w:rFonts w:hint="default"/>
      </w:rPr>
    </w:lvl>
    <w:lvl w:ilvl="7" w:tplc="E9261CD0">
      <w:numFmt w:val="bullet"/>
      <w:lvlText w:val="•"/>
      <w:lvlJc w:val="left"/>
      <w:pPr>
        <w:ind w:left="8836" w:hanging="285"/>
      </w:pPr>
      <w:rPr>
        <w:rFonts w:hint="default"/>
      </w:rPr>
    </w:lvl>
    <w:lvl w:ilvl="8" w:tplc="DB0617BE">
      <w:numFmt w:val="bullet"/>
      <w:lvlText w:val="•"/>
      <w:lvlJc w:val="left"/>
      <w:pPr>
        <w:ind w:left="9964" w:hanging="28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D7"/>
    <w:rsid w:val="00052DD7"/>
    <w:rsid w:val="004217B8"/>
    <w:rsid w:val="00426180"/>
    <w:rsid w:val="005046E9"/>
    <w:rsid w:val="0054524D"/>
    <w:rsid w:val="009879CA"/>
    <w:rsid w:val="00A3635A"/>
    <w:rsid w:val="00A50FA9"/>
    <w:rsid w:val="00AD1245"/>
    <w:rsid w:val="00CF137E"/>
    <w:rsid w:val="00D10631"/>
    <w:rsid w:val="00DA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4524D"/>
    <w:pPr>
      <w:widowControl w:val="0"/>
      <w:autoSpaceDE w:val="0"/>
      <w:autoSpaceDN w:val="0"/>
      <w:ind w:left="1243" w:hanging="296"/>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24D"/>
    <w:rPr>
      <w:rFonts w:ascii="Arial" w:eastAsia="Arial" w:hAnsi="Arial" w:cs="Arial"/>
      <w:b/>
      <w:bCs/>
      <w:sz w:val="19"/>
      <w:szCs w:val="19"/>
    </w:rPr>
  </w:style>
  <w:style w:type="paragraph" w:styleId="BodyText">
    <w:name w:val="Body Text"/>
    <w:basedOn w:val="Normal"/>
    <w:link w:val="BodyTextChar"/>
    <w:uiPriority w:val="1"/>
    <w:qFormat/>
    <w:rsid w:val="0054524D"/>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54524D"/>
    <w:rPr>
      <w:rFonts w:ascii="Arial" w:eastAsia="Arial" w:hAnsi="Arial" w:cs="Arial"/>
      <w:sz w:val="19"/>
      <w:szCs w:val="19"/>
    </w:rPr>
  </w:style>
  <w:style w:type="paragraph" w:styleId="ListParagraph">
    <w:name w:val="List Paragraph"/>
    <w:basedOn w:val="Normal"/>
    <w:uiPriority w:val="1"/>
    <w:qFormat/>
    <w:rsid w:val="0054524D"/>
    <w:pPr>
      <w:widowControl w:val="0"/>
      <w:autoSpaceDE w:val="0"/>
      <w:autoSpaceDN w:val="0"/>
      <w:ind w:left="947"/>
    </w:pPr>
    <w:rPr>
      <w:rFonts w:ascii="Arial" w:eastAsia="Arial" w:hAnsi="Arial" w:cs="Arial"/>
      <w:sz w:val="22"/>
    </w:rPr>
  </w:style>
  <w:style w:type="paragraph" w:styleId="BalloonText">
    <w:name w:val="Balloon Text"/>
    <w:basedOn w:val="Normal"/>
    <w:link w:val="BalloonTextChar"/>
    <w:uiPriority w:val="99"/>
    <w:semiHidden/>
    <w:unhideWhenUsed/>
    <w:rsid w:val="00CF137E"/>
    <w:rPr>
      <w:rFonts w:ascii="Tahoma" w:hAnsi="Tahoma" w:cs="Tahoma"/>
      <w:sz w:val="16"/>
      <w:szCs w:val="16"/>
    </w:rPr>
  </w:style>
  <w:style w:type="character" w:customStyle="1" w:styleId="BalloonTextChar">
    <w:name w:val="Balloon Text Char"/>
    <w:basedOn w:val="DefaultParagraphFont"/>
    <w:link w:val="BalloonText"/>
    <w:uiPriority w:val="99"/>
    <w:semiHidden/>
    <w:rsid w:val="00CF1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4524D"/>
    <w:pPr>
      <w:widowControl w:val="0"/>
      <w:autoSpaceDE w:val="0"/>
      <w:autoSpaceDN w:val="0"/>
      <w:ind w:left="1243" w:hanging="296"/>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24D"/>
    <w:rPr>
      <w:rFonts w:ascii="Arial" w:eastAsia="Arial" w:hAnsi="Arial" w:cs="Arial"/>
      <w:b/>
      <w:bCs/>
      <w:sz w:val="19"/>
      <w:szCs w:val="19"/>
    </w:rPr>
  </w:style>
  <w:style w:type="paragraph" w:styleId="BodyText">
    <w:name w:val="Body Text"/>
    <w:basedOn w:val="Normal"/>
    <w:link w:val="BodyTextChar"/>
    <w:uiPriority w:val="1"/>
    <w:qFormat/>
    <w:rsid w:val="0054524D"/>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54524D"/>
    <w:rPr>
      <w:rFonts w:ascii="Arial" w:eastAsia="Arial" w:hAnsi="Arial" w:cs="Arial"/>
      <w:sz w:val="19"/>
      <w:szCs w:val="19"/>
    </w:rPr>
  </w:style>
  <w:style w:type="paragraph" w:styleId="ListParagraph">
    <w:name w:val="List Paragraph"/>
    <w:basedOn w:val="Normal"/>
    <w:uiPriority w:val="1"/>
    <w:qFormat/>
    <w:rsid w:val="0054524D"/>
    <w:pPr>
      <w:widowControl w:val="0"/>
      <w:autoSpaceDE w:val="0"/>
      <w:autoSpaceDN w:val="0"/>
      <w:ind w:left="947"/>
    </w:pPr>
    <w:rPr>
      <w:rFonts w:ascii="Arial" w:eastAsia="Arial" w:hAnsi="Arial" w:cs="Arial"/>
      <w:sz w:val="22"/>
    </w:rPr>
  </w:style>
  <w:style w:type="paragraph" w:styleId="BalloonText">
    <w:name w:val="Balloon Text"/>
    <w:basedOn w:val="Normal"/>
    <w:link w:val="BalloonTextChar"/>
    <w:uiPriority w:val="99"/>
    <w:semiHidden/>
    <w:unhideWhenUsed/>
    <w:rsid w:val="00CF137E"/>
    <w:rPr>
      <w:rFonts w:ascii="Tahoma" w:hAnsi="Tahoma" w:cs="Tahoma"/>
      <w:sz w:val="16"/>
      <w:szCs w:val="16"/>
    </w:rPr>
  </w:style>
  <w:style w:type="character" w:customStyle="1" w:styleId="BalloonTextChar">
    <w:name w:val="Balloon Text Char"/>
    <w:basedOn w:val="DefaultParagraphFont"/>
    <w:link w:val="BalloonText"/>
    <w:uiPriority w:val="99"/>
    <w:semiHidden/>
    <w:rsid w:val="00CF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4</cp:revision>
  <dcterms:created xsi:type="dcterms:W3CDTF">2017-01-31T22:03:00Z</dcterms:created>
  <dcterms:modified xsi:type="dcterms:W3CDTF">2017-01-31T22:10:00Z</dcterms:modified>
</cp:coreProperties>
</file>