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CFA7A" w14:textId="77777777" w:rsidR="0011658E" w:rsidRPr="00ED3904" w:rsidRDefault="00ED3904" w:rsidP="00ED3904">
      <w:pPr>
        <w:pStyle w:val="StyleDBodyFLIndentLeft-013Firstline0"/>
        <w:spacing w:line="240" w:lineRule="auto"/>
        <w:ind w:left="0" w:firstLine="0"/>
        <w:rPr>
          <w:sz w:val="28"/>
          <w:szCs w:val="28"/>
        </w:rPr>
      </w:pPr>
      <w:bookmarkStart w:id="0" w:name="_GoBack"/>
      <w:bookmarkEnd w:id="0"/>
      <w:r>
        <w:rPr>
          <w:sz w:val="28"/>
          <w:szCs w:val="28"/>
        </w:rPr>
        <w:t>Gregory W. Falls</w:t>
      </w:r>
    </w:p>
    <w:p w14:paraId="267217C1" w14:textId="77777777" w:rsidR="0011658E" w:rsidRPr="00ED3904" w:rsidRDefault="0011658E" w:rsidP="00ED3904">
      <w:pPr>
        <w:pStyle w:val="StyleDBodyFLIndentLeft-013Firstline0"/>
        <w:spacing w:line="240" w:lineRule="auto"/>
        <w:ind w:left="0" w:firstLine="0"/>
        <w:rPr>
          <w:sz w:val="28"/>
          <w:szCs w:val="28"/>
        </w:rPr>
      </w:pPr>
      <w:r w:rsidRPr="00ED3904">
        <w:rPr>
          <w:sz w:val="28"/>
          <w:szCs w:val="28"/>
        </w:rPr>
        <w:t>Sherman &amp; Howard L.L.C.</w:t>
      </w:r>
    </w:p>
    <w:p w14:paraId="0205FD24" w14:textId="77777777" w:rsidR="00ED3904" w:rsidRDefault="0011658E" w:rsidP="00ED3904">
      <w:pPr>
        <w:pStyle w:val="StyleDBodyFLIndentLeft-013Firstline0"/>
        <w:spacing w:line="240" w:lineRule="auto"/>
        <w:ind w:left="0" w:firstLine="0"/>
        <w:rPr>
          <w:sz w:val="28"/>
          <w:szCs w:val="28"/>
        </w:rPr>
      </w:pPr>
      <w:bookmarkStart w:id="1" w:name="Address"/>
      <w:r w:rsidRPr="00ED3904">
        <w:rPr>
          <w:sz w:val="28"/>
          <w:szCs w:val="28"/>
        </w:rPr>
        <w:t>201 East Washington Street, Suite 800</w:t>
      </w:r>
    </w:p>
    <w:p w14:paraId="3ACD0022" w14:textId="77777777" w:rsidR="0011658E" w:rsidRPr="00ED3904" w:rsidRDefault="0011658E" w:rsidP="00ED3904">
      <w:pPr>
        <w:pStyle w:val="StyleDBodyFLIndentLeft-013Firstline0"/>
        <w:spacing w:line="240" w:lineRule="auto"/>
        <w:ind w:left="0" w:firstLine="0"/>
        <w:rPr>
          <w:sz w:val="28"/>
          <w:szCs w:val="28"/>
        </w:rPr>
      </w:pPr>
      <w:r w:rsidRPr="00ED3904">
        <w:rPr>
          <w:sz w:val="28"/>
          <w:szCs w:val="28"/>
        </w:rPr>
        <w:t>Phoenix, Arizona 85004-2327</w:t>
      </w:r>
      <w:bookmarkEnd w:id="1"/>
    </w:p>
    <w:p w14:paraId="658AD8B7" w14:textId="77777777" w:rsidR="00ED3904" w:rsidRDefault="0011658E" w:rsidP="00ED3904">
      <w:pPr>
        <w:pStyle w:val="StyleDBodyFLIndentLeft-013Firstline0"/>
        <w:spacing w:line="240" w:lineRule="auto"/>
        <w:ind w:left="0" w:firstLine="0"/>
        <w:rPr>
          <w:sz w:val="28"/>
          <w:szCs w:val="28"/>
        </w:rPr>
      </w:pPr>
      <w:bookmarkStart w:id="2" w:name="Phone"/>
      <w:r w:rsidRPr="00ED3904">
        <w:rPr>
          <w:sz w:val="28"/>
          <w:szCs w:val="28"/>
        </w:rPr>
        <w:t xml:space="preserve">Telephone: </w:t>
      </w:r>
      <w:r w:rsidR="00ED3904">
        <w:rPr>
          <w:sz w:val="28"/>
          <w:szCs w:val="28"/>
        </w:rPr>
        <w:t xml:space="preserve"> </w:t>
      </w:r>
      <w:r w:rsidRPr="00ED3904">
        <w:rPr>
          <w:sz w:val="28"/>
          <w:szCs w:val="28"/>
        </w:rPr>
        <w:t>(602) 240-3000</w:t>
      </w:r>
    </w:p>
    <w:p w14:paraId="1AA8D673" w14:textId="77777777" w:rsidR="0011658E" w:rsidRPr="00ED3904" w:rsidRDefault="0011658E" w:rsidP="00ED3904">
      <w:pPr>
        <w:pStyle w:val="StyleDBodyFLIndentLeft-013Firstline0"/>
        <w:spacing w:line="240" w:lineRule="auto"/>
        <w:ind w:left="0" w:firstLine="0"/>
        <w:rPr>
          <w:sz w:val="28"/>
          <w:szCs w:val="28"/>
        </w:rPr>
      </w:pPr>
      <w:r w:rsidRPr="00ED3904">
        <w:rPr>
          <w:sz w:val="28"/>
          <w:szCs w:val="28"/>
        </w:rPr>
        <w:t>Fax:</w:t>
      </w:r>
      <w:r w:rsidR="00ED3904">
        <w:rPr>
          <w:sz w:val="28"/>
          <w:szCs w:val="28"/>
        </w:rPr>
        <w:t xml:space="preserve"> </w:t>
      </w:r>
      <w:r w:rsidRPr="00ED3904">
        <w:rPr>
          <w:sz w:val="28"/>
          <w:szCs w:val="28"/>
        </w:rPr>
        <w:t xml:space="preserve"> (602) 240-6600</w:t>
      </w:r>
      <w:bookmarkEnd w:id="2"/>
    </w:p>
    <w:p w14:paraId="5A37B7D1" w14:textId="77777777" w:rsidR="0011658E" w:rsidRPr="00ED3904" w:rsidRDefault="00ED3904" w:rsidP="00ED3904">
      <w:pPr>
        <w:pStyle w:val="StyleDBodyFLIndentLeft-013Firstline0"/>
        <w:spacing w:line="240" w:lineRule="auto"/>
        <w:ind w:left="0" w:firstLine="0"/>
        <w:rPr>
          <w:sz w:val="28"/>
          <w:szCs w:val="28"/>
        </w:rPr>
      </w:pPr>
      <w:bookmarkStart w:id="3" w:name="Atty1"/>
      <w:r>
        <w:rPr>
          <w:sz w:val="28"/>
          <w:szCs w:val="28"/>
        </w:rPr>
        <w:t>Arizona Bar No. 011206</w:t>
      </w:r>
    </w:p>
    <w:p w14:paraId="2693B60D" w14:textId="77777777" w:rsidR="0011658E" w:rsidRPr="00ED3904" w:rsidRDefault="0011658E" w:rsidP="00ED3904">
      <w:pPr>
        <w:pStyle w:val="StyleDBodyFLIndentLeft-013Firstline0"/>
        <w:spacing w:line="240" w:lineRule="auto"/>
        <w:ind w:left="0" w:firstLine="0"/>
        <w:rPr>
          <w:sz w:val="28"/>
          <w:szCs w:val="28"/>
        </w:rPr>
      </w:pPr>
      <w:r w:rsidRPr="00ED3904">
        <w:rPr>
          <w:sz w:val="28"/>
          <w:szCs w:val="28"/>
        </w:rPr>
        <w:t>GFalls@ShermanHoward.com</w:t>
      </w:r>
    </w:p>
    <w:bookmarkEnd w:id="3"/>
    <w:p w14:paraId="0BBBE47F" w14:textId="77777777" w:rsidR="0011658E" w:rsidRPr="00ED3904" w:rsidRDefault="0011658E" w:rsidP="00ED3904">
      <w:pPr>
        <w:pStyle w:val="StyleDBodyFLIndentLeft-013Firstline0"/>
        <w:spacing w:before="40"/>
        <w:ind w:right="576" w:firstLine="720"/>
        <w:rPr>
          <w:sz w:val="28"/>
          <w:szCs w:val="28"/>
        </w:rPr>
      </w:pPr>
    </w:p>
    <w:p w14:paraId="42399276" w14:textId="77777777" w:rsidR="00277A39" w:rsidRPr="00F430EE" w:rsidRDefault="000067FF" w:rsidP="00ED3904">
      <w:pPr>
        <w:pStyle w:val="CourtTitle"/>
        <w:widowControl w:val="0"/>
        <w:spacing w:line="240" w:lineRule="auto"/>
        <w:rPr>
          <w:sz w:val="28"/>
          <w:szCs w:val="28"/>
        </w:rPr>
      </w:pPr>
      <w:bookmarkStart w:id="4" w:name="Court"/>
      <w:r w:rsidRPr="00F430EE">
        <w:rPr>
          <w:sz w:val="28"/>
          <w:szCs w:val="28"/>
        </w:rPr>
        <w:t>IN THE SUPREME COURT</w:t>
      </w:r>
    </w:p>
    <w:p w14:paraId="35B486CB" w14:textId="77777777" w:rsidR="000067FF" w:rsidRPr="00F430EE" w:rsidRDefault="000067FF" w:rsidP="00ED3904">
      <w:pPr>
        <w:pStyle w:val="CourtTitle"/>
        <w:widowControl w:val="0"/>
        <w:spacing w:line="240" w:lineRule="auto"/>
        <w:rPr>
          <w:sz w:val="28"/>
          <w:szCs w:val="28"/>
        </w:rPr>
      </w:pPr>
      <w:r w:rsidRPr="00F430EE">
        <w:rPr>
          <w:sz w:val="28"/>
          <w:szCs w:val="28"/>
        </w:rPr>
        <w:t>STATE OF ARIZONA</w:t>
      </w:r>
    </w:p>
    <w:p w14:paraId="69A3EFFD" w14:textId="77777777" w:rsidR="00277A39" w:rsidRPr="00F430EE" w:rsidRDefault="00277A39" w:rsidP="00277A39">
      <w:pPr>
        <w:pStyle w:val="CourtTitle"/>
        <w:spacing w:line="240" w:lineRule="auto"/>
        <w:rPr>
          <w:sz w:val="28"/>
          <w:szCs w:val="28"/>
        </w:rPr>
      </w:pPr>
    </w:p>
    <w:tbl>
      <w:tblPr>
        <w:tblW w:w="9450" w:type="dxa"/>
        <w:tblInd w:w="-65" w:type="dxa"/>
        <w:tblLayout w:type="fixed"/>
        <w:tblCellMar>
          <w:left w:w="115" w:type="dxa"/>
          <w:right w:w="115" w:type="dxa"/>
        </w:tblCellMar>
        <w:tblLook w:val="0000" w:firstRow="0" w:lastRow="0" w:firstColumn="0" w:lastColumn="0" w:noHBand="0" w:noVBand="0"/>
      </w:tblPr>
      <w:tblGrid>
        <w:gridCol w:w="4705"/>
        <w:gridCol w:w="4745"/>
      </w:tblGrid>
      <w:tr w:rsidR="0011658E" w:rsidRPr="00F430EE" w14:paraId="68CE4A9E" w14:textId="77777777" w:rsidTr="00495F13">
        <w:trPr>
          <w:trHeight w:val="1890"/>
        </w:trPr>
        <w:tc>
          <w:tcPr>
            <w:tcW w:w="4705" w:type="dxa"/>
            <w:tcBorders>
              <w:bottom w:val="single" w:sz="4" w:space="0" w:color="auto"/>
              <w:right w:val="single" w:sz="4" w:space="0" w:color="auto"/>
            </w:tcBorders>
          </w:tcPr>
          <w:p w14:paraId="513A995F" w14:textId="77777777" w:rsidR="0011658E" w:rsidRPr="00F430EE" w:rsidRDefault="0011658E" w:rsidP="00ED3904">
            <w:pPr>
              <w:spacing w:line="240" w:lineRule="auto"/>
              <w:rPr>
                <w:sz w:val="28"/>
                <w:szCs w:val="28"/>
              </w:rPr>
            </w:pPr>
            <w:bookmarkStart w:id="5" w:name="Caption1"/>
            <w:bookmarkEnd w:id="4"/>
            <w:r w:rsidRPr="00F430EE">
              <w:rPr>
                <w:sz w:val="28"/>
                <w:szCs w:val="28"/>
              </w:rPr>
              <w:t>In the Matter of</w:t>
            </w:r>
            <w:r w:rsidR="000067FF" w:rsidRPr="00F430EE">
              <w:rPr>
                <w:sz w:val="28"/>
                <w:szCs w:val="28"/>
              </w:rPr>
              <w:t>:</w:t>
            </w:r>
          </w:p>
          <w:p w14:paraId="501AB0E5" w14:textId="77777777" w:rsidR="0011658E" w:rsidRPr="00F430EE" w:rsidRDefault="0011658E" w:rsidP="00ED3904">
            <w:pPr>
              <w:spacing w:line="240" w:lineRule="auto"/>
              <w:rPr>
                <w:sz w:val="28"/>
                <w:szCs w:val="28"/>
              </w:rPr>
            </w:pPr>
          </w:p>
          <w:p w14:paraId="2B0123CC" w14:textId="77777777" w:rsidR="000067FF" w:rsidRPr="00F430EE" w:rsidRDefault="000067FF" w:rsidP="00ED3904">
            <w:pPr>
              <w:spacing w:line="240" w:lineRule="auto"/>
              <w:rPr>
                <w:sz w:val="28"/>
                <w:szCs w:val="28"/>
              </w:rPr>
            </w:pPr>
          </w:p>
          <w:bookmarkEnd w:id="5"/>
          <w:p w14:paraId="65C72472" w14:textId="41364BD3" w:rsidR="0011658E" w:rsidRPr="00F430EE" w:rsidRDefault="000067FF" w:rsidP="00ED3904">
            <w:pPr>
              <w:pStyle w:val="pldCapt"/>
              <w:spacing w:line="240" w:lineRule="auto"/>
              <w:ind w:left="0"/>
              <w:rPr>
                <w:sz w:val="28"/>
                <w:szCs w:val="28"/>
              </w:rPr>
            </w:pPr>
            <w:r w:rsidRPr="00F430EE">
              <w:rPr>
                <w:sz w:val="28"/>
                <w:szCs w:val="28"/>
              </w:rPr>
              <w:t>PETITION TO AMEND RULE</w:t>
            </w:r>
            <w:r w:rsidR="00D05523">
              <w:rPr>
                <w:sz w:val="28"/>
                <w:szCs w:val="28"/>
              </w:rPr>
              <w:t>S</w:t>
            </w:r>
            <w:r w:rsidRPr="00F430EE">
              <w:rPr>
                <w:sz w:val="28"/>
                <w:szCs w:val="28"/>
              </w:rPr>
              <w:t xml:space="preserve"> 32</w:t>
            </w:r>
            <w:r w:rsidR="00D05523">
              <w:rPr>
                <w:sz w:val="28"/>
                <w:szCs w:val="28"/>
              </w:rPr>
              <w:t>(c) and (d)</w:t>
            </w:r>
            <w:r w:rsidRPr="00F430EE">
              <w:rPr>
                <w:sz w:val="28"/>
                <w:szCs w:val="28"/>
              </w:rPr>
              <w:t xml:space="preserve">, </w:t>
            </w:r>
            <w:r w:rsidR="00ED3904" w:rsidRPr="00ED3904">
              <w:rPr>
                <w:caps/>
                <w:sz w:val="28"/>
                <w:szCs w:val="28"/>
              </w:rPr>
              <w:t>Rules of the Supreme Court</w:t>
            </w:r>
          </w:p>
        </w:tc>
        <w:tc>
          <w:tcPr>
            <w:tcW w:w="4745" w:type="dxa"/>
            <w:tcBorders>
              <w:left w:val="single" w:sz="4" w:space="0" w:color="auto"/>
            </w:tcBorders>
          </w:tcPr>
          <w:p w14:paraId="23CE135D" w14:textId="77777777" w:rsidR="0011658E" w:rsidRPr="00F430EE" w:rsidRDefault="0011658E" w:rsidP="00ED3904">
            <w:pPr>
              <w:spacing w:line="240" w:lineRule="auto"/>
              <w:ind w:left="158"/>
              <w:rPr>
                <w:sz w:val="28"/>
                <w:szCs w:val="28"/>
              </w:rPr>
            </w:pPr>
          </w:p>
          <w:p w14:paraId="33C9AA7B" w14:textId="77777777" w:rsidR="0011658E" w:rsidRPr="00F430EE" w:rsidRDefault="000067FF" w:rsidP="00ED3904">
            <w:pPr>
              <w:spacing w:line="240" w:lineRule="auto"/>
              <w:ind w:left="158"/>
              <w:rPr>
                <w:sz w:val="28"/>
                <w:szCs w:val="28"/>
                <w:u w:val="single"/>
              </w:rPr>
            </w:pPr>
            <w:r w:rsidRPr="00F430EE">
              <w:rPr>
                <w:sz w:val="28"/>
                <w:szCs w:val="28"/>
              </w:rPr>
              <w:t xml:space="preserve">Supreme Court No. R- </w:t>
            </w:r>
            <w:r w:rsidR="00ED3904" w:rsidRPr="00B12678">
              <w:rPr>
                <w:sz w:val="28"/>
                <w:szCs w:val="28"/>
              </w:rPr>
              <w:t>__</w:t>
            </w:r>
            <w:r w:rsidRPr="00F430EE">
              <w:rPr>
                <w:sz w:val="28"/>
                <w:szCs w:val="28"/>
              </w:rPr>
              <w:t>-</w:t>
            </w:r>
            <w:r w:rsidRPr="00F430EE">
              <w:rPr>
                <w:sz w:val="28"/>
                <w:szCs w:val="28"/>
                <w:u w:val="single"/>
              </w:rPr>
              <w:tab/>
            </w:r>
            <w:r w:rsidRPr="00F430EE">
              <w:rPr>
                <w:sz w:val="28"/>
                <w:szCs w:val="28"/>
                <w:u w:val="single"/>
              </w:rPr>
              <w:tab/>
            </w:r>
          </w:p>
          <w:p w14:paraId="5A9E0666" w14:textId="77777777" w:rsidR="000067FF" w:rsidRPr="00F430EE" w:rsidRDefault="000067FF" w:rsidP="00ED3904">
            <w:pPr>
              <w:spacing w:line="240" w:lineRule="auto"/>
              <w:ind w:left="158"/>
              <w:rPr>
                <w:sz w:val="28"/>
                <w:szCs w:val="28"/>
              </w:rPr>
            </w:pPr>
          </w:p>
          <w:p w14:paraId="7B686F76" w14:textId="77777777" w:rsidR="0011658E" w:rsidRPr="00F430EE" w:rsidRDefault="0011658E" w:rsidP="00ED3904">
            <w:pPr>
              <w:spacing w:line="240" w:lineRule="auto"/>
              <w:ind w:left="158"/>
              <w:rPr>
                <w:sz w:val="28"/>
                <w:szCs w:val="28"/>
              </w:rPr>
            </w:pPr>
          </w:p>
          <w:p w14:paraId="7088FE18" w14:textId="545EB431" w:rsidR="00D2530C" w:rsidRPr="00ED3904" w:rsidRDefault="003F5D6D" w:rsidP="00ED3904">
            <w:pPr>
              <w:spacing w:line="240" w:lineRule="auto"/>
              <w:ind w:left="158"/>
              <w:rPr>
                <w:b/>
                <w:sz w:val="28"/>
                <w:szCs w:val="28"/>
              </w:rPr>
            </w:pPr>
            <w:r w:rsidRPr="00ED3904">
              <w:rPr>
                <w:b/>
                <w:sz w:val="28"/>
                <w:szCs w:val="28"/>
              </w:rPr>
              <w:t xml:space="preserve">Petition to Amend </w:t>
            </w:r>
            <w:r w:rsidR="00ED3904" w:rsidRPr="00ED3904">
              <w:rPr>
                <w:b/>
                <w:sz w:val="28"/>
                <w:szCs w:val="28"/>
              </w:rPr>
              <w:t>Rule</w:t>
            </w:r>
            <w:r w:rsidR="00D05523">
              <w:rPr>
                <w:b/>
                <w:sz w:val="28"/>
                <w:szCs w:val="28"/>
              </w:rPr>
              <w:t>s</w:t>
            </w:r>
            <w:r w:rsidR="00ED3904" w:rsidRPr="00ED3904">
              <w:rPr>
                <w:b/>
                <w:sz w:val="28"/>
                <w:szCs w:val="28"/>
              </w:rPr>
              <w:t xml:space="preserve"> 32</w:t>
            </w:r>
            <w:r w:rsidR="00D05523">
              <w:rPr>
                <w:b/>
                <w:sz w:val="28"/>
                <w:szCs w:val="28"/>
              </w:rPr>
              <w:t>(c) and (d)</w:t>
            </w:r>
            <w:r w:rsidR="00ED3904" w:rsidRPr="00ED3904">
              <w:rPr>
                <w:b/>
                <w:sz w:val="28"/>
                <w:szCs w:val="28"/>
              </w:rPr>
              <w:t>, Rules of the Supreme Court</w:t>
            </w:r>
          </w:p>
          <w:p w14:paraId="5288E537" w14:textId="77777777" w:rsidR="0093285D" w:rsidRPr="00F430EE" w:rsidRDefault="0093285D" w:rsidP="00ED3904">
            <w:pPr>
              <w:spacing w:line="240" w:lineRule="auto"/>
              <w:ind w:left="155"/>
              <w:rPr>
                <w:sz w:val="28"/>
                <w:szCs w:val="28"/>
              </w:rPr>
            </w:pPr>
          </w:p>
        </w:tc>
      </w:tr>
    </w:tbl>
    <w:p w14:paraId="4D116EDB" w14:textId="77777777" w:rsidR="00867635" w:rsidRDefault="00867635" w:rsidP="00D91C83">
      <w:pPr>
        <w:pStyle w:val="StyleDBodyFLIndentLeft-013Firstline0"/>
        <w:spacing w:line="480" w:lineRule="auto"/>
        <w:ind w:left="0" w:right="576" w:firstLine="720"/>
        <w:jc w:val="left"/>
        <w:rPr>
          <w:sz w:val="28"/>
          <w:szCs w:val="28"/>
        </w:rPr>
      </w:pPr>
      <w:bookmarkStart w:id="6" w:name="Start"/>
      <w:bookmarkEnd w:id="6"/>
    </w:p>
    <w:p w14:paraId="30D6B122" w14:textId="65F014B7" w:rsidR="00FE175B" w:rsidRPr="00867635" w:rsidRDefault="00120DAC" w:rsidP="00D91C83">
      <w:pPr>
        <w:pStyle w:val="StyleDBodyFLIndentLeft-013Firstline0"/>
        <w:spacing w:line="480" w:lineRule="auto"/>
        <w:ind w:left="0" w:firstLine="720"/>
        <w:jc w:val="left"/>
        <w:rPr>
          <w:sz w:val="28"/>
          <w:szCs w:val="28"/>
        </w:rPr>
      </w:pPr>
      <w:r w:rsidRPr="00867635">
        <w:rPr>
          <w:sz w:val="28"/>
          <w:szCs w:val="28"/>
        </w:rPr>
        <w:t xml:space="preserve">Pursuant to Rule 28, Rules of the Supreme Court, Gregory W. Falls, </w:t>
      </w:r>
      <w:r w:rsidR="00B12678">
        <w:rPr>
          <w:sz w:val="28"/>
          <w:szCs w:val="28"/>
        </w:rPr>
        <w:t xml:space="preserve">individually and </w:t>
      </w:r>
      <w:r w:rsidR="00E54961">
        <w:rPr>
          <w:sz w:val="28"/>
          <w:szCs w:val="28"/>
        </w:rPr>
        <w:t xml:space="preserve">on behalf of the Goldwater Institute, </w:t>
      </w:r>
      <w:r w:rsidRPr="00867635">
        <w:rPr>
          <w:sz w:val="28"/>
          <w:szCs w:val="28"/>
        </w:rPr>
        <w:t xml:space="preserve">respectfully petitions this Court </w:t>
      </w:r>
      <w:r w:rsidR="00F430EE" w:rsidRPr="00867635">
        <w:rPr>
          <w:sz w:val="28"/>
          <w:szCs w:val="28"/>
        </w:rPr>
        <w:t>to adopt amendments to Rule</w:t>
      </w:r>
      <w:r w:rsidR="00D05523">
        <w:rPr>
          <w:sz w:val="28"/>
          <w:szCs w:val="28"/>
        </w:rPr>
        <w:t>s</w:t>
      </w:r>
      <w:r w:rsidR="00F430EE" w:rsidRPr="00867635">
        <w:rPr>
          <w:sz w:val="28"/>
          <w:szCs w:val="28"/>
        </w:rPr>
        <w:t xml:space="preserve"> 32</w:t>
      </w:r>
      <w:r w:rsidR="00D05523">
        <w:rPr>
          <w:sz w:val="28"/>
          <w:szCs w:val="28"/>
        </w:rPr>
        <w:t>(c) and (d)</w:t>
      </w:r>
      <w:r w:rsidR="00F430EE" w:rsidRPr="00867635">
        <w:rPr>
          <w:sz w:val="28"/>
          <w:szCs w:val="28"/>
        </w:rPr>
        <w:t xml:space="preserve">, </w:t>
      </w:r>
      <w:r w:rsidR="00ED3904" w:rsidRPr="00867635">
        <w:rPr>
          <w:sz w:val="28"/>
          <w:szCs w:val="28"/>
        </w:rPr>
        <w:t>Rules of the Supreme Court</w:t>
      </w:r>
      <w:r w:rsidR="00867635">
        <w:rPr>
          <w:sz w:val="28"/>
          <w:szCs w:val="28"/>
        </w:rPr>
        <w:t xml:space="preserve"> (“Rule 32”)</w:t>
      </w:r>
      <w:r w:rsidR="00ED3904" w:rsidRPr="00867635">
        <w:rPr>
          <w:sz w:val="28"/>
          <w:szCs w:val="28"/>
        </w:rPr>
        <w:t xml:space="preserve">, </w:t>
      </w:r>
      <w:r w:rsidR="00F430EE" w:rsidRPr="00867635">
        <w:rPr>
          <w:sz w:val="28"/>
          <w:szCs w:val="28"/>
        </w:rPr>
        <w:t xml:space="preserve">governing </w:t>
      </w:r>
      <w:r w:rsidR="00867635" w:rsidRPr="00867635">
        <w:rPr>
          <w:sz w:val="28"/>
          <w:szCs w:val="28"/>
        </w:rPr>
        <w:t xml:space="preserve">membership in the State Bar of Arizona (“State Bar” or </w:t>
      </w:r>
      <w:r w:rsidR="00867635">
        <w:rPr>
          <w:sz w:val="28"/>
          <w:szCs w:val="28"/>
        </w:rPr>
        <w:t>“</w:t>
      </w:r>
      <w:r w:rsidR="00867635" w:rsidRPr="00867635">
        <w:rPr>
          <w:sz w:val="28"/>
          <w:szCs w:val="28"/>
        </w:rPr>
        <w:t>Bar”)</w:t>
      </w:r>
      <w:r w:rsidR="00F430EE" w:rsidRPr="00867635">
        <w:rPr>
          <w:sz w:val="28"/>
          <w:szCs w:val="28"/>
        </w:rPr>
        <w:t xml:space="preserve">, as proposed </w:t>
      </w:r>
      <w:r w:rsidR="00867635">
        <w:rPr>
          <w:sz w:val="28"/>
          <w:szCs w:val="28"/>
        </w:rPr>
        <w:t>herein.  The intent of the proposed amendments is</w:t>
      </w:r>
      <w:r w:rsidR="002B29C3">
        <w:rPr>
          <w:sz w:val="28"/>
          <w:szCs w:val="28"/>
        </w:rPr>
        <w:t xml:space="preserve"> </w:t>
      </w:r>
      <w:r w:rsidR="00867635">
        <w:rPr>
          <w:sz w:val="28"/>
          <w:szCs w:val="28"/>
        </w:rPr>
        <w:t xml:space="preserve">to maintain the current mandatory membership requirement for all lawyers </w:t>
      </w:r>
      <w:r w:rsidR="002B29C3">
        <w:rPr>
          <w:sz w:val="28"/>
          <w:szCs w:val="28"/>
        </w:rPr>
        <w:t>but</w:t>
      </w:r>
      <w:r w:rsidR="00867635">
        <w:rPr>
          <w:sz w:val="28"/>
          <w:szCs w:val="28"/>
        </w:rPr>
        <w:t xml:space="preserve"> (</w:t>
      </w:r>
      <w:r w:rsidR="002B29C3">
        <w:rPr>
          <w:sz w:val="28"/>
          <w:szCs w:val="28"/>
        </w:rPr>
        <w:t>1</w:t>
      </w:r>
      <w:r w:rsidR="00867635">
        <w:rPr>
          <w:sz w:val="28"/>
          <w:szCs w:val="28"/>
        </w:rPr>
        <w:t xml:space="preserve">) eliminate mandatory membership </w:t>
      </w:r>
      <w:r w:rsidR="002B29C3">
        <w:rPr>
          <w:sz w:val="28"/>
          <w:szCs w:val="28"/>
        </w:rPr>
        <w:t xml:space="preserve">dues for non-regulatory functions </w:t>
      </w:r>
      <w:r w:rsidR="00867635">
        <w:rPr>
          <w:sz w:val="28"/>
          <w:szCs w:val="28"/>
        </w:rPr>
        <w:t>and</w:t>
      </w:r>
      <w:r w:rsidR="002B29C3">
        <w:rPr>
          <w:sz w:val="28"/>
          <w:szCs w:val="28"/>
        </w:rPr>
        <w:t xml:space="preserve"> (2)</w:t>
      </w:r>
      <w:r w:rsidR="00867635">
        <w:rPr>
          <w:sz w:val="28"/>
          <w:szCs w:val="28"/>
        </w:rPr>
        <w:t xml:space="preserve"> allow voluntary </w:t>
      </w:r>
      <w:r w:rsidR="002B29C3">
        <w:rPr>
          <w:sz w:val="28"/>
          <w:szCs w:val="28"/>
        </w:rPr>
        <w:t xml:space="preserve">contributions </w:t>
      </w:r>
      <w:r w:rsidR="00867635">
        <w:rPr>
          <w:sz w:val="28"/>
          <w:szCs w:val="28"/>
        </w:rPr>
        <w:t xml:space="preserve">for all </w:t>
      </w:r>
      <w:r w:rsidR="00D26005">
        <w:rPr>
          <w:sz w:val="28"/>
          <w:szCs w:val="28"/>
        </w:rPr>
        <w:t>non-regulatory functions</w:t>
      </w:r>
      <w:r w:rsidR="00867635">
        <w:rPr>
          <w:sz w:val="28"/>
          <w:szCs w:val="28"/>
        </w:rPr>
        <w:t>.  A redlined draft of amended</w:t>
      </w:r>
      <w:r w:rsidR="00624C5D">
        <w:rPr>
          <w:sz w:val="28"/>
          <w:szCs w:val="28"/>
        </w:rPr>
        <w:t xml:space="preserve"> Rule 32, as proposed herein, is </w:t>
      </w:r>
      <w:r w:rsidR="00A12ABA">
        <w:rPr>
          <w:sz w:val="28"/>
          <w:szCs w:val="28"/>
        </w:rPr>
        <w:t>included in the Appendix</w:t>
      </w:r>
      <w:r w:rsidR="00D05523">
        <w:rPr>
          <w:sz w:val="28"/>
          <w:szCs w:val="28"/>
        </w:rPr>
        <w:t xml:space="preserve"> of supporting documents</w:t>
      </w:r>
      <w:r w:rsidR="00A12ABA">
        <w:rPr>
          <w:sz w:val="28"/>
          <w:szCs w:val="28"/>
        </w:rPr>
        <w:t xml:space="preserve"> at </w:t>
      </w:r>
      <w:r w:rsidR="00A12ABA">
        <w:rPr>
          <w:sz w:val="28"/>
          <w:szCs w:val="28"/>
        </w:rPr>
        <w:lastRenderedPageBreak/>
        <w:t>pages 1-</w:t>
      </w:r>
      <w:r w:rsidR="00447847">
        <w:rPr>
          <w:sz w:val="28"/>
          <w:szCs w:val="28"/>
        </w:rPr>
        <w:t>2</w:t>
      </w:r>
      <w:r w:rsidR="00CC7CCF">
        <w:rPr>
          <w:sz w:val="28"/>
          <w:szCs w:val="28"/>
        </w:rPr>
        <w:t>1</w:t>
      </w:r>
      <w:r w:rsidR="00A12ABA">
        <w:rPr>
          <w:sz w:val="28"/>
          <w:szCs w:val="28"/>
        </w:rPr>
        <w:t xml:space="preserve">.  </w:t>
      </w:r>
      <w:r w:rsidR="00624C5D">
        <w:rPr>
          <w:sz w:val="28"/>
          <w:szCs w:val="28"/>
        </w:rPr>
        <w:t xml:space="preserve">A clean draft of amended Rule 32, as proposed herein, is </w:t>
      </w:r>
      <w:r w:rsidR="00A12ABA">
        <w:rPr>
          <w:sz w:val="28"/>
          <w:szCs w:val="28"/>
        </w:rPr>
        <w:t xml:space="preserve">included in the Appendix at pages </w:t>
      </w:r>
      <w:r w:rsidR="00447847">
        <w:rPr>
          <w:sz w:val="28"/>
          <w:szCs w:val="28"/>
        </w:rPr>
        <w:t>2</w:t>
      </w:r>
      <w:r w:rsidR="00CC7CCF">
        <w:rPr>
          <w:sz w:val="28"/>
          <w:szCs w:val="28"/>
        </w:rPr>
        <w:t>2</w:t>
      </w:r>
      <w:r w:rsidR="00A12ABA">
        <w:rPr>
          <w:sz w:val="28"/>
          <w:szCs w:val="28"/>
        </w:rPr>
        <w:t>-</w:t>
      </w:r>
      <w:r w:rsidR="00447847">
        <w:rPr>
          <w:sz w:val="28"/>
          <w:szCs w:val="28"/>
        </w:rPr>
        <w:t>4</w:t>
      </w:r>
      <w:r w:rsidR="00CC7CCF">
        <w:rPr>
          <w:sz w:val="28"/>
          <w:szCs w:val="28"/>
        </w:rPr>
        <w:t>2</w:t>
      </w:r>
      <w:r w:rsidR="00624C5D">
        <w:rPr>
          <w:sz w:val="28"/>
          <w:szCs w:val="28"/>
        </w:rPr>
        <w:t xml:space="preserve">.  </w:t>
      </w:r>
    </w:p>
    <w:p w14:paraId="37563C92" w14:textId="77777777" w:rsidR="00F430EE" w:rsidRPr="004A54C5" w:rsidRDefault="004A54C5" w:rsidP="00CD7591">
      <w:pPr>
        <w:pStyle w:val="StyleDBodyFLIndentLeft-013Firstline0"/>
        <w:numPr>
          <w:ilvl w:val="0"/>
          <w:numId w:val="22"/>
        </w:numPr>
        <w:spacing w:line="480" w:lineRule="auto"/>
        <w:ind w:left="0" w:firstLine="0"/>
        <w:jc w:val="left"/>
        <w:rPr>
          <w:b/>
          <w:sz w:val="28"/>
          <w:szCs w:val="28"/>
        </w:rPr>
      </w:pPr>
      <w:r w:rsidRPr="004A54C5">
        <w:rPr>
          <w:b/>
          <w:sz w:val="28"/>
          <w:szCs w:val="28"/>
        </w:rPr>
        <w:t>Background and Purpose of the Proposed Rule Amendments</w:t>
      </w:r>
      <w:r w:rsidR="00D91C83">
        <w:rPr>
          <w:b/>
          <w:sz w:val="28"/>
          <w:szCs w:val="28"/>
        </w:rPr>
        <w:t>.</w:t>
      </w:r>
    </w:p>
    <w:p w14:paraId="025E7101" w14:textId="77777777" w:rsidR="005137C1" w:rsidRPr="005137C1" w:rsidRDefault="005137C1" w:rsidP="00D91C83">
      <w:pPr>
        <w:pStyle w:val="StyleDBodyFLIndentLeft-013Firstline0"/>
        <w:spacing w:line="480" w:lineRule="auto"/>
        <w:ind w:left="0" w:firstLine="720"/>
        <w:jc w:val="left"/>
        <w:rPr>
          <w:sz w:val="28"/>
          <w:szCs w:val="28"/>
        </w:rPr>
      </w:pPr>
      <w:r w:rsidRPr="005137C1">
        <w:rPr>
          <w:sz w:val="28"/>
          <w:szCs w:val="28"/>
        </w:rPr>
        <w:t xml:space="preserve">This Petition seeks amendment of Rule 32 for the purpose of splitting the functions of the State Bar of Arizona into two </w:t>
      </w:r>
      <w:r>
        <w:rPr>
          <w:sz w:val="28"/>
          <w:szCs w:val="28"/>
        </w:rPr>
        <w:t xml:space="preserve">distinct </w:t>
      </w:r>
      <w:r w:rsidRPr="005137C1">
        <w:rPr>
          <w:sz w:val="28"/>
          <w:szCs w:val="28"/>
        </w:rPr>
        <w:t>subsets.  The first would be a mandatory membership organization (“Mandatory Bar”)</w:t>
      </w:r>
      <w:r>
        <w:rPr>
          <w:sz w:val="28"/>
          <w:szCs w:val="28"/>
        </w:rPr>
        <w:t xml:space="preserve">. </w:t>
      </w:r>
      <w:r w:rsidRPr="005137C1">
        <w:rPr>
          <w:sz w:val="28"/>
          <w:szCs w:val="28"/>
        </w:rPr>
        <w:t xml:space="preserve"> </w:t>
      </w:r>
      <w:r>
        <w:rPr>
          <w:sz w:val="28"/>
          <w:szCs w:val="28"/>
        </w:rPr>
        <w:t>T</w:t>
      </w:r>
      <w:r w:rsidRPr="005137C1">
        <w:rPr>
          <w:sz w:val="28"/>
          <w:szCs w:val="28"/>
        </w:rPr>
        <w:t xml:space="preserve">he second </w:t>
      </w:r>
      <w:r>
        <w:rPr>
          <w:sz w:val="28"/>
          <w:szCs w:val="28"/>
        </w:rPr>
        <w:t xml:space="preserve">would be </w:t>
      </w:r>
      <w:r w:rsidRPr="005137C1">
        <w:rPr>
          <w:sz w:val="28"/>
          <w:szCs w:val="28"/>
        </w:rPr>
        <w:t xml:space="preserve">a purely voluntary membership organization (“Voluntary Bar”).  The </w:t>
      </w:r>
      <w:r>
        <w:rPr>
          <w:sz w:val="28"/>
          <w:szCs w:val="28"/>
        </w:rPr>
        <w:t xml:space="preserve">proposed amendments in the text of </w:t>
      </w:r>
      <w:r w:rsidRPr="005137C1">
        <w:rPr>
          <w:sz w:val="28"/>
          <w:szCs w:val="28"/>
        </w:rPr>
        <w:t xml:space="preserve">Rule 32 are minor.  Petitioner acknowledges that the </w:t>
      </w:r>
      <w:r>
        <w:rPr>
          <w:sz w:val="28"/>
          <w:szCs w:val="28"/>
        </w:rPr>
        <w:t>resulting</w:t>
      </w:r>
      <w:r w:rsidRPr="005137C1">
        <w:rPr>
          <w:sz w:val="28"/>
          <w:szCs w:val="28"/>
        </w:rPr>
        <w:t xml:space="preserve"> changes in the State Bar</w:t>
      </w:r>
      <w:r>
        <w:rPr>
          <w:sz w:val="28"/>
          <w:szCs w:val="28"/>
        </w:rPr>
        <w:t>, however,</w:t>
      </w:r>
      <w:r w:rsidRPr="005137C1">
        <w:rPr>
          <w:sz w:val="28"/>
          <w:szCs w:val="28"/>
        </w:rPr>
        <w:t xml:space="preserve"> could be significant, depending on how the State Bar reacts to them.</w:t>
      </w:r>
    </w:p>
    <w:p w14:paraId="7C21DD2C" w14:textId="4199204E" w:rsidR="005137C1" w:rsidRPr="005137C1" w:rsidRDefault="005137C1" w:rsidP="00C632E5">
      <w:pPr>
        <w:pStyle w:val="StyleDBodyFLIndentLeft-013Firstline0"/>
        <w:numPr>
          <w:ilvl w:val="1"/>
          <w:numId w:val="22"/>
        </w:numPr>
        <w:spacing w:line="480" w:lineRule="auto"/>
        <w:ind w:left="720" w:firstLine="0"/>
        <w:jc w:val="left"/>
        <w:rPr>
          <w:b/>
          <w:sz w:val="28"/>
          <w:szCs w:val="28"/>
        </w:rPr>
      </w:pPr>
      <w:r w:rsidRPr="005137C1">
        <w:rPr>
          <w:b/>
          <w:sz w:val="28"/>
          <w:szCs w:val="28"/>
        </w:rPr>
        <w:t>Reasons for Change.</w:t>
      </w:r>
    </w:p>
    <w:p w14:paraId="3A2EC877" w14:textId="0F2FB3A1" w:rsidR="005137C1" w:rsidRPr="005137C1" w:rsidRDefault="005137C1" w:rsidP="00D91C83">
      <w:pPr>
        <w:pStyle w:val="StyleDBodyFLIndentLeft-013Firstline0"/>
        <w:spacing w:line="480" w:lineRule="auto"/>
        <w:ind w:left="0" w:firstLine="720"/>
        <w:jc w:val="left"/>
        <w:rPr>
          <w:sz w:val="28"/>
          <w:szCs w:val="28"/>
        </w:rPr>
      </w:pPr>
      <w:r w:rsidRPr="005137C1">
        <w:rPr>
          <w:sz w:val="28"/>
          <w:szCs w:val="28"/>
        </w:rPr>
        <w:t xml:space="preserve">Arizona is a “right to work state.”  Lawyers know this means individuals are free to organize </w:t>
      </w:r>
      <w:r>
        <w:rPr>
          <w:sz w:val="28"/>
          <w:szCs w:val="28"/>
        </w:rPr>
        <w:t xml:space="preserve">and become members in </w:t>
      </w:r>
      <w:r w:rsidRPr="005137C1">
        <w:rPr>
          <w:sz w:val="28"/>
          <w:szCs w:val="28"/>
        </w:rPr>
        <w:t>unions or associations for the purpose of further</w:t>
      </w:r>
      <w:r>
        <w:rPr>
          <w:sz w:val="28"/>
          <w:szCs w:val="28"/>
        </w:rPr>
        <w:t>ing their interests in the work</w:t>
      </w:r>
      <w:r w:rsidRPr="005137C1">
        <w:rPr>
          <w:sz w:val="28"/>
          <w:szCs w:val="28"/>
        </w:rPr>
        <w:t xml:space="preserve">place, whether </w:t>
      </w:r>
      <w:r w:rsidR="007A6E41">
        <w:rPr>
          <w:sz w:val="28"/>
          <w:szCs w:val="28"/>
        </w:rPr>
        <w:t>for the purpose of</w:t>
      </w:r>
      <w:r w:rsidRPr="005137C1">
        <w:rPr>
          <w:sz w:val="28"/>
          <w:szCs w:val="28"/>
        </w:rPr>
        <w:t xml:space="preserve"> collective bargaining with employers, lobbying for changes in the law, </w:t>
      </w:r>
      <w:r w:rsidR="007A6E41">
        <w:rPr>
          <w:sz w:val="28"/>
          <w:szCs w:val="28"/>
        </w:rPr>
        <w:t xml:space="preserve">associating with like-minded members, </w:t>
      </w:r>
      <w:r w:rsidRPr="005137C1">
        <w:rPr>
          <w:sz w:val="28"/>
          <w:szCs w:val="28"/>
        </w:rPr>
        <w:t xml:space="preserve">or otherwise advocating for </w:t>
      </w:r>
      <w:r w:rsidR="007A6E41">
        <w:rPr>
          <w:sz w:val="28"/>
          <w:szCs w:val="28"/>
        </w:rPr>
        <w:t>change where groups may have clout greater than individuals alone</w:t>
      </w:r>
      <w:r w:rsidRPr="005137C1">
        <w:rPr>
          <w:sz w:val="28"/>
          <w:szCs w:val="28"/>
        </w:rPr>
        <w:t xml:space="preserve">.  </w:t>
      </w:r>
      <w:r w:rsidR="003A3D19">
        <w:rPr>
          <w:sz w:val="28"/>
          <w:szCs w:val="28"/>
        </w:rPr>
        <w:t xml:space="preserve">Ariz. Const. </w:t>
      </w:r>
      <w:r w:rsidR="00D05523">
        <w:rPr>
          <w:sz w:val="28"/>
          <w:szCs w:val="28"/>
        </w:rPr>
        <w:t>ar</w:t>
      </w:r>
      <w:r w:rsidR="003A3D19">
        <w:rPr>
          <w:sz w:val="28"/>
          <w:szCs w:val="28"/>
        </w:rPr>
        <w:t xml:space="preserve">t. 25; A.R.S. §§ 23-1301 through 1307.  </w:t>
      </w:r>
      <w:r w:rsidRPr="005137C1">
        <w:rPr>
          <w:sz w:val="28"/>
          <w:szCs w:val="28"/>
        </w:rPr>
        <w:t xml:space="preserve">Arizona law also provides for the licensing of </w:t>
      </w:r>
      <w:r w:rsidR="007A6E41">
        <w:rPr>
          <w:sz w:val="28"/>
          <w:szCs w:val="28"/>
        </w:rPr>
        <w:t>a number of</w:t>
      </w:r>
      <w:r w:rsidRPr="005137C1">
        <w:rPr>
          <w:sz w:val="28"/>
          <w:szCs w:val="28"/>
        </w:rPr>
        <w:t xml:space="preserve"> professions and occupations.  </w:t>
      </w:r>
      <w:r w:rsidRPr="007A6E41">
        <w:rPr>
          <w:i/>
          <w:sz w:val="28"/>
          <w:szCs w:val="28"/>
        </w:rPr>
        <w:t>See e.g</w:t>
      </w:r>
      <w:r w:rsidRPr="005137C1">
        <w:rPr>
          <w:sz w:val="28"/>
          <w:szCs w:val="28"/>
        </w:rPr>
        <w:t xml:space="preserve">. A.R.S. </w:t>
      </w:r>
      <w:r w:rsidR="008D004A">
        <w:rPr>
          <w:sz w:val="28"/>
          <w:szCs w:val="28"/>
        </w:rPr>
        <w:t>§</w:t>
      </w:r>
      <w:r w:rsidRPr="005137C1">
        <w:rPr>
          <w:sz w:val="28"/>
          <w:szCs w:val="28"/>
        </w:rPr>
        <w:t>§ 32-</w:t>
      </w:r>
      <w:r w:rsidR="008D004A">
        <w:rPr>
          <w:sz w:val="28"/>
          <w:szCs w:val="28"/>
        </w:rPr>
        <w:t>101 through 4502.</w:t>
      </w:r>
    </w:p>
    <w:p w14:paraId="2FCD41CB" w14:textId="136B2D67" w:rsidR="005137C1" w:rsidRPr="005137C1" w:rsidRDefault="005137C1" w:rsidP="00D91C83">
      <w:pPr>
        <w:pStyle w:val="StyleDBodyFLIndentLeft-013Firstline0"/>
        <w:spacing w:line="480" w:lineRule="auto"/>
        <w:ind w:left="0" w:firstLine="720"/>
        <w:jc w:val="left"/>
        <w:rPr>
          <w:sz w:val="28"/>
          <w:szCs w:val="28"/>
        </w:rPr>
      </w:pPr>
      <w:r w:rsidRPr="005137C1">
        <w:rPr>
          <w:sz w:val="28"/>
          <w:szCs w:val="28"/>
        </w:rPr>
        <w:t xml:space="preserve">The “right to work” </w:t>
      </w:r>
      <w:r w:rsidR="007A6E41">
        <w:rPr>
          <w:sz w:val="28"/>
          <w:szCs w:val="28"/>
        </w:rPr>
        <w:t xml:space="preserve">concept </w:t>
      </w:r>
      <w:r w:rsidRPr="005137C1">
        <w:rPr>
          <w:sz w:val="28"/>
          <w:szCs w:val="28"/>
        </w:rPr>
        <w:t xml:space="preserve">does not implicate any of these freedoms or </w:t>
      </w:r>
      <w:r w:rsidRPr="005137C1">
        <w:rPr>
          <w:sz w:val="28"/>
          <w:szCs w:val="28"/>
        </w:rPr>
        <w:lastRenderedPageBreak/>
        <w:t xml:space="preserve">licensing requirements.  Rather, it means that no person may be </w:t>
      </w:r>
      <w:r w:rsidR="008D004A">
        <w:rPr>
          <w:sz w:val="28"/>
          <w:szCs w:val="28"/>
        </w:rPr>
        <w:t xml:space="preserve">“denied the opportunity to obtain or </w:t>
      </w:r>
      <w:r w:rsidR="008A4EE8">
        <w:rPr>
          <w:sz w:val="28"/>
          <w:szCs w:val="28"/>
        </w:rPr>
        <w:t>retain</w:t>
      </w:r>
      <w:r w:rsidR="008D004A">
        <w:rPr>
          <w:sz w:val="28"/>
          <w:szCs w:val="28"/>
        </w:rPr>
        <w:t xml:space="preserve"> employment because of no</w:t>
      </w:r>
      <w:r w:rsidR="008A4EE8">
        <w:rPr>
          <w:sz w:val="28"/>
          <w:szCs w:val="28"/>
        </w:rPr>
        <w:t>n</w:t>
      </w:r>
      <w:r w:rsidR="008D004A">
        <w:rPr>
          <w:sz w:val="28"/>
          <w:szCs w:val="28"/>
        </w:rPr>
        <w:t xml:space="preserve">membership </w:t>
      </w:r>
      <w:r w:rsidR="0053348E">
        <w:rPr>
          <w:sz w:val="28"/>
          <w:szCs w:val="28"/>
        </w:rPr>
        <w:t>in a labor organization . . . .”</w:t>
      </w:r>
      <w:r w:rsidRPr="005137C1">
        <w:rPr>
          <w:sz w:val="28"/>
          <w:szCs w:val="28"/>
        </w:rPr>
        <w:t xml:space="preserve">  A.R.S. §</w:t>
      </w:r>
      <w:r w:rsidR="0053348E">
        <w:rPr>
          <w:sz w:val="28"/>
          <w:szCs w:val="28"/>
        </w:rPr>
        <w:t xml:space="preserve">23-1302. </w:t>
      </w:r>
      <w:r w:rsidRPr="005137C1">
        <w:rPr>
          <w:sz w:val="28"/>
          <w:szCs w:val="28"/>
        </w:rPr>
        <w:t xml:space="preserve"> The</w:t>
      </w:r>
      <w:r w:rsidR="007A6E41">
        <w:rPr>
          <w:sz w:val="28"/>
          <w:szCs w:val="28"/>
        </w:rPr>
        <w:t>re is a burdensome</w:t>
      </w:r>
      <w:r w:rsidRPr="005137C1">
        <w:rPr>
          <w:sz w:val="28"/>
          <w:szCs w:val="28"/>
        </w:rPr>
        <w:t xml:space="preserve"> exception to this right </w:t>
      </w:r>
      <w:r w:rsidR="007A6E41">
        <w:rPr>
          <w:sz w:val="28"/>
          <w:szCs w:val="28"/>
        </w:rPr>
        <w:t>to work for which</w:t>
      </w:r>
      <w:r w:rsidRPr="005137C1">
        <w:rPr>
          <w:sz w:val="28"/>
          <w:szCs w:val="28"/>
        </w:rPr>
        <w:t xml:space="preserve"> this </w:t>
      </w:r>
      <w:r w:rsidR="007A6E41">
        <w:rPr>
          <w:sz w:val="28"/>
          <w:szCs w:val="28"/>
        </w:rPr>
        <w:t>P</w:t>
      </w:r>
      <w:r w:rsidRPr="005137C1">
        <w:rPr>
          <w:sz w:val="28"/>
          <w:szCs w:val="28"/>
        </w:rPr>
        <w:t xml:space="preserve">etition </w:t>
      </w:r>
      <w:r w:rsidR="007A6E41">
        <w:rPr>
          <w:sz w:val="28"/>
          <w:szCs w:val="28"/>
        </w:rPr>
        <w:t xml:space="preserve">is filed.  It </w:t>
      </w:r>
      <w:r w:rsidRPr="005137C1">
        <w:rPr>
          <w:sz w:val="28"/>
          <w:szCs w:val="28"/>
        </w:rPr>
        <w:t xml:space="preserve">involves the practice of law.  </w:t>
      </w:r>
      <w:r w:rsidR="007A6E41">
        <w:rPr>
          <w:sz w:val="28"/>
          <w:szCs w:val="28"/>
        </w:rPr>
        <w:t>Other than under</w:t>
      </w:r>
      <w:r w:rsidRPr="005137C1">
        <w:rPr>
          <w:sz w:val="28"/>
          <w:szCs w:val="28"/>
        </w:rPr>
        <w:t xml:space="preserve"> certain limited </w:t>
      </w:r>
      <w:r w:rsidR="007A6E41">
        <w:rPr>
          <w:sz w:val="28"/>
          <w:szCs w:val="28"/>
        </w:rPr>
        <w:t>circumstances</w:t>
      </w:r>
      <w:r w:rsidRPr="005137C1">
        <w:rPr>
          <w:sz w:val="28"/>
          <w:szCs w:val="28"/>
        </w:rPr>
        <w:t xml:space="preserve">, such as admission </w:t>
      </w:r>
      <w:r w:rsidRPr="007A6E41">
        <w:rPr>
          <w:i/>
          <w:sz w:val="28"/>
          <w:szCs w:val="28"/>
        </w:rPr>
        <w:t>pro hac vice</w:t>
      </w:r>
      <w:r w:rsidRPr="005137C1">
        <w:rPr>
          <w:sz w:val="28"/>
          <w:szCs w:val="28"/>
        </w:rPr>
        <w:t xml:space="preserve">, everyone seeking to engage in the practice of law in the State of Arizona must become a member of the union or association known as the State Bar.  </w:t>
      </w:r>
      <w:r w:rsidR="004B498D" w:rsidRPr="004B498D">
        <w:rPr>
          <w:i/>
          <w:sz w:val="28"/>
          <w:szCs w:val="28"/>
        </w:rPr>
        <w:t>See</w:t>
      </w:r>
      <w:r w:rsidR="004B498D">
        <w:rPr>
          <w:sz w:val="28"/>
          <w:szCs w:val="28"/>
        </w:rPr>
        <w:t xml:space="preserve"> </w:t>
      </w:r>
      <w:r w:rsidR="00EA2A6A">
        <w:rPr>
          <w:sz w:val="28"/>
          <w:szCs w:val="28"/>
        </w:rPr>
        <w:t>Rule 32(c)(3), Rules of the Supreme Court.</w:t>
      </w:r>
      <w:r w:rsidRPr="005137C1">
        <w:rPr>
          <w:sz w:val="28"/>
          <w:szCs w:val="28"/>
        </w:rPr>
        <w:t xml:space="preserve">  Membership is mandatory.</w:t>
      </w:r>
    </w:p>
    <w:p w14:paraId="3CE3C9D2" w14:textId="24FF7387" w:rsidR="004B498D" w:rsidRDefault="002B29C3" w:rsidP="00D91C83">
      <w:pPr>
        <w:pStyle w:val="StyleDBodyFLIndentLeft-013Firstline0"/>
        <w:spacing w:line="480" w:lineRule="auto"/>
        <w:ind w:left="0" w:firstLine="720"/>
        <w:jc w:val="left"/>
        <w:rPr>
          <w:sz w:val="28"/>
          <w:szCs w:val="28"/>
        </w:rPr>
      </w:pPr>
      <w:r>
        <w:rPr>
          <w:sz w:val="28"/>
          <w:szCs w:val="28"/>
        </w:rPr>
        <w:t>M</w:t>
      </w:r>
      <w:r w:rsidR="005137C1" w:rsidRPr="005137C1">
        <w:rPr>
          <w:sz w:val="28"/>
          <w:szCs w:val="28"/>
        </w:rPr>
        <w:t>andatory bar membership was a fad of the last century</w:t>
      </w:r>
      <w:r>
        <w:rPr>
          <w:sz w:val="28"/>
          <w:szCs w:val="28"/>
        </w:rPr>
        <w:t>,</w:t>
      </w:r>
      <w:r w:rsidRPr="002B29C3">
        <w:rPr>
          <w:sz w:val="28"/>
          <w:szCs w:val="28"/>
        </w:rPr>
        <w:t xml:space="preserve"> </w:t>
      </w:r>
      <w:r>
        <w:rPr>
          <w:sz w:val="28"/>
          <w:szCs w:val="28"/>
        </w:rPr>
        <w:t>b</w:t>
      </w:r>
      <w:r w:rsidRPr="005137C1">
        <w:rPr>
          <w:sz w:val="28"/>
          <w:szCs w:val="28"/>
        </w:rPr>
        <w:t>eginning in the 1920</w:t>
      </w:r>
      <w:r w:rsidR="00EA2A6A">
        <w:rPr>
          <w:sz w:val="28"/>
          <w:szCs w:val="28"/>
        </w:rPr>
        <w:t>’</w:t>
      </w:r>
      <w:r w:rsidRPr="005137C1">
        <w:rPr>
          <w:sz w:val="28"/>
          <w:szCs w:val="28"/>
        </w:rPr>
        <w:t>s with North Dakota</w:t>
      </w:r>
      <w:r w:rsidR="005137C1" w:rsidRPr="005137C1">
        <w:rPr>
          <w:sz w:val="28"/>
          <w:szCs w:val="28"/>
        </w:rPr>
        <w:t xml:space="preserve">.  </w:t>
      </w:r>
      <w:r w:rsidR="00EA2A6A">
        <w:rPr>
          <w:sz w:val="28"/>
          <w:szCs w:val="28"/>
        </w:rPr>
        <w:t>N.D. Ce</w:t>
      </w:r>
      <w:r w:rsidR="004B498D">
        <w:rPr>
          <w:sz w:val="28"/>
          <w:szCs w:val="28"/>
        </w:rPr>
        <w:t>n</w:t>
      </w:r>
      <w:r w:rsidR="00EA2A6A">
        <w:rPr>
          <w:sz w:val="28"/>
          <w:szCs w:val="28"/>
        </w:rPr>
        <w:t xml:space="preserve">t. Code §27-12-02 </w:t>
      </w:r>
      <w:r w:rsidR="00BB005B">
        <w:rPr>
          <w:sz w:val="28"/>
          <w:szCs w:val="28"/>
        </w:rPr>
        <w:t>(</w:t>
      </w:r>
      <w:r w:rsidR="00A33D74">
        <w:rPr>
          <w:sz w:val="28"/>
          <w:szCs w:val="28"/>
        </w:rPr>
        <w:t>originally enacted as</w:t>
      </w:r>
      <w:r w:rsidR="00EA2A6A">
        <w:rPr>
          <w:sz w:val="28"/>
          <w:szCs w:val="28"/>
        </w:rPr>
        <w:t xml:space="preserve"> 1921 N.D. Laws, Ch. 25, §1).</w:t>
      </w:r>
      <w:r w:rsidR="005137C1" w:rsidRPr="005137C1">
        <w:rPr>
          <w:sz w:val="28"/>
          <w:szCs w:val="28"/>
        </w:rPr>
        <w:t xml:space="preserve">  Arizona joined the fray </w:t>
      </w:r>
      <w:r w:rsidR="004B498D">
        <w:rPr>
          <w:sz w:val="28"/>
          <w:szCs w:val="28"/>
        </w:rPr>
        <w:t xml:space="preserve">under Legislative control </w:t>
      </w:r>
      <w:r w:rsidR="005137C1" w:rsidRPr="005137C1">
        <w:rPr>
          <w:sz w:val="28"/>
          <w:szCs w:val="28"/>
        </w:rPr>
        <w:t xml:space="preserve">in 1933, with the Supreme Court assuming </w:t>
      </w:r>
      <w:r w:rsidR="004B498D">
        <w:rPr>
          <w:sz w:val="28"/>
          <w:szCs w:val="28"/>
        </w:rPr>
        <w:t xml:space="preserve">joint </w:t>
      </w:r>
      <w:r w:rsidR="005137C1" w:rsidRPr="005137C1">
        <w:rPr>
          <w:sz w:val="28"/>
          <w:szCs w:val="28"/>
        </w:rPr>
        <w:t>control over the Bar in 1973</w:t>
      </w:r>
      <w:r w:rsidR="004B498D">
        <w:rPr>
          <w:sz w:val="28"/>
          <w:szCs w:val="28"/>
        </w:rPr>
        <w:t xml:space="preserve"> and sole control in 1985</w:t>
      </w:r>
      <w:r w:rsidR="005137C1" w:rsidRPr="005137C1">
        <w:rPr>
          <w:sz w:val="28"/>
          <w:szCs w:val="28"/>
        </w:rPr>
        <w:t xml:space="preserve">.  </w:t>
      </w:r>
      <w:r w:rsidR="00BB005B">
        <w:rPr>
          <w:sz w:val="28"/>
          <w:szCs w:val="28"/>
        </w:rPr>
        <w:t xml:space="preserve">History, State Bar of Arizona, </w:t>
      </w:r>
      <w:hyperlink r:id="rId9" w:history="1">
        <w:r w:rsidR="00BB005B" w:rsidRPr="00DA1049">
          <w:rPr>
            <w:rStyle w:val="Hyperlink"/>
            <w:sz w:val="28"/>
            <w:szCs w:val="28"/>
          </w:rPr>
          <w:t>www.azbar.org/aboutus/history</w:t>
        </w:r>
      </w:hyperlink>
      <w:r w:rsidR="00BB005B">
        <w:rPr>
          <w:sz w:val="28"/>
          <w:szCs w:val="28"/>
        </w:rPr>
        <w:t xml:space="preserve"> (last visited January 9, 2017</w:t>
      </w:r>
      <w:r w:rsidR="00A33D74">
        <w:rPr>
          <w:sz w:val="28"/>
          <w:szCs w:val="28"/>
        </w:rPr>
        <w:t>)</w:t>
      </w:r>
      <w:r w:rsidR="00BB005B">
        <w:rPr>
          <w:sz w:val="28"/>
          <w:szCs w:val="28"/>
        </w:rPr>
        <w:t>.</w:t>
      </w:r>
      <w:r w:rsidR="005137C1" w:rsidRPr="005137C1">
        <w:rPr>
          <w:sz w:val="28"/>
          <w:szCs w:val="28"/>
        </w:rPr>
        <w:t xml:space="preserve">  </w:t>
      </w:r>
    </w:p>
    <w:p w14:paraId="7061C3F0" w14:textId="721CCDC7" w:rsidR="005137C1" w:rsidRPr="005137C1" w:rsidRDefault="005137C1" w:rsidP="00D91C83">
      <w:pPr>
        <w:pStyle w:val="StyleDBodyFLIndentLeft-013Firstline0"/>
        <w:spacing w:line="480" w:lineRule="auto"/>
        <w:ind w:left="0" w:firstLine="720"/>
        <w:jc w:val="left"/>
        <w:rPr>
          <w:sz w:val="28"/>
          <w:szCs w:val="28"/>
        </w:rPr>
      </w:pPr>
      <w:r w:rsidRPr="005137C1">
        <w:rPr>
          <w:sz w:val="28"/>
          <w:szCs w:val="28"/>
        </w:rPr>
        <w:t>Not all states have mandatory bars</w:t>
      </w:r>
      <w:r w:rsidR="007A6E41">
        <w:rPr>
          <w:sz w:val="28"/>
          <w:szCs w:val="28"/>
        </w:rPr>
        <w:t xml:space="preserve">. </w:t>
      </w:r>
      <w:r w:rsidRPr="005137C1">
        <w:rPr>
          <w:sz w:val="28"/>
          <w:szCs w:val="28"/>
        </w:rPr>
        <w:t xml:space="preserve"> One recent count put the number of states mandating bar membership at thirty-two.  </w:t>
      </w:r>
      <w:r w:rsidR="007A6E41" w:rsidRPr="007A6E41">
        <w:rPr>
          <w:i/>
          <w:sz w:val="28"/>
          <w:szCs w:val="28"/>
        </w:rPr>
        <w:t>See</w:t>
      </w:r>
      <w:r w:rsidR="007A6E41">
        <w:rPr>
          <w:sz w:val="28"/>
          <w:szCs w:val="28"/>
        </w:rPr>
        <w:t xml:space="preserve"> </w:t>
      </w:r>
      <w:r w:rsidR="007A6E41" w:rsidRPr="00CA658A">
        <w:rPr>
          <w:i/>
          <w:iCs/>
          <w:sz w:val="28"/>
          <w:szCs w:val="28"/>
        </w:rPr>
        <w:t>In re Petition for a Rule Change to Create a Voluntary State Bar of Nebraska</w:t>
      </w:r>
      <w:r w:rsidR="004B498D">
        <w:rPr>
          <w:i/>
          <w:iCs/>
          <w:sz w:val="28"/>
          <w:szCs w:val="28"/>
        </w:rPr>
        <w:t xml:space="preserve"> </w:t>
      </w:r>
      <w:r w:rsidR="004B498D">
        <w:rPr>
          <w:sz w:val="28"/>
          <w:szCs w:val="28"/>
        </w:rPr>
        <w:t>(“</w:t>
      </w:r>
      <w:r w:rsidR="004B498D" w:rsidRPr="007A6E41">
        <w:rPr>
          <w:i/>
          <w:sz w:val="28"/>
          <w:szCs w:val="28"/>
        </w:rPr>
        <w:t>Voluntary State Bar of Nebraska</w:t>
      </w:r>
      <w:r w:rsidR="004B498D">
        <w:rPr>
          <w:sz w:val="28"/>
          <w:szCs w:val="28"/>
        </w:rPr>
        <w:t>”)</w:t>
      </w:r>
      <w:r w:rsidR="007A6E41" w:rsidRPr="00CA658A">
        <w:rPr>
          <w:sz w:val="28"/>
          <w:szCs w:val="28"/>
        </w:rPr>
        <w:t>, 286 Neb. 1018, 10</w:t>
      </w:r>
      <w:r w:rsidR="007A6E41">
        <w:rPr>
          <w:sz w:val="28"/>
          <w:szCs w:val="28"/>
        </w:rPr>
        <w:t>22</w:t>
      </w:r>
      <w:r w:rsidR="007A6E41" w:rsidRPr="00CA658A">
        <w:rPr>
          <w:sz w:val="28"/>
          <w:szCs w:val="28"/>
        </w:rPr>
        <w:t>, 841 N.W.2d 167, 1</w:t>
      </w:r>
      <w:r w:rsidR="00BB005B">
        <w:rPr>
          <w:sz w:val="28"/>
          <w:szCs w:val="28"/>
        </w:rPr>
        <w:t>71</w:t>
      </w:r>
      <w:r w:rsidR="007A6E41" w:rsidRPr="00CA658A">
        <w:rPr>
          <w:sz w:val="28"/>
          <w:szCs w:val="28"/>
        </w:rPr>
        <w:t xml:space="preserve"> (2013)</w:t>
      </w:r>
      <w:r w:rsidR="007A6E41">
        <w:rPr>
          <w:sz w:val="28"/>
          <w:szCs w:val="28"/>
        </w:rPr>
        <w:t xml:space="preserve">.  </w:t>
      </w:r>
      <w:r w:rsidRPr="005137C1">
        <w:rPr>
          <w:sz w:val="28"/>
          <w:szCs w:val="28"/>
        </w:rPr>
        <w:t xml:space="preserve">In other words, eighteen states have lawyers practicing law, representing the best interests of their clients, and otherwise engaging in the same activities as Arizona lawyers, all </w:t>
      </w:r>
      <w:r w:rsidRPr="005137C1">
        <w:rPr>
          <w:sz w:val="28"/>
          <w:szCs w:val="28"/>
        </w:rPr>
        <w:lastRenderedPageBreak/>
        <w:t xml:space="preserve">without being mandatory members of a state bar association </w:t>
      </w:r>
      <w:r w:rsidR="007A6E41">
        <w:rPr>
          <w:sz w:val="28"/>
          <w:szCs w:val="28"/>
        </w:rPr>
        <w:t xml:space="preserve">and without </w:t>
      </w:r>
      <w:r w:rsidRPr="005137C1">
        <w:rPr>
          <w:sz w:val="28"/>
          <w:szCs w:val="28"/>
        </w:rPr>
        <w:t xml:space="preserve">catastrophically damaging their states’ legal systems.  </w:t>
      </w:r>
    </w:p>
    <w:p w14:paraId="71A6BB0E" w14:textId="77777777" w:rsidR="00D91C83" w:rsidRDefault="007A6E41" w:rsidP="00D91C83">
      <w:pPr>
        <w:pStyle w:val="StyleDBodyFLIndentLeft-013Firstline0"/>
        <w:spacing w:line="480" w:lineRule="auto"/>
        <w:ind w:left="0" w:firstLine="720"/>
        <w:jc w:val="left"/>
        <w:rPr>
          <w:sz w:val="28"/>
          <w:szCs w:val="28"/>
        </w:rPr>
      </w:pPr>
      <w:r>
        <w:rPr>
          <w:sz w:val="28"/>
          <w:szCs w:val="28"/>
        </w:rPr>
        <w:t>Much l</w:t>
      </w:r>
      <w:r w:rsidR="005137C1" w:rsidRPr="005137C1">
        <w:rPr>
          <w:sz w:val="28"/>
          <w:szCs w:val="28"/>
        </w:rPr>
        <w:t xml:space="preserve">ike the rest of the population, lawyers are people.  We have diverse beliefs and interests.  We are members of all of the political parties, and many of us are members of no party.  We are conservatives, liberals, and libertarians, among other things.  Some of us believe in small government, others would prefer </w:t>
      </w:r>
      <w:r w:rsidR="00D91C83">
        <w:rPr>
          <w:sz w:val="28"/>
          <w:szCs w:val="28"/>
        </w:rPr>
        <w:t xml:space="preserve">that </w:t>
      </w:r>
      <w:r w:rsidR="005137C1" w:rsidRPr="005137C1">
        <w:rPr>
          <w:sz w:val="28"/>
          <w:szCs w:val="28"/>
        </w:rPr>
        <w:t xml:space="preserve">government take a larger role.  </w:t>
      </w:r>
      <w:r w:rsidR="00D91C83">
        <w:rPr>
          <w:sz w:val="28"/>
          <w:szCs w:val="28"/>
        </w:rPr>
        <w:t>We have very diverse</w:t>
      </w:r>
      <w:r w:rsidR="005137C1" w:rsidRPr="005137C1">
        <w:rPr>
          <w:sz w:val="28"/>
          <w:szCs w:val="28"/>
        </w:rPr>
        <w:t xml:space="preserve"> practices </w:t>
      </w:r>
      <w:r w:rsidR="00D91C83">
        <w:rPr>
          <w:sz w:val="28"/>
          <w:szCs w:val="28"/>
        </w:rPr>
        <w:t xml:space="preserve">that rapidly </w:t>
      </w:r>
      <w:r w:rsidR="005137C1" w:rsidRPr="005137C1">
        <w:rPr>
          <w:sz w:val="28"/>
          <w:szCs w:val="28"/>
        </w:rPr>
        <w:t xml:space="preserve">are changing with the times.  What some lawyers do </w:t>
      </w:r>
      <w:r w:rsidR="00D91C83">
        <w:rPr>
          <w:sz w:val="28"/>
          <w:szCs w:val="28"/>
        </w:rPr>
        <w:t>defined as</w:t>
      </w:r>
      <w:r w:rsidR="005137C1" w:rsidRPr="005137C1">
        <w:rPr>
          <w:sz w:val="28"/>
          <w:szCs w:val="28"/>
        </w:rPr>
        <w:t xml:space="preserve"> the practice of law looks nothing </w:t>
      </w:r>
      <w:r w:rsidR="00D91C83" w:rsidRPr="005137C1">
        <w:rPr>
          <w:sz w:val="28"/>
          <w:szCs w:val="28"/>
        </w:rPr>
        <w:t xml:space="preserve">like </w:t>
      </w:r>
      <w:r w:rsidR="00D91C83">
        <w:rPr>
          <w:sz w:val="28"/>
          <w:szCs w:val="28"/>
        </w:rPr>
        <w:t xml:space="preserve">the practice of law </w:t>
      </w:r>
      <w:r w:rsidR="005137C1" w:rsidRPr="005137C1">
        <w:rPr>
          <w:sz w:val="28"/>
          <w:szCs w:val="28"/>
        </w:rPr>
        <w:t xml:space="preserve">done by someone else.  The </w:t>
      </w:r>
      <w:r w:rsidR="00D91C83">
        <w:rPr>
          <w:sz w:val="28"/>
          <w:szCs w:val="28"/>
        </w:rPr>
        <w:t xml:space="preserve">fungible </w:t>
      </w:r>
      <w:r w:rsidR="005137C1" w:rsidRPr="005137C1">
        <w:rPr>
          <w:sz w:val="28"/>
          <w:szCs w:val="28"/>
        </w:rPr>
        <w:t xml:space="preserve">storefront lawyer found in </w:t>
      </w:r>
      <w:r w:rsidR="00D91C83">
        <w:rPr>
          <w:sz w:val="28"/>
          <w:szCs w:val="28"/>
        </w:rPr>
        <w:t xml:space="preserve">most </w:t>
      </w:r>
      <w:r w:rsidR="005137C1" w:rsidRPr="005137C1">
        <w:rPr>
          <w:sz w:val="28"/>
          <w:szCs w:val="28"/>
        </w:rPr>
        <w:t xml:space="preserve">every city and town a century ago is </w:t>
      </w:r>
      <w:r w:rsidR="00D91C83">
        <w:rPr>
          <w:sz w:val="28"/>
          <w:szCs w:val="28"/>
        </w:rPr>
        <w:t>largely a thing of the past</w:t>
      </w:r>
      <w:r w:rsidR="005137C1" w:rsidRPr="005137C1">
        <w:rPr>
          <w:sz w:val="28"/>
          <w:szCs w:val="28"/>
        </w:rPr>
        <w:t xml:space="preserve">.  </w:t>
      </w:r>
    </w:p>
    <w:p w14:paraId="24630571" w14:textId="36FB1901" w:rsidR="00867635" w:rsidRDefault="005137C1" w:rsidP="00D91C83">
      <w:pPr>
        <w:pStyle w:val="StyleDBodyFLIndentLeft-013Firstline0"/>
        <w:spacing w:line="480" w:lineRule="auto"/>
        <w:ind w:left="0" w:firstLine="720"/>
        <w:jc w:val="left"/>
        <w:rPr>
          <w:sz w:val="28"/>
          <w:szCs w:val="28"/>
        </w:rPr>
      </w:pPr>
      <w:r w:rsidRPr="005137C1">
        <w:rPr>
          <w:sz w:val="28"/>
          <w:szCs w:val="28"/>
        </w:rPr>
        <w:t xml:space="preserve">One mandatory organization </w:t>
      </w:r>
      <w:r w:rsidR="00D91C83">
        <w:rPr>
          <w:sz w:val="28"/>
          <w:szCs w:val="28"/>
        </w:rPr>
        <w:t xml:space="preserve">does not and </w:t>
      </w:r>
      <w:r w:rsidRPr="005137C1">
        <w:rPr>
          <w:sz w:val="28"/>
          <w:szCs w:val="28"/>
        </w:rPr>
        <w:t>cannot reasonably be expected to speak for all lawyers on all matters.  Petitioner contend</w:t>
      </w:r>
      <w:r w:rsidR="00926240">
        <w:rPr>
          <w:sz w:val="28"/>
          <w:szCs w:val="28"/>
        </w:rPr>
        <w:t>s</w:t>
      </w:r>
      <w:r w:rsidRPr="005137C1">
        <w:rPr>
          <w:sz w:val="28"/>
          <w:szCs w:val="28"/>
        </w:rPr>
        <w:t xml:space="preserve"> it is time for lawyer regulation to recognize this fact, change with the times, and move into the twenty-first century.</w:t>
      </w:r>
    </w:p>
    <w:p w14:paraId="05D4958C" w14:textId="77777777" w:rsidR="00D91C83" w:rsidRPr="00D91C83" w:rsidRDefault="00D91C83" w:rsidP="00C632E5">
      <w:pPr>
        <w:pStyle w:val="StyleDBodyFLIndentLeft-013Firstline0"/>
        <w:numPr>
          <w:ilvl w:val="1"/>
          <w:numId w:val="22"/>
        </w:numPr>
        <w:spacing w:line="480" w:lineRule="auto"/>
        <w:ind w:left="720" w:firstLine="0"/>
        <w:jc w:val="left"/>
        <w:rPr>
          <w:b/>
          <w:sz w:val="28"/>
          <w:szCs w:val="28"/>
        </w:rPr>
      </w:pPr>
      <w:r w:rsidRPr="00D91C83">
        <w:rPr>
          <w:b/>
          <w:sz w:val="28"/>
          <w:szCs w:val="28"/>
        </w:rPr>
        <w:t xml:space="preserve">General Description of </w:t>
      </w:r>
      <w:r>
        <w:rPr>
          <w:b/>
          <w:sz w:val="28"/>
          <w:szCs w:val="28"/>
        </w:rPr>
        <w:t xml:space="preserve">the </w:t>
      </w:r>
      <w:r w:rsidRPr="00D91C83">
        <w:rPr>
          <w:b/>
          <w:sz w:val="28"/>
          <w:szCs w:val="28"/>
        </w:rPr>
        <w:t xml:space="preserve">Proposed </w:t>
      </w:r>
      <w:r>
        <w:rPr>
          <w:b/>
          <w:sz w:val="28"/>
          <w:szCs w:val="28"/>
        </w:rPr>
        <w:t>Amendments</w:t>
      </w:r>
      <w:r w:rsidRPr="00D91C83">
        <w:rPr>
          <w:b/>
          <w:sz w:val="28"/>
          <w:szCs w:val="28"/>
        </w:rPr>
        <w:t>.</w:t>
      </w:r>
    </w:p>
    <w:p w14:paraId="5AF254B8" w14:textId="6B6346FC" w:rsidR="00107690" w:rsidRDefault="00D91C83" w:rsidP="00D91C83">
      <w:pPr>
        <w:pStyle w:val="StyleDBodyFLIndentLeft-013Firstline0"/>
        <w:spacing w:line="480" w:lineRule="auto"/>
        <w:ind w:left="0" w:firstLine="720"/>
        <w:jc w:val="left"/>
        <w:rPr>
          <w:sz w:val="28"/>
          <w:szCs w:val="28"/>
        </w:rPr>
      </w:pPr>
      <w:r w:rsidRPr="00D91C83">
        <w:rPr>
          <w:sz w:val="28"/>
          <w:szCs w:val="28"/>
        </w:rPr>
        <w:t xml:space="preserve">Currently, all Arizona lawyers must become members of the State Bar and pay an annual membership fee.  </w:t>
      </w:r>
      <w:r w:rsidR="00107690">
        <w:rPr>
          <w:sz w:val="28"/>
          <w:szCs w:val="28"/>
        </w:rPr>
        <w:t>Rule 32(c)(3), Rules of the Supreme Court.</w:t>
      </w:r>
      <w:r w:rsidRPr="00D91C83">
        <w:rPr>
          <w:sz w:val="28"/>
          <w:szCs w:val="28"/>
        </w:rPr>
        <w:t xml:space="preserve">  That fee varies based on the special category in which the member belongs:  </w:t>
      </w:r>
      <w:r w:rsidR="007F07E1">
        <w:rPr>
          <w:sz w:val="28"/>
          <w:szCs w:val="28"/>
        </w:rPr>
        <w:t xml:space="preserve">Active members - $505; Active members admitted fewer than three years - $345; Inactive </w:t>
      </w:r>
      <w:r w:rsidR="007F07E1">
        <w:rPr>
          <w:sz w:val="28"/>
          <w:szCs w:val="28"/>
        </w:rPr>
        <w:lastRenderedPageBreak/>
        <w:t>members - $265; Retired members - $215; Judicial members - $340; In-house counsel - $379; In-house counsel admitted fewer than three years - $259</w:t>
      </w:r>
      <w:r w:rsidR="00926240">
        <w:rPr>
          <w:sz w:val="28"/>
          <w:szCs w:val="28"/>
        </w:rPr>
        <w:t xml:space="preserve">. </w:t>
      </w:r>
      <w:r w:rsidR="007F07E1">
        <w:rPr>
          <w:sz w:val="28"/>
          <w:szCs w:val="28"/>
        </w:rPr>
        <w:t xml:space="preserve"> </w:t>
      </w:r>
      <w:r w:rsidR="007F07E1" w:rsidRPr="00A33D74">
        <w:rPr>
          <w:i/>
          <w:sz w:val="28"/>
          <w:szCs w:val="28"/>
        </w:rPr>
        <w:t>See</w:t>
      </w:r>
      <w:r w:rsidR="007F07E1">
        <w:rPr>
          <w:sz w:val="28"/>
          <w:szCs w:val="28"/>
        </w:rPr>
        <w:t xml:space="preserve"> </w:t>
      </w:r>
      <w:r w:rsidR="00926240">
        <w:rPr>
          <w:sz w:val="28"/>
          <w:szCs w:val="28"/>
        </w:rPr>
        <w:t xml:space="preserve">Supreme Court </w:t>
      </w:r>
      <w:r w:rsidR="007F07E1">
        <w:rPr>
          <w:sz w:val="28"/>
          <w:szCs w:val="28"/>
        </w:rPr>
        <w:t xml:space="preserve">Administrative Order No. 2016-52 at 2-3.  </w:t>
      </w:r>
      <w:r w:rsidR="00442090" w:rsidRPr="007F07E1">
        <w:rPr>
          <w:sz w:val="28"/>
          <w:szCs w:val="28"/>
        </w:rPr>
        <w:t>This</w:t>
      </w:r>
      <w:r w:rsidR="00442090">
        <w:rPr>
          <w:sz w:val="28"/>
          <w:szCs w:val="28"/>
        </w:rPr>
        <w:t xml:space="preserve"> o</w:t>
      </w:r>
      <w:r w:rsidRPr="00D91C83">
        <w:rPr>
          <w:sz w:val="28"/>
          <w:szCs w:val="28"/>
        </w:rPr>
        <w:t>ne membership, with the exception of voluntary section</w:t>
      </w:r>
      <w:r w:rsidR="00442090">
        <w:rPr>
          <w:sz w:val="28"/>
          <w:szCs w:val="28"/>
        </w:rPr>
        <w:t xml:space="preserve"> and certified specialist</w:t>
      </w:r>
      <w:r w:rsidRPr="00D91C83">
        <w:rPr>
          <w:sz w:val="28"/>
          <w:szCs w:val="28"/>
        </w:rPr>
        <w:t xml:space="preserve"> fees, covers everything from lawyer licensing and discipline to the panoply of other </w:t>
      </w:r>
      <w:r w:rsidR="002B29C3">
        <w:rPr>
          <w:sz w:val="28"/>
          <w:szCs w:val="28"/>
        </w:rPr>
        <w:t>activities funded</w:t>
      </w:r>
      <w:r w:rsidR="00442090">
        <w:rPr>
          <w:sz w:val="28"/>
          <w:szCs w:val="28"/>
        </w:rPr>
        <w:t xml:space="preserve"> by the Bar</w:t>
      </w:r>
      <w:r w:rsidRPr="00D91C83">
        <w:rPr>
          <w:sz w:val="28"/>
          <w:szCs w:val="28"/>
        </w:rPr>
        <w:t xml:space="preserve">, including lobbying.  </w:t>
      </w:r>
    </w:p>
    <w:p w14:paraId="4779D900" w14:textId="5701F467" w:rsidR="00D91C83" w:rsidRPr="00D91C83" w:rsidRDefault="00D91C83" w:rsidP="00D91C83">
      <w:pPr>
        <w:pStyle w:val="StyleDBodyFLIndentLeft-013Firstline0"/>
        <w:spacing w:line="480" w:lineRule="auto"/>
        <w:ind w:left="0" w:firstLine="720"/>
        <w:jc w:val="left"/>
        <w:rPr>
          <w:sz w:val="28"/>
          <w:szCs w:val="28"/>
        </w:rPr>
      </w:pPr>
      <w:r w:rsidRPr="00D91C83">
        <w:rPr>
          <w:sz w:val="28"/>
          <w:szCs w:val="28"/>
        </w:rPr>
        <w:t xml:space="preserve">Arguments over mandatory bar membership often focus on </w:t>
      </w:r>
      <w:r w:rsidR="00442090">
        <w:rPr>
          <w:sz w:val="28"/>
          <w:szCs w:val="28"/>
        </w:rPr>
        <w:t>a demand</w:t>
      </w:r>
      <w:r w:rsidRPr="00D91C83">
        <w:rPr>
          <w:sz w:val="28"/>
          <w:szCs w:val="28"/>
        </w:rPr>
        <w:t xml:space="preserve"> for some form of regulation on one side and the demand for freedom of association on the other.  This </w:t>
      </w:r>
      <w:r w:rsidR="00926240">
        <w:rPr>
          <w:sz w:val="28"/>
          <w:szCs w:val="28"/>
        </w:rPr>
        <w:t>P</w:t>
      </w:r>
      <w:r w:rsidRPr="00D91C83">
        <w:rPr>
          <w:sz w:val="28"/>
          <w:szCs w:val="28"/>
        </w:rPr>
        <w:t>etition proposes not to resolve such arguments, but rather to split bar membership in two pieces; one remaining mandatory, the other becoming voluntary.</w:t>
      </w:r>
    </w:p>
    <w:p w14:paraId="2886B73C" w14:textId="77777777" w:rsidR="00D91C83" w:rsidRPr="00CD7591" w:rsidRDefault="00D91C83" w:rsidP="00C632E5">
      <w:pPr>
        <w:pStyle w:val="StyleDBodyFLIndentLeft-013Firstline0"/>
        <w:numPr>
          <w:ilvl w:val="1"/>
          <w:numId w:val="22"/>
        </w:numPr>
        <w:spacing w:line="480" w:lineRule="auto"/>
        <w:ind w:left="720" w:firstLine="0"/>
        <w:jc w:val="left"/>
        <w:rPr>
          <w:b/>
          <w:sz w:val="28"/>
          <w:szCs w:val="28"/>
        </w:rPr>
      </w:pPr>
      <w:r w:rsidRPr="00CD7591">
        <w:rPr>
          <w:b/>
          <w:sz w:val="28"/>
          <w:szCs w:val="28"/>
        </w:rPr>
        <w:t>The Mandatory Bar</w:t>
      </w:r>
      <w:r w:rsidR="00442090">
        <w:rPr>
          <w:b/>
          <w:sz w:val="28"/>
          <w:szCs w:val="28"/>
        </w:rPr>
        <w:t>.</w:t>
      </w:r>
    </w:p>
    <w:p w14:paraId="5330314B" w14:textId="0F249B75" w:rsidR="00D91C83" w:rsidRPr="00D91C83" w:rsidRDefault="00D91C83" w:rsidP="00D91C83">
      <w:pPr>
        <w:pStyle w:val="StyleDBodyFLIndentLeft-013Firstline0"/>
        <w:spacing w:line="480" w:lineRule="auto"/>
        <w:ind w:left="0" w:firstLine="720"/>
        <w:jc w:val="left"/>
        <w:rPr>
          <w:sz w:val="28"/>
          <w:szCs w:val="28"/>
        </w:rPr>
      </w:pPr>
      <w:r w:rsidRPr="00D91C83">
        <w:rPr>
          <w:sz w:val="28"/>
          <w:szCs w:val="28"/>
        </w:rPr>
        <w:t xml:space="preserve">The intent of the </w:t>
      </w:r>
      <w:r w:rsidR="00442090">
        <w:rPr>
          <w:sz w:val="28"/>
          <w:szCs w:val="28"/>
        </w:rPr>
        <w:t>amendments</w:t>
      </w:r>
      <w:r w:rsidRPr="00D91C83">
        <w:rPr>
          <w:sz w:val="28"/>
          <w:szCs w:val="28"/>
        </w:rPr>
        <w:t xml:space="preserve"> proposed by this </w:t>
      </w:r>
      <w:r w:rsidR="00926240">
        <w:rPr>
          <w:sz w:val="28"/>
          <w:szCs w:val="28"/>
        </w:rPr>
        <w:t>P</w:t>
      </w:r>
      <w:r w:rsidRPr="00D91C83">
        <w:rPr>
          <w:sz w:val="28"/>
          <w:szCs w:val="28"/>
        </w:rPr>
        <w:t xml:space="preserve">etition is to retain lawyer regulation in Arizona as it currently is.  This means all lawyers would </w:t>
      </w:r>
      <w:r w:rsidR="00442090">
        <w:rPr>
          <w:sz w:val="28"/>
          <w:szCs w:val="28"/>
        </w:rPr>
        <w:t xml:space="preserve">continue to </w:t>
      </w:r>
      <w:r w:rsidRPr="00D91C83">
        <w:rPr>
          <w:sz w:val="28"/>
          <w:szCs w:val="28"/>
        </w:rPr>
        <w:t xml:space="preserve">be required to join a subset of the State Bar dedicated to traditional regulatory functions, such </w:t>
      </w:r>
      <w:r w:rsidR="0003001E">
        <w:rPr>
          <w:sz w:val="28"/>
          <w:szCs w:val="28"/>
        </w:rPr>
        <w:t xml:space="preserve">as </w:t>
      </w:r>
      <w:r w:rsidRPr="00D91C83">
        <w:rPr>
          <w:sz w:val="28"/>
          <w:szCs w:val="28"/>
        </w:rPr>
        <w:t>admission</w:t>
      </w:r>
      <w:r w:rsidR="00926240">
        <w:rPr>
          <w:sz w:val="28"/>
          <w:szCs w:val="28"/>
        </w:rPr>
        <w:t>s</w:t>
      </w:r>
      <w:r w:rsidRPr="00D91C83">
        <w:rPr>
          <w:sz w:val="28"/>
          <w:szCs w:val="28"/>
        </w:rPr>
        <w:t xml:space="preserve"> testing, character and fitness, specialty certification, minimum requirements for and oversight of continuing legal education, and discipline.  All of these regulatory functions would remain under the oversight of the Supreme Court and would be funded by membership fees sufficient to pay for them</w:t>
      </w:r>
      <w:r w:rsidR="00442090">
        <w:rPr>
          <w:sz w:val="28"/>
          <w:szCs w:val="28"/>
        </w:rPr>
        <w:t>,</w:t>
      </w:r>
      <w:r w:rsidRPr="00D91C83">
        <w:rPr>
          <w:sz w:val="28"/>
          <w:szCs w:val="28"/>
        </w:rPr>
        <w:t xml:space="preserve"> and the client protection fund, but nothing more.  Use of the membership </w:t>
      </w:r>
      <w:r w:rsidRPr="00D91C83">
        <w:rPr>
          <w:sz w:val="28"/>
          <w:szCs w:val="28"/>
        </w:rPr>
        <w:lastRenderedPageBreak/>
        <w:t xml:space="preserve">fees would be verified annually by an independently audited </w:t>
      </w:r>
      <w:r w:rsidR="002B29C3">
        <w:rPr>
          <w:sz w:val="28"/>
          <w:szCs w:val="28"/>
        </w:rPr>
        <w:t>report</w:t>
      </w:r>
      <w:r w:rsidR="002B29C3" w:rsidRPr="00D91C83">
        <w:rPr>
          <w:sz w:val="28"/>
          <w:szCs w:val="28"/>
        </w:rPr>
        <w:t xml:space="preserve"> </w:t>
      </w:r>
      <w:r w:rsidRPr="00D91C83">
        <w:rPr>
          <w:sz w:val="28"/>
          <w:szCs w:val="28"/>
        </w:rPr>
        <w:t>given to all members.</w:t>
      </w:r>
    </w:p>
    <w:p w14:paraId="7ADFE26F" w14:textId="77777777" w:rsidR="00D91C83" w:rsidRPr="00CD7591" w:rsidRDefault="00D91C83" w:rsidP="00C632E5">
      <w:pPr>
        <w:pStyle w:val="StyleDBodyFLIndentLeft-013Firstline0"/>
        <w:numPr>
          <w:ilvl w:val="1"/>
          <w:numId w:val="22"/>
        </w:numPr>
        <w:spacing w:line="480" w:lineRule="auto"/>
        <w:ind w:left="720" w:firstLine="0"/>
        <w:jc w:val="left"/>
        <w:rPr>
          <w:b/>
          <w:sz w:val="28"/>
          <w:szCs w:val="28"/>
        </w:rPr>
      </w:pPr>
      <w:r w:rsidRPr="00CD7591">
        <w:rPr>
          <w:b/>
          <w:sz w:val="28"/>
          <w:szCs w:val="28"/>
        </w:rPr>
        <w:t>The Voluntary Bar</w:t>
      </w:r>
      <w:r w:rsidR="00442090">
        <w:rPr>
          <w:b/>
          <w:sz w:val="28"/>
          <w:szCs w:val="28"/>
        </w:rPr>
        <w:t>.</w:t>
      </w:r>
    </w:p>
    <w:p w14:paraId="79FEB482" w14:textId="1AE3D44B" w:rsidR="00D91C83" w:rsidRPr="00D91C83" w:rsidRDefault="00D91C83" w:rsidP="00D91C83">
      <w:pPr>
        <w:pStyle w:val="StyleDBodyFLIndentLeft-013Firstline0"/>
        <w:spacing w:line="480" w:lineRule="auto"/>
        <w:ind w:left="0" w:firstLine="720"/>
        <w:jc w:val="left"/>
        <w:rPr>
          <w:sz w:val="28"/>
          <w:szCs w:val="28"/>
        </w:rPr>
      </w:pPr>
      <w:r w:rsidRPr="00D91C83">
        <w:rPr>
          <w:sz w:val="28"/>
          <w:szCs w:val="28"/>
        </w:rPr>
        <w:t xml:space="preserve">A second subset of the State Bar would be responsible for all other non-regulatory activities in which the </w:t>
      </w:r>
      <w:r w:rsidR="002B29C3">
        <w:rPr>
          <w:sz w:val="28"/>
          <w:szCs w:val="28"/>
        </w:rPr>
        <w:t>B</w:t>
      </w:r>
      <w:r w:rsidR="002B29C3" w:rsidRPr="00D91C83">
        <w:rPr>
          <w:sz w:val="28"/>
          <w:szCs w:val="28"/>
        </w:rPr>
        <w:t xml:space="preserve">ar </w:t>
      </w:r>
      <w:r w:rsidRPr="00D91C83">
        <w:rPr>
          <w:sz w:val="28"/>
          <w:szCs w:val="28"/>
        </w:rPr>
        <w:t>currently is involved, or those in which it may choose to be</w:t>
      </w:r>
      <w:r w:rsidR="00442090">
        <w:rPr>
          <w:sz w:val="28"/>
          <w:szCs w:val="28"/>
        </w:rPr>
        <w:t>come</w:t>
      </w:r>
      <w:r w:rsidRPr="00D91C83">
        <w:rPr>
          <w:sz w:val="28"/>
          <w:szCs w:val="28"/>
        </w:rPr>
        <w:t xml:space="preserve"> involved in the future, including lobbying.  Membership </w:t>
      </w:r>
      <w:r w:rsidR="00442090">
        <w:rPr>
          <w:sz w:val="28"/>
          <w:szCs w:val="28"/>
        </w:rPr>
        <w:t xml:space="preserve">in this subset </w:t>
      </w:r>
      <w:r w:rsidRPr="00D91C83">
        <w:rPr>
          <w:sz w:val="28"/>
          <w:szCs w:val="28"/>
        </w:rPr>
        <w:t xml:space="preserve">would be voluntary.  </w:t>
      </w:r>
      <w:r w:rsidR="002B29C3" w:rsidRPr="00D91C83">
        <w:rPr>
          <w:sz w:val="28"/>
          <w:szCs w:val="28"/>
        </w:rPr>
        <w:t>Any</w:t>
      </w:r>
      <w:r w:rsidR="002B29C3">
        <w:rPr>
          <w:sz w:val="28"/>
          <w:szCs w:val="28"/>
        </w:rPr>
        <w:t xml:space="preserve"> </w:t>
      </w:r>
      <w:r w:rsidR="002B29C3" w:rsidRPr="00D91C83">
        <w:rPr>
          <w:sz w:val="28"/>
          <w:szCs w:val="28"/>
        </w:rPr>
        <w:t xml:space="preserve">lawyer </w:t>
      </w:r>
      <w:r w:rsidRPr="00D91C83">
        <w:rPr>
          <w:sz w:val="28"/>
          <w:szCs w:val="28"/>
        </w:rPr>
        <w:t>may join, but no lawyer would be required to join as a condition of practicing law in Arizona.  Petitioner</w:t>
      </w:r>
      <w:r w:rsidR="00C26D9C">
        <w:rPr>
          <w:sz w:val="28"/>
          <w:szCs w:val="28"/>
        </w:rPr>
        <w:t xml:space="preserve">s </w:t>
      </w:r>
      <w:r w:rsidRPr="00D91C83">
        <w:rPr>
          <w:sz w:val="28"/>
          <w:szCs w:val="28"/>
        </w:rPr>
        <w:t xml:space="preserve">propose no limitations on the services provided or the membership fee, either in amount or how it is used.  These </w:t>
      </w:r>
      <w:r w:rsidR="00442090">
        <w:rPr>
          <w:sz w:val="28"/>
          <w:szCs w:val="28"/>
        </w:rPr>
        <w:t xml:space="preserve">issues </w:t>
      </w:r>
      <w:r w:rsidRPr="00D91C83">
        <w:rPr>
          <w:sz w:val="28"/>
          <w:szCs w:val="28"/>
        </w:rPr>
        <w:t xml:space="preserve">would be left to the discretion of the Voluntary Bar and its members.  Only </w:t>
      </w:r>
      <w:r w:rsidR="00442090">
        <w:rPr>
          <w:sz w:val="28"/>
          <w:szCs w:val="28"/>
        </w:rPr>
        <w:t xml:space="preserve">those who are </w:t>
      </w:r>
      <w:r w:rsidRPr="00D91C83">
        <w:rPr>
          <w:sz w:val="28"/>
          <w:szCs w:val="28"/>
        </w:rPr>
        <w:t xml:space="preserve">members of the Voluntary Bar would be involved in its governance, and the Voluntary Bar would be free to offer its services to only its members, or at a reduced rate or </w:t>
      </w:r>
      <w:r w:rsidR="00914653">
        <w:rPr>
          <w:sz w:val="28"/>
          <w:szCs w:val="28"/>
        </w:rPr>
        <w:t xml:space="preserve">enhanced </w:t>
      </w:r>
      <w:r w:rsidRPr="00D91C83">
        <w:rPr>
          <w:sz w:val="28"/>
          <w:szCs w:val="28"/>
        </w:rPr>
        <w:t xml:space="preserve">level of service to members, or under such other conditions as it </w:t>
      </w:r>
      <w:r w:rsidR="00A12ABA">
        <w:rPr>
          <w:sz w:val="28"/>
          <w:szCs w:val="28"/>
        </w:rPr>
        <w:t xml:space="preserve">may </w:t>
      </w:r>
      <w:r w:rsidRPr="00D91C83">
        <w:rPr>
          <w:sz w:val="28"/>
          <w:szCs w:val="28"/>
        </w:rPr>
        <w:t xml:space="preserve">deem appropriate.  </w:t>
      </w:r>
    </w:p>
    <w:p w14:paraId="3B5FC68E" w14:textId="77777777" w:rsidR="00D91C83" w:rsidRPr="00CD7591" w:rsidRDefault="00D91C83" w:rsidP="00DF7B3A">
      <w:pPr>
        <w:pStyle w:val="StyleDBodyFLIndentLeft-013Firstline0"/>
        <w:numPr>
          <w:ilvl w:val="1"/>
          <w:numId w:val="22"/>
        </w:numPr>
        <w:spacing w:line="480" w:lineRule="auto"/>
        <w:ind w:left="720" w:firstLine="0"/>
        <w:jc w:val="left"/>
        <w:rPr>
          <w:b/>
          <w:sz w:val="28"/>
          <w:szCs w:val="28"/>
        </w:rPr>
      </w:pPr>
      <w:r w:rsidRPr="00CD7591">
        <w:rPr>
          <w:b/>
          <w:sz w:val="28"/>
          <w:szCs w:val="28"/>
        </w:rPr>
        <w:t>Arguments for a Mandatory Integrated Bar</w:t>
      </w:r>
      <w:r w:rsidR="00A12ABA">
        <w:rPr>
          <w:b/>
          <w:sz w:val="28"/>
          <w:szCs w:val="28"/>
        </w:rPr>
        <w:t>.</w:t>
      </w:r>
    </w:p>
    <w:p w14:paraId="6450FBA4" w14:textId="3A7F929A" w:rsidR="00D91C83" w:rsidRPr="00D91C83" w:rsidRDefault="00D91C83" w:rsidP="00D91C83">
      <w:pPr>
        <w:pStyle w:val="StyleDBodyFLIndentLeft-013Firstline0"/>
        <w:spacing w:line="480" w:lineRule="auto"/>
        <w:ind w:left="0" w:firstLine="720"/>
        <w:jc w:val="left"/>
        <w:rPr>
          <w:sz w:val="28"/>
          <w:szCs w:val="28"/>
        </w:rPr>
      </w:pPr>
      <w:r w:rsidRPr="00D91C83">
        <w:rPr>
          <w:sz w:val="28"/>
          <w:szCs w:val="28"/>
        </w:rPr>
        <w:t xml:space="preserve">Petitioner recognizes that the State Bar itself, although not all members would agree, is opposed to </w:t>
      </w:r>
      <w:r w:rsidR="00442090">
        <w:rPr>
          <w:sz w:val="28"/>
          <w:szCs w:val="28"/>
        </w:rPr>
        <w:t>amendments</w:t>
      </w:r>
      <w:r w:rsidRPr="00D91C83">
        <w:rPr>
          <w:sz w:val="28"/>
          <w:szCs w:val="28"/>
        </w:rPr>
        <w:t xml:space="preserve"> </w:t>
      </w:r>
      <w:r w:rsidR="00A12ABA">
        <w:rPr>
          <w:sz w:val="28"/>
          <w:szCs w:val="28"/>
        </w:rPr>
        <w:t>that would change</w:t>
      </w:r>
      <w:r w:rsidRPr="00D91C83">
        <w:rPr>
          <w:sz w:val="28"/>
          <w:szCs w:val="28"/>
        </w:rPr>
        <w:t xml:space="preserve"> the current mandatory structure.  The State Bar advocated against HB2221 during the </w:t>
      </w:r>
      <w:r w:rsidR="00A12ABA">
        <w:rPr>
          <w:sz w:val="28"/>
          <w:szCs w:val="28"/>
        </w:rPr>
        <w:t>2016</w:t>
      </w:r>
      <w:r w:rsidRPr="00D91C83">
        <w:rPr>
          <w:sz w:val="28"/>
          <w:szCs w:val="28"/>
        </w:rPr>
        <w:t xml:space="preserve"> legislative session</w:t>
      </w:r>
      <w:r w:rsidR="00914653">
        <w:rPr>
          <w:sz w:val="28"/>
          <w:szCs w:val="28"/>
        </w:rPr>
        <w:t>,</w:t>
      </w:r>
      <w:r w:rsidRPr="00D91C83">
        <w:rPr>
          <w:sz w:val="28"/>
          <w:szCs w:val="28"/>
        </w:rPr>
        <w:t xml:space="preserve"> </w:t>
      </w:r>
      <w:r w:rsidR="00A12ABA">
        <w:rPr>
          <w:sz w:val="28"/>
          <w:szCs w:val="28"/>
        </w:rPr>
        <w:t>which called for</w:t>
      </w:r>
      <w:r w:rsidRPr="00D91C83">
        <w:rPr>
          <w:sz w:val="28"/>
          <w:szCs w:val="28"/>
        </w:rPr>
        <w:t xml:space="preserve"> </w:t>
      </w:r>
      <w:r w:rsidR="00914653">
        <w:rPr>
          <w:sz w:val="28"/>
          <w:szCs w:val="28"/>
        </w:rPr>
        <w:t>a less nuanced version of</w:t>
      </w:r>
      <w:r w:rsidR="00914653" w:rsidRPr="00D91C83">
        <w:rPr>
          <w:sz w:val="28"/>
          <w:szCs w:val="28"/>
        </w:rPr>
        <w:t xml:space="preserve"> </w:t>
      </w:r>
      <w:r w:rsidRPr="00D91C83">
        <w:rPr>
          <w:sz w:val="28"/>
          <w:szCs w:val="28"/>
        </w:rPr>
        <w:t xml:space="preserve">what Petitioner proposes here.  </w:t>
      </w:r>
      <w:r w:rsidR="0032618A">
        <w:rPr>
          <w:i/>
          <w:sz w:val="28"/>
          <w:szCs w:val="28"/>
        </w:rPr>
        <w:t>See</w:t>
      </w:r>
      <w:r w:rsidR="0032618A">
        <w:rPr>
          <w:sz w:val="28"/>
          <w:szCs w:val="28"/>
        </w:rPr>
        <w:t xml:space="preserve"> Video of Public Statement</w:t>
      </w:r>
      <w:r w:rsidR="00A33D74">
        <w:rPr>
          <w:sz w:val="28"/>
          <w:szCs w:val="28"/>
        </w:rPr>
        <w:t>s</w:t>
      </w:r>
      <w:r w:rsidR="0032618A">
        <w:rPr>
          <w:sz w:val="28"/>
          <w:szCs w:val="28"/>
        </w:rPr>
        <w:t xml:space="preserve"> of John F. Phelps</w:t>
      </w:r>
      <w:r w:rsidR="00926240">
        <w:rPr>
          <w:sz w:val="28"/>
          <w:szCs w:val="28"/>
        </w:rPr>
        <w:t xml:space="preserve">, State Bar CEO/Executive </w:t>
      </w:r>
      <w:r w:rsidR="00926240">
        <w:rPr>
          <w:sz w:val="28"/>
          <w:szCs w:val="28"/>
        </w:rPr>
        <w:lastRenderedPageBreak/>
        <w:t>Director,</w:t>
      </w:r>
      <w:r w:rsidR="0032618A">
        <w:rPr>
          <w:sz w:val="28"/>
          <w:szCs w:val="28"/>
        </w:rPr>
        <w:t xml:space="preserve"> House Judiciary Committee Hearing at </w:t>
      </w:r>
      <w:r w:rsidR="00813314">
        <w:rPr>
          <w:sz w:val="28"/>
          <w:szCs w:val="28"/>
        </w:rPr>
        <w:t>6:45 – 33:25 (February 10, 2016)</w:t>
      </w:r>
      <w:r w:rsidR="00926240">
        <w:rPr>
          <w:sz w:val="28"/>
          <w:szCs w:val="28"/>
        </w:rPr>
        <w:t xml:space="preserve">, </w:t>
      </w:r>
      <w:hyperlink r:id="rId10" w:history="1">
        <w:r w:rsidR="00926240" w:rsidRPr="00926240">
          <w:rPr>
            <w:rStyle w:val="Hyperlink"/>
            <w:sz w:val="28"/>
            <w:szCs w:val="28"/>
          </w:rPr>
          <w:t>http://azleg.granicus.com/MediaPlayer.php?view_id=13&amp;clip_id=16726&amp;meta_id=336301</w:t>
        </w:r>
      </w:hyperlink>
      <w:r w:rsidR="00926240">
        <w:rPr>
          <w:sz w:val="28"/>
          <w:szCs w:val="28"/>
        </w:rPr>
        <w:t xml:space="preserve"> (last visited January 9, 2017)</w:t>
      </w:r>
      <w:r w:rsidR="00813314">
        <w:rPr>
          <w:sz w:val="28"/>
          <w:szCs w:val="28"/>
        </w:rPr>
        <w:t xml:space="preserve">.  </w:t>
      </w:r>
      <w:r w:rsidRPr="00D91C83">
        <w:rPr>
          <w:sz w:val="28"/>
          <w:szCs w:val="28"/>
        </w:rPr>
        <w:t xml:space="preserve">Removing any part of lawyer regulation from the Supreme Court and placing it with the Legislature is, for many reasons, not a good idea.  But many arguments made before the Legislature by the State Bar probably </w:t>
      </w:r>
      <w:r w:rsidR="00A12ABA">
        <w:rPr>
          <w:sz w:val="28"/>
          <w:szCs w:val="28"/>
        </w:rPr>
        <w:t>will be made here</w:t>
      </w:r>
      <w:r w:rsidRPr="00D91C83">
        <w:rPr>
          <w:sz w:val="28"/>
          <w:szCs w:val="28"/>
        </w:rPr>
        <w:t xml:space="preserve">.  Others apparently </w:t>
      </w:r>
      <w:r w:rsidR="00A12ABA">
        <w:rPr>
          <w:sz w:val="28"/>
          <w:szCs w:val="28"/>
        </w:rPr>
        <w:t>will</w:t>
      </w:r>
      <w:r w:rsidRPr="00D91C83">
        <w:rPr>
          <w:sz w:val="28"/>
          <w:szCs w:val="28"/>
        </w:rPr>
        <w:t xml:space="preserve"> agree.  </w:t>
      </w:r>
      <w:r w:rsidRPr="00A12ABA">
        <w:rPr>
          <w:i/>
          <w:sz w:val="28"/>
          <w:szCs w:val="28"/>
        </w:rPr>
        <w:t>See</w:t>
      </w:r>
      <w:r w:rsidRPr="00D91C83">
        <w:rPr>
          <w:sz w:val="28"/>
          <w:szCs w:val="28"/>
        </w:rPr>
        <w:t xml:space="preserve"> Benefits of an Integrated State Bar, </w:t>
      </w:r>
      <w:hyperlink r:id="rId11" w:history="1">
        <w:r w:rsidRPr="00271C43">
          <w:rPr>
            <w:rStyle w:val="Hyperlink"/>
            <w:sz w:val="28"/>
            <w:szCs w:val="28"/>
          </w:rPr>
          <w:t>http://savethebar.com/benefits-of-the-bar/</w:t>
        </w:r>
      </w:hyperlink>
      <w:r w:rsidRPr="00D91C83">
        <w:rPr>
          <w:sz w:val="28"/>
          <w:szCs w:val="28"/>
        </w:rPr>
        <w:t xml:space="preserve"> (last visited January 5, 2017), a copy of which is </w:t>
      </w:r>
      <w:r w:rsidR="00A12ABA">
        <w:rPr>
          <w:sz w:val="28"/>
          <w:szCs w:val="28"/>
        </w:rPr>
        <w:t xml:space="preserve">included in the Appendix at pages </w:t>
      </w:r>
      <w:r w:rsidR="00E40500">
        <w:rPr>
          <w:sz w:val="28"/>
          <w:szCs w:val="28"/>
        </w:rPr>
        <w:t>43-45</w:t>
      </w:r>
      <w:r w:rsidRPr="00D91C83">
        <w:rPr>
          <w:sz w:val="28"/>
          <w:szCs w:val="28"/>
        </w:rPr>
        <w:t xml:space="preserve">.  </w:t>
      </w:r>
    </w:p>
    <w:p w14:paraId="11D2BC6A" w14:textId="7B8ACD11" w:rsidR="00D91C83" w:rsidRPr="00D91C83" w:rsidRDefault="00D91C83" w:rsidP="00D91C83">
      <w:pPr>
        <w:pStyle w:val="StyleDBodyFLIndentLeft-013Firstline0"/>
        <w:spacing w:line="480" w:lineRule="auto"/>
        <w:ind w:left="0" w:firstLine="720"/>
        <w:jc w:val="left"/>
        <w:rPr>
          <w:sz w:val="28"/>
          <w:szCs w:val="28"/>
        </w:rPr>
      </w:pPr>
      <w:r w:rsidRPr="00D91C83">
        <w:rPr>
          <w:sz w:val="28"/>
          <w:szCs w:val="28"/>
        </w:rPr>
        <w:t xml:space="preserve">Eliminating </w:t>
      </w:r>
      <w:r w:rsidR="00914653">
        <w:rPr>
          <w:sz w:val="28"/>
          <w:szCs w:val="28"/>
        </w:rPr>
        <w:t xml:space="preserve">part of </w:t>
      </w:r>
      <w:r w:rsidRPr="00D91C83">
        <w:rPr>
          <w:sz w:val="28"/>
          <w:szCs w:val="28"/>
        </w:rPr>
        <w:t xml:space="preserve">the “mandatory” from </w:t>
      </w:r>
      <w:r w:rsidR="00A12ABA">
        <w:rPr>
          <w:sz w:val="28"/>
          <w:szCs w:val="28"/>
        </w:rPr>
        <w:t>B</w:t>
      </w:r>
      <w:r w:rsidRPr="00D91C83">
        <w:rPr>
          <w:sz w:val="28"/>
          <w:szCs w:val="28"/>
        </w:rPr>
        <w:t xml:space="preserve">ar membership should not have an undue adverse effect on the State Bar.  </w:t>
      </w:r>
      <w:r w:rsidR="00914653">
        <w:rPr>
          <w:sz w:val="28"/>
          <w:szCs w:val="28"/>
        </w:rPr>
        <w:t xml:space="preserve">The model proposed herein is based on the system </w:t>
      </w:r>
      <w:r w:rsidR="00813314">
        <w:rPr>
          <w:sz w:val="28"/>
          <w:szCs w:val="28"/>
        </w:rPr>
        <w:t>adopted by the Supreme Court of Nebraska in 2013</w:t>
      </w:r>
      <w:r w:rsidR="00914653">
        <w:rPr>
          <w:sz w:val="28"/>
          <w:szCs w:val="28"/>
        </w:rPr>
        <w:t xml:space="preserve">, and this </w:t>
      </w:r>
      <w:r w:rsidR="009749E8">
        <w:rPr>
          <w:sz w:val="28"/>
          <w:szCs w:val="28"/>
        </w:rPr>
        <w:t>Petition</w:t>
      </w:r>
      <w:r w:rsidR="00914653">
        <w:rPr>
          <w:sz w:val="28"/>
          <w:szCs w:val="28"/>
        </w:rPr>
        <w:t xml:space="preserve"> makes certain refinements to that model based on Nebraska’s experience.  </w:t>
      </w:r>
      <w:r w:rsidRPr="00D91C83">
        <w:rPr>
          <w:sz w:val="28"/>
          <w:szCs w:val="28"/>
        </w:rPr>
        <w:t xml:space="preserve">Eighteen other states regulate lawyers to the apparent satisfaction of the public without </w:t>
      </w:r>
      <w:r w:rsidR="00914653">
        <w:rPr>
          <w:sz w:val="28"/>
          <w:szCs w:val="28"/>
        </w:rPr>
        <w:t xml:space="preserve">any </w:t>
      </w:r>
      <w:r w:rsidRPr="00D91C83">
        <w:rPr>
          <w:sz w:val="28"/>
          <w:szCs w:val="28"/>
        </w:rPr>
        <w:t>mandatory bar</w:t>
      </w:r>
      <w:r w:rsidR="00914653">
        <w:rPr>
          <w:sz w:val="28"/>
          <w:szCs w:val="28"/>
        </w:rPr>
        <w:t xml:space="preserve"> at all</w:t>
      </w:r>
      <w:r w:rsidRPr="00D91C83">
        <w:rPr>
          <w:sz w:val="28"/>
          <w:szCs w:val="28"/>
        </w:rPr>
        <w:t xml:space="preserve">.  </w:t>
      </w:r>
      <w:r w:rsidR="00A12ABA" w:rsidRPr="00CA658A">
        <w:rPr>
          <w:i/>
          <w:iCs/>
          <w:sz w:val="28"/>
          <w:szCs w:val="28"/>
        </w:rPr>
        <w:t>Voluntary State Bar of Nebraska</w:t>
      </w:r>
      <w:r w:rsidR="00A12ABA" w:rsidRPr="00CA658A">
        <w:rPr>
          <w:sz w:val="28"/>
          <w:szCs w:val="28"/>
        </w:rPr>
        <w:t xml:space="preserve">, 286 Neb. </w:t>
      </w:r>
      <w:r w:rsidR="00A12ABA">
        <w:rPr>
          <w:sz w:val="28"/>
          <w:szCs w:val="28"/>
        </w:rPr>
        <w:t>at</w:t>
      </w:r>
      <w:r w:rsidR="00A12ABA" w:rsidRPr="00CA658A">
        <w:rPr>
          <w:sz w:val="28"/>
          <w:szCs w:val="28"/>
        </w:rPr>
        <w:t xml:space="preserve"> 10</w:t>
      </w:r>
      <w:r w:rsidR="00A12ABA">
        <w:rPr>
          <w:sz w:val="28"/>
          <w:szCs w:val="28"/>
        </w:rPr>
        <w:t>22</w:t>
      </w:r>
      <w:r w:rsidR="00A12ABA" w:rsidRPr="00CA658A">
        <w:rPr>
          <w:sz w:val="28"/>
          <w:szCs w:val="28"/>
        </w:rPr>
        <w:t xml:space="preserve">, 841 N.W.2d </w:t>
      </w:r>
      <w:r w:rsidR="00A12ABA">
        <w:rPr>
          <w:sz w:val="28"/>
          <w:szCs w:val="28"/>
        </w:rPr>
        <w:t>at</w:t>
      </w:r>
      <w:r w:rsidR="00A12ABA" w:rsidRPr="00CA658A">
        <w:rPr>
          <w:sz w:val="28"/>
          <w:szCs w:val="28"/>
        </w:rPr>
        <w:t xml:space="preserve"> 1</w:t>
      </w:r>
      <w:r w:rsidR="00A4312E">
        <w:rPr>
          <w:sz w:val="28"/>
          <w:szCs w:val="28"/>
        </w:rPr>
        <w:t>71</w:t>
      </w:r>
      <w:r w:rsidR="00A12ABA">
        <w:rPr>
          <w:sz w:val="28"/>
          <w:szCs w:val="28"/>
        </w:rPr>
        <w:t xml:space="preserve">.  </w:t>
      </w:r>
      <w:r w:rsidRPr="00D91C83">
        <w:rPr>
          <w:sz w:val="28"/>
          <w:szCs w:val="28"/>
        </w:rPr>
        <w:t xml:space="preserve">Arizona could do the same without infringing on lawyers’ right of free association.  </w:t>
      </w:r>
      <w:r w:rsidR="009749E8">
        <w:rPr>
          <w:sz w:val="28"/>
          <w:szCs w:val="28"/>
        </w:rPr>
        <w:t>T</w:t>
      </w:r>
      <w:r w:rsidRPr="00D91C83">
        <w:rPr>
          <w:sz w:val="28"/>
          <w:szCs w:val="28"/>
        </w:rPr>
        <w:t xml:space="preserve">he remaining mandatory subset of the State Bar would </w:t>
      </w:r>
      <w:r w:rsidR="00A12ABA">
        <w:rPr>
          <w:sz w:val="28"/>
          <w:szCs w:val="28"/>
        </w:rPr>
        <w:t>be</w:t>
      </w:r>
      <w:r w:rsidRPr="00D91C83">
        <w:rPr>
          <w:sz w:val="28"/>
          <w:szCs w:val="28"/>
        </w:rPr>
        <w:t xml:space="preserve"> sufficiently funded for all purposes directly related to lawyer regulation.</w:t>
      </w:r>
    </w:p>
    <w:p w14:paraId="5C92EF52" w14:textId="18E13274" w:rsidR="00D91C83" w:rsidRPr="00D91C83" w:rsidRDefault="00D91C83" w:rsidP="00D91C83">
      <w:pPr>
        <w:pStyle w:val="StyleDBodyFLIndentLeft-013Firstline0"/>
        <w:spacing w:line="480" w:lineRule="auto"/>
        <w:ind w:left="0" w:firstLine="720"/>
        <w:jc w:val="left"/>
        <w:rPr>
          <w:sz w:val="28"/>
          <w:szCs w:val="28"/>
        </w:rPr>
      </w:pPr>
      <w:r w:rsidRPr="00D91C83">
        <w:rPr>
          <w:sz w:val="28"/>
          <w:szCs w:val="28"/>
        </w:rPr>
        <w:t>Some might argue that the State Bar offers a far greater range of more valuable services to its member</w:t>
      </w:r>
      <w:r w:rsidR="007F3021">
        <w:rPr>
          <w:sz w:val="28"/>
          <w:szCs w:val="28"/>
        </w:rPr>
        <w:t>s</w:t>
      </w:r>
      <w:r w:rsidRPr="00D91C83">
        <w:rPr>
          <w:sz w:val="28"/>
          <w:szCs w:val="28"/>
        </w:rPr>
        <w:t xml:space="preserve"> than those offered in other states.  </w:t>
      </w:r>
      <w:r w:rsidR="009749E8">
        <w:rPr>
          <w:sz w:val="28"/>
          <w:szCs w:val="28"/>
        </w:rPr>
        <w:t xml:space="preserve">This Petition </w:t>
      </w:r>
      <w:r w:rsidR="009749E8">
        <w:rPr>
          <w:sz w:val="28"/>
          <w:szCs w:val="28"/>
        </w:rPr>
        <w:lastRenderedPageBreak/>
        <w:t xml:space="preserve">does not seek to prevent the State Bar from offering valuable services.  </w:t>
      </w:r>
      <w:r w:rsidRPr="00D91C83">
        <w:rPr>
          <w:sz w:val="28"/>
          <w:szCs w:val="28"/>
        </w:rPr>
        <w:t>The Nebraska Supreme Court recognized the value</w:t>
      </w:r>
      <w:r w:rsidR="007F3021">
        <w:rPr>
          <w:sz w:val="28"/>
          <w:szCs w:val="28"/>
        </w:rPr>
        <w:t xml:space="preserve"> inherent</w:t>
      </w:r>
      <w:r w:rsidRPr="00D91C83">
        <w:rPr>
          <w:sz w:val="28"/>
          <w:szCs w:val="28"/>
        </w:rPr>
        <w:t xml:space="preserve"> in member services in response to a similar argument.  “The Bar Association has, over the years, developed and administered many laudable and worthwhile programs which have served the legal profession well.”  </w:t>
      </w:r>
      <w:r w:rsidRPr="007F3021">
        <w:rPr>
          <w:i/>
          <w:sz w:val="28"/>
          <w:szCs w:val="28"/>
        </w:rPr>
        <w:t>Voluntary State Bar of Nebraska</w:t>
      </w:r>
      <w:r w:rsidRPr="00D91C83">
        <w:rPr>
          <w:sz w:val="28"/>
          <w:szCs w:val="28"/>
        </w:rPr>
        <w:t xml:space="preserve">, 286 Neb. </w:t>
      </w:r>
      <w:r w:rsidR="007F3021">
        <w:rPr>
          <w:sz w:val="28"/>
          <w:szCs w:val="28"/>
        </w:rPr>
        <w:t>at</w:t>
      </w:r>
      <w:r w:rsidRPr="00D91C83">
        <w:rPr>
          <w:sz w:val="28"/>
          <w:szCs w:val="28"/>
        </w:rPr>
        <w:t xml:space="preserve"> 1036, 841 N.W.2d </w:t>
      </w:r>
      <w:r w:rsidR="007F3021">
        <w:rPr>
          <w:sz w:val="28"/>
          <w:szCs w:val="28"/>
        </w:rPr>
        <w:t>at</w:t>
      </w:r>
      <w:r w:rsidRPr="00D91C83">
        <w:rPr>
          <w:sz w:val="28"/>
          <w:szCs w:val="28"/>
        </w:rPr>
        <w:t xml:space="preserve"> 179.  If the State Bar </w:t>
      </w:r>
      <w:r w:rsidR="007F3021">
        <w:rPr>
          <w:sz w:val="28"/>
          <w:szCs w:val="28"/>
        </w:rPr>
        <w:t xml:space="preserve">here </w:t>
      </w:r>
      <w:r w:rsidRPr="00D91C83">
        <w:rPr>
          <w:sz w:val="28"/>
          <w:szCs w:val="28"/>
        </w:rPr>
        <w:t xml:space="preserve">is offering </w:t>
      </w:r>
      <w:r w:rsidR="007F3021">
        <w:rPr>
          <w:sz w:val="28"/>
          <w:szCs w:val="28"/>
        </w:rPr>
        <w:t xml:space="preserve">worthwhile </w:t>
      </w:r>
      <w:r w:rsidRPr="00D91C83">
        <w:rPr>
          <w:sz w:val="28"/>
          <w:szCs w:val="28"/>
        </w:rPr>
        <w:t xml:space="preserve">programs </w:t>
      </w:r>
      <w:r w:rsidR="007F3021">
        <w:rPr>
          <w:sz w:val="28"/>
          <w:szCs w:val="28"/>
        </w:rPr>
        <w:t>its</w:t>
      </w:r>
      <w:r w:rsidRPr="00D91C83">
        <w:rPr>
          <w:sz w:val="28"/>
          <w:szCs w:val="28"/>
        </w:rPr>
        <w:t xml:space="preserve"> members find valuable and continues to do so, one would expect members to pay for them, even if they are not obligated to do so.  “Many members of the Bar Association may well elect to pay the voluntary dues assessment—particularly if the Bar Association strictly adheres to the use of such funds for purposes clearly benefiting the bar as a whole and avoids entanglement in ideological or political issues or legislation.”  </w:t>
      </w:r>
      <w:r w:rsidRPr="007F3021">
        <w:rPr>
          <w:i/>
          <w:sz w:val="28"/>
          <w:szCs w:val="28"/>
        </w:rPr>
        <w:t>Id</w:t>
      </w:r>
      <w:r w:rsidRPr="00D91C83">
        <w:rPr>
          <w:sz w:val="28"/>
          <w:szCs w:val="28"/>
        </w:rPr>
        <w:t xml:space="preserve">.  </w:t>
      </w:r>
    </w:p>
    <w:p w14:paraId="0BF3FB34" w14:textId="05465DF0" w:rsidR="00D91C83" w:rsidRDefault="00D91C83" w:rsidP="00D91C83">
      <w:pPr>
        <w:pStyle w:val="StyleDBodyFLIndentLeft-013Firstline0"/>
        <w:spacing w:line="480" w:lineRule="auto"/>
        <w:ind w:left="0" w:firstLine="720"/>
        <w:jc w:val="left"/>
        <w:rPr>
          <w:sz w:val="28"/>
          <w:szCs w:val="28"/>
        </w:rPr>
      </w:pPr>
      <w:r w:rsidRPr="00D91C83">
        <w:rPr>
          <w:sz w:val="28"/>
          <w:szCs w:val="28"/>
        </w:rPr>
        <w:t xml:space="preserve">There are </w:t>
      </w:r>
      <w:r w:rsidR="009749E8">
        <w:rPr>
          <w:sz w:val="28"/>
          <w:szCs w:val="28"/>
        </w:rPr>
        <w:t xml:space="preserve">real world </w:t>
      </w:r>
      <w:r w:rsidR="007F3021">
        <w:rPr>
          <w:sz w:val="28"/>
          <w:szCs w:val="28"/>
        </w:rPr>
        <w:t xml:space="preserve">examples of </w:t>
      </w:r>
      <w:r w:rsidRPr="00D91C83">
        <w:rPr>
          <w:sz w:val="28"/>
          <w:szCs w:val="28"/>
        </w:rPr>
        <w:t xml:space="preserve">voluntary bar associations, some of which do very well because of the value they provide to their members.  Arizona has </w:t>
      </w:r>
      <w:r w:rsidR="00EC1C57">
        <w:rPr>
          <w:sz w:val="28"/>
          <w:szCs w:val="28"/>
        </w:rPr>
        <w:t xml:space="preserve">many voluntary </w:t>
      </w:r>
      <w:r w:rsidRPr="00D91C83">
        <w:rPr>
          <w:sz w:val="28"/>
          <w:szCs w:val="28"/>
        </w:rPr>
        <w:t xml:space="preserve">county, city, and specialty bar associations, among others.  </w:t>
      </w:r>
      <w:r w:rsidR="007F3021">
        <w:rPr>
          <w:sz w:val="28"/>
          <w:szCs w:val="28"/>
        </w:rPr>
        <w:t>O</w:t>
      </w:r>
      <w:r w:rsidRPr="00D91C83">
        <w:rPr>
          <w:sz w:val="28"/>
          <w:szCs w:val="28"/>
        </w:rPr>
        <w:t>ne of the best known voluntary bar associations</w:t>
      </w:r>
      <w:r w:rsidR="007F3021">
        <w:rPr>
          <w:sz w:val="28"/>
          <w:szCs w:val="28"/>
        </w:rPr>
        <w:t xml:space="preserve"> </w:t>
      </w:r>
      <w:r w:rsidR="00A22197">
        <w:rPr>
          <w:sz w:val="28"/>
          <w:szCs w:val="28"/>
        </w:rPr>
        <w:t xml:space="preserve">— </w:t>
      </w:r>
      <w:r w:rsidR="007F3021">
        <w:rPr>
          <w:sz w:val="28"/>
          <w:szCs w:val="28"/>
        </w:rPr>
        <w:t xml:space="preserve">mentioned in Rule 32 at (e)(9) </w:t>
      </w:r>
      <w:r w:rsidR="00A22197">
        <w:rPr>
          <w:sz w:val="28"/>
          <w:szCs w:val="28"/>
        </w:rPr>
        <w:t xml:space="preserve">— </w:t>
      </w:r>
      <w:r w:rsidRPr="00D91C83">
        <w:rPr>
          <w:sz w:val="28"/>
          <w:szCs w:val="28"/>
        </w:rPr>
        <w:t xml:space="preserve">is the American Bar Association (“ABA”), </w:t>
      </w:r>
      <w:r w:rsidR="007F3021">
        <w:rPr>
          <w:sz w:val="28"/>
          <w:szCs w:val="28"/>
        </w:rPr>
        <w:t xml:space="preserve">an association </w:t>
      </w:r>
      <w:r w:rsidRPr="00D91C83">
        <w:rPr>
          <w:sz w:val="28"/>
          <w:szCs w:val="28"/>
        </w:rPr>
        <w:t xml:space="preserve">which is very active in lobbying and other similar activities.  The scope of the ABA need not be described here.  It is well known for the </w:t>
      </w:r>
      <w:r w:rsidR="00915082">
        <w:rPr>
          <w:sz w:val="28"/>
          <w:szCs w:val="28"/>
        </w:rPr>
        <w:t xml:space="preserve">many </w:t>
      </w:r>
      <w:r w:rsidRPr="00D91C83">
        <w:rPr>
          <w:sz w:val="28"/>
          <w:szCs w:val="28"/>
        </w:rPr>
        <w:t xml:space="preserve">services it provides to its members.  No lawyers are obligated to join.  Many do so.  Arizona lawyers should have the same </w:t>
      </w:r>
      <w:r w:rsidRPr="00D91C83">
        <w:rPr>
          <w:sz w:val="28"/>
          <w:szCs w:val="28"/>
        </w:rPr>
        <w:lastRenderedPageBreak/>
        <w:t xml:space="preserve">freedom of association with respect to the </w:t>
      </w:r>
      <w:r w:rsidR="00A22197">
        <w:rPr>
          <w:sz w:val="28"/>
          <w:szCs w:val="28"/>
        </w:rPr>
        <w:t xml:space="preserve">non-regulatory functions of the </w:t>
      </w:r>
      <w:r w:rsidRPr="00D91C83">
        <w:rPr>
          <w:sz w:val="28"/>
          <w:szCs w:val="28"/>
        </w:rPr>
        <w:t>State Bar.</w:t>
      </w:r>
    </w:p>
    <w:p w14:paraId="29F8A846" w14:textId="77777777" w:rsidR="00D91C83" w:rsidRPr="00CD7591" w:rsidRDefault="00D91C83" w:rsidP="00DF7B3A">
      <w:pPr>
        <w:pStyle w:val="StyleDBodyFLIndentLeft-013Firstline0"/>
        <w:numPr>
          <w:ilvl w:val="1"/>
          <w:numId w:val="22"/>
        </w:numPr>
        <w:spacing w:line="480" w:lineRule="auto"/>
        <w:ind w:left="720" w:firstLine="0"/>
        <w:jc w:val="left"/>
        <w:rPr>
          <w:b/>
          <w:sz w:val="28"/>
          <w:szCs w:val="28"/>
        </w:rPr>
      </w:pPr>
      <w:r w:rsidRPr="00CD7591">
        <w:rPr>
          <w:b/>
          <w:sz w:val="28"/>
          <w:szCs w:val="28"/>
        </w:rPr>
        <w:t>Arguments for a Voluntary Bar.</w:t>
      </w:r>
    </w:p>
    <w:p w14:paraId="5363E0B8" w14:textId="5B3B16C6" w:rsidR="00936A99" w:rsidRDefault="00AC7E14" w:rsidP="00EC1C57">
      <w:pPr>
        <w:pStyle w:val="StyleDBodyFLIndentLeft-013Firstline0"/>
        <w:spacing w:line="480" w:lineRule="auto"/>
        <w:ind w:left="0" w:firstLine="533"/>
        <w:jc w:val="left"/>
        <w:rPr>
          <w:sz w:val="28"/>
          <w:szCs w:val="28"/>
        </w:rPr>
      </w:pPr>
      <w:r>
        <w:rPr>
          <w:sz w:val="28"/>
          <w:szCs w:val="28"/>
        </w:rPr>
        <w:t xml:space="preserve">There </w:t>
      </w:r>
      <w:r w:rsidR="009749E8">
        <w:rPr>
          <w:sz w:val="28"/>
          <w:szCs w:val="28"/>
        </w:rPr>
        <w:t>should be</w:t>
      </w:r>
      <w:r>
        <w:rPr>
          <w:sz w:val="28"/>
          <w:szCs w:val="28"/>
        </w:rPr>
        <w:t xml:space="preserve"> no dispute that</w:t>
      </w:r>
      <w:r w:rsidR="00D91C83" w:rsidRPr="00D91C83">
        <w:rPr>
          <w:sz w:val="28"/>
          <w:szCs w:val="28"/>
        </w:rPr>
        <w:t xml:space="preserve"> mandatory membership</w:t>
      </w:r>
      <w:r>
        <w:rPr>
          <w:sz w:val="28"/>
          <w:szCs w:val="28"/>
        </w:rPr>
        <w:t xml:space="preserve"> organizations</w:t>
      </w:r>
      <w:r w:rsidR="00D91C83" w:rsidRPr="00D91C83">
        <w:rPr>
          <w:sz w:val="28"/>
          <w:szCs w:val="28"/>
        </w:rPr>
        <w:t xml:space="preserve"> of any kind </w:t>
      </w:r>
      <w:r>
        <w:rPr>
          <w:sz w:val="28"/>
          <w:szCs w:val="28"/>
        </w:rPr>
        <w:t>burden</w:t>
      </w:r>
      <w:r w:rsidRPr="00D91C83">
        <w:rPr>
          <w:sz w:val="28"/>
          <w:szCs w:val="28"/>
        </w:rPr>
        <w:t xml:space="preserve"> </w:t>
      </w:r>
      <w:r w:rsidR="00D91C83" w:rsidRPr="00D91C83">
        <w:rPr>
          <w:sz w:val="28"/>
          <w:szCs w:val="28"/>
        </w:rPr>
        <w:t xml:space="preserve">the rights to free speech and free association guaranteed by the United States and Arizona Constitutions.  </w:t>
      </w:r>
      <w:r w:rsidRPr="00915082">
        <w:rPr>
          <w:i/>
          <w:sz w:val="28"/>
          <w:szCs w:val="28"/>
        </w:rPr>
        <w:t>See Keller v. State Bar of Cal</w:t>
      </w:r>
      <w:r w:rsidRPr="00D91C83">
        <w:rPr>
          <w:sz w:val="28"/>
          <w:szCs w:val="28"/>
        </w:rPr>
        <w:t>. 496 U.S. 1</w:t>
      </w:r>
      <w:r w:rsidR="00EC1C57">
        <w:rPr>
          <w:sz w:val="28"/>
          <w:szCs w:val="28"/>
        </w:rPr>
        <w:t xml:space="preserve">, 8 </w:t>
      </w:r>
      <w:r w:rsidRPr="00D91C83">
        <w:rPr>
          <w:sz w:val="28"/>
          <w:szCs w:val="28"/>
        </w:rPr>
        <w:t>(1990)</w:t>
      </w:r>
      <w:r w:rsidR="00EC1C57">
        <w:rPr>
          <w:sz w:val="28"/>
          <w:szCs w:val="28"/>
        </w:rPr>
        <w:t xml:space="preserve"> (citing </w:t>
      </w:r>
      <w:r w:rsidR="00EC1C57" w:rsidRPr="00EC1C57">
        <w:rPr>
          <w:i/>
          <w:sz w:val="28"/>
          <w:szCs w:val="28"/>
        </w:rPr>
        <w:t>Lathrop v. Donahue</w:t>
      </w:r>
      <w:r w:rsidR="00EC1C57">
        <w:rPr>
          <w:sz w:val="28"/>
          <w:szCs w:val="28"/>
        </w:rPr>
        <w:t>, 367 U.S. 820, 842-43 (1961)).</w:t>
      </w:r>
      <w:r>
        <w:rPr>
          <w:sz w:val="28"/>
          <w:szCs w:val="28"/>
        </w:rPr>
        <w:t xml:space="preserve"> </w:t>
      </w:r>
      <w:r w:rsidR="00A26F10">
        <w:rPr>
          <w:sz w:val="28"/>
          <w:szCs w:val="28"/>
        </w:rPr>
        <w:t xml:space="preserve"> Much ink has been spilled litigating the constitutionality of mandatory </w:t>
      </w:r>
      <w:r w:rsidR="001C7F2A">
        <w:rPr>
          <w:sz w:val="28"/>
          <w:szCs w:val="28"/>
        </w:rPr>
        <w:t>b</w:t>
      </w:r>
      <w:r w:rsidR="00A26F10">
        <w:rPr>
          <w:sz w:val="28"/>
          <w:szCs w:val="28"/>
        </w:rPr>
        <w:t xml:space="preserve">ars </w:t>
      </w:r>
      <w:r w:rsidR="001C7F2A">
        <w:rPr>
          <w:sz w:val="28"/>
          <w:szCs w:val="28"/>
        </w:rPr>
        <w:t>a</w:t>
      </w:r>
      <w:r w:rsidR="00A26F10">
        <w:rPr>
          <w:sz w:val="28"/>
          <w:szCs w:val="28"/>
        </w:rPr>
        <w:t xml:space="preserve">ssociations.  </w:t>
      </w:r>
      <w:r w:rsidR="001C7F2A">
        <w:rPr>
          <w:i/>
          <w:sz w:val="28"/>
          <w:szCs w:val="28"/>
        </w:rPr>
        <w:t>See</w:t>
      </w:r>
      <w:r w:rsidR="001C7F2A">
        <w:rPr>
          <w:sz w:val="28"/>
          <w:szCs w:val="28"/>
        </w:rPr>
        <w:t xml:space="preserve"> </w:t>
      </w:r>
      <w:r w:rsidR="009749E8" w:rsidRPr="009749E8">
        <w:rPr>
          <w:i/>
          <w:sz w:val="28"/>
          <w:szCs w:val="28"/>
        </w:rPr>
        <w:t>e.g.</w:t>
      </w:r>
      <w:r w:rsidR="009749E8">
        <w:rPr>
          <w:sz w:val="28"/>
          <w:szCs w:val="28"/>
        </w:rPr>
        <w:t xml:space="preserve"> </w:t>
      </w:r>
      <w:r w:rsidR="001C7F2A">
        <w:rPr>
          <w:sz w:val="28"/>
          <w:szCs w:val="28"/>
        </w:rPr>
        <w:t xml:space="preserve">Brief for Goldwater Institute as Amicus Curiae in Support of Petitioners, </w:t>
      </w:r>
      <w:r w:rsidR="001C7F2A" w:rsidRPr="001C7F2A">
        <w:rPr>
          <w:i/>
          <w:sz w:val="28"/>
          <w:szCs w:val="28"/>
        </w:rPr>
        <w:t>Fredericks v. California Teachers Association</w:t>
      </w:r>
      <w:r w:rsidR="001C7F2A">
        <w:rPr>
          <w:sz w:val="28"/>
          <w:szCs w:val="28"/>
        </w:rPr>
        <w:t xml:space="preserve">, </w:t>
      </w:r>
      <w:r w:rsidR="00936A99">
        <w:rPr>
          <w:sz w:val="28"/>
          <w:szCs w:val="28"/>
        </w:rPr>
        <w:t>136 S.</w:t>
      </w:r>
      <w:r w:rsidR="00A81058">
        <w:rPr>
          <w:sz w:val="28"/>
          <w:szCs w:val="28"/>
        </w:rPr>
        <w:t xml:space="preserve"> </w:t>
      </w:r>
      <w:r w:rsidR="00936A99">
        <w:rPr>
          <w:sz w:val="28"/>
          <w:szCs w:val="28"/>
        </w:rPr>
        <w:t>Ct. 1083</w:t>
      </w:r>
      <w:r w:rsidR="00D0769E">
        <w:rPr>
          <w:sz w:val="28"/>
          <w:szCs w:val="28"/>
        </w:rPr>
        <w:t xml:space="preserve"> (2016) (No. 14-915), 2015 WL 905923 at 16-17.</w:t>
      </w:r>
      <w:r w:rsidR="00936A99">
        <w:rPr>
          <w:sz w:val="28"/>
          <w:szCs w:val="28"/>
        </w:rPr>
        <w:t xml:space="preserve">  </w:t>
      </w:r>
      <w:r w:rsidR="001629FD">
        <w:rPr>
          <w:sz w:val="28"/>
          <w:szCs w:val="28"/>
        </w:rPr>
        <w:t xml:space="preserve">Undoubtedly, more will come if action </w:t>
      </w:r>
      <w:r w:rsidR="00936A99">
        <w:rPr>
          <w:sz w:val="28"/>
          <w:szCs w:val="28"/>
        </w:rPr>
        <w:t xml:space="preserve">to amend current rules </w:t>
      </w:r>
      <w:r w:rsidR="001629FD">
        <w:rPr>
          <w:sz w:val="28"/>
          <w:szCs w:val="28"/>
        </w:rPr>
        <w:t xml:space="preserve">is not taken now.  </w:t>
      </w:r>
    </w:p>
    <w:p w14:paraId="3BFCB126" w14:textId="27646B03" w:rsidR="00D44F4E" w:rsidRPr="00D44F4E" w:rsidRDefault="00A22F7D" w:rsidP="00221BA8">
      <w:pPr>
        <w:pStyle w:val="StyleDBodyFLIndentLeft-013Firstline0"/>
        <w:spacing w:line="480" w:lineRule="auto"/>
        <w:ind w:left="0" w:firstLine="720"/>
        <w:jc w:val="left"/>
        <w:rPr>
          <w:sz w:val="28"/>
          <w:szCs w:val="28"/>
        </w:rPr>
      </w:pPr>
      <w:r>
        <w:rPr>
          <w:sz w:val="28"/>
          <w:szCs w:val="28"/>
        </w:rPr>
        <w:t xml:space="preserve">Many Arizona lawyers probably are not aware of the “opt-out rule,” which currently is offered for some </w:t>
      </w:r>
      <w:r w:rsidR="00DC0B1A">
        <w:rPr>
          <w:sz w:val="28"/>
          <w:szCs w:val="28"/>
        </w:rPr>
        <w:t xml:space="preserve">State Bar </w:t>
      </w:r>
      <w:r>
        <w:rPr>
          <w:sz w:val="28"/>
          <w:szCs w:val="28"/>
        </w:rPr>
        <w:t xml:space="preserve">expenditures under Rule 32(c)(8), Rules of the Supreme Court.  </w:t>
      </w:r>
      <w:r w:rsidR="00D17789">
        <w:rPr>
          <w:sz w:val="28"/>
          <w:szCs w:val="28"/>
        </w:rPr>
        <w:t>“[</w:t>
      </w:r>
      <w:r w:rsidR="00D44F4E">
        <w:rPr>
          <w:sz w:val="28"/>
          <w:szCs w:val="28"/>
        </w:rPr>
        <w:t>A</w:t>
      </w:r>
      <w:r w:rsidR="00D17789">
        <w:rPr>
          <w:sz w:val="28"/>
          <w:szCs w:val="28"/>
        </w:rPr>
        <w:t>]</w:t>
      </w:r>
      <w:r w:rsidR="00D17789" w:rsidRPr="00D17789">
        <w:rPr>
          <w:sz w:val="28"/>
          <w:szCs w:val="28"/>
        </w:rPr>
        <w:t xml:space="preserve"> member who objects to particular State Bar lobbying activities may request a refund of the portion of the annual fee allocable to those activities at the end of the membership year.</w:t>
      </w:r>
      <w:r w:rsidR="00D17789">
        <w:rPr>
          <w:sz w:val="28"/>
          <w:szCs w:val="28"/>
        </w:rPr>
        <w:t xml:space="preserve">”  </w:t>
      </w:r>
      <w:r w:rsidR="00D44F4E" w:rsidRPr="00D44F4E">
        <w:rPr>
          <w:i/>
          <w:sz w:val="28"/>
          <w:szCs w:val="28"/>
        </w:rPr>
        <w:t>Id</w:t>
      </w:r>
      <w:r w:rsidR="00D44F4E">
        <w:rPr>
          <w:sz w:val="28"/>
          <w:szCs w:val="28"/>
        </w:rPr>
        <w:t xml:space="preserve">.  </w:t>
      </w:r>
      <w:r w:rsidR="00DC0B1A">
        <w:rPr>
          <w:sz w:val="28"/>
          <w:szCs w:val="28"/>
        </w:rPr>
        <w:t xml:space="preserve">Aside from the fact </w:t>
      </w:r>
      <w:r w:rsidR="00D17789">
        <w:rPr>
          <w:sz w:val="28"/>
          <w:szCs w:val="28"/>
        </w:rPr>
        <w:t>this procedure</w:t>
      </w:r>
      <w:r w:rsidR="00DC0B1A">
        <w:rPr>
          <w:sz w:val="28"/>
          <w:szCs w:val="28"/>
        </w:rPr>
        <w:t xml:space="preserve"> is unduly cumbersome and requires everyone, individually, to monitor all Bar expenditures and object to those directly applicable to </w:t>
      </w:r>
      <w:r w:rsidR="00D17789">
        <w:rPr>
          <w:sz w:val="28"/>
          <w:szCs w:val="28"/>
        </w:rPr>
        <w:t xml:space="preserve">lobbying </w:t>
      </w:r>
      <w:r w:rsidR="00DC0B1A">
        <w:rPr>
          <w:sz w:val="28"/>
          <w:szCs w:val="28"/>
        </w:rPr>
        <w:t xml:space="preserve">activities with which they do not agree, the long term viability of the rule is doubtful.  </w:t>
      </w:r>
      <w:r w:rsidR="00D17789">
        <w:rPr>
          <w:sz w:val="28"/>
          <w:szCs w:val="28"/>
        </w:rPr>
        <w:t xml:space="preserve">Since </w:t>
      </w:r>
      <w:r w:rsidR="00D17789" w:rsidRPr="00D17789">
        <w:rPr>
          <w:i/>
          <w:sz w:val="28"/>
          <w:szCs w:val="28"/>
        </w:rPr>
        <w:lastRenderedPageBreak/>
        <w:t>Keller</w:t>
      </w:r>
      <w:r w:rsidR="00D17789">
        <w:rPr>
          <w:sz w:val="28"/>
          <w:szCs w:val="28"/>
        </w:rPr>
        <w:t xml:space="preserve">, the </w:t>
      </w:r>
      <w:r w:rsidR="009743FA">
        <w:rPr>
          <w:sz w:val="28"/>
          <w:szCs w:val="28"/>
        </w:rPr>
        <w:t xml:space="preserve">United States </w:t>
      </w:r>
      <w:r w:rsidR="00C92A7C">
        <w:rPr>
          <w:sz w:val="28"/>
          <w:szCs w:val="28"/>
        </w:rPr>
        <w:t xml:space="preserve">Supreme Court has </w:t>
      </w:r>
      <w:r w:rsidR="00D17789">
        <w:rPr>
          <w:sz w:val="28"/>
          <w:szCs w:val="28"/>
        </w:rPr>
        <w:t>indirectly questioned such a rule.  “</w:t>
      </w:r>
      <w:r w:rsidR="00DC0B1A" w:rsidRPr="00C92A7C">
        <w:rPr>
          <w:sz w:val="28"/>
          <w:szCs w:val="28"/>
        </w:rPr>
        <w:t>By authorizing a union to collect fees from</w:t>
      </w:r>
      <w:r w:rsidR="00DC0B1A">
        <w:rPr>
          <w:sz w:val="28"/>
          <w:szCs w:val="28"/>
        </w:rPr>
        <w:t xml:space="preserve"> </w:t>
      </w:r>
      <w:r w:rsidR="00DC0B1A" w:rsidRPr="00C92A7C">
        <w:rPr>
          <w:sz w:val="28"/>
          <w:szCs w:val="28"/>
        </w:rPr>
        <w:t>nonmembers and permitting the use of an opt-out system for the collection of fees levied to cover nonchargeable expenses, our prior decisions approach, if they do not cross, the limit of what the First Amendment can tolerate.”</w:t>
      </w:r>
      <w:r w:rsidR="00C92A7C">
        <w:rPr>
          <w:sz w:val="28"/>
          <w:szCs w:val="28"/>
        </w:rPr>
        <w:t xml:space="preserve"> </w:t>
      </w:r>
      <w:r w:rsidR="00D17789">
        <w:rPr>
          <w:sz w:val="28"/>
          <w:szCs w:val="28"/>
        </w:rPr>
        <w:t xml:space="preserve"> </w:t>
      </w:r>
      <w:r w:rsidR="00A81058" w:rsidRPr="00A81058">
        <w:rPr>
          <w:i/>
          <w:sz w:val="28"/>
          <w:szCs w:val="28"/>
        </w:rPr>
        <w:t>Knox v. Serv. Employees Int'l</w:t>
      </w:r>
      <w:r w:rsidR="00A81058">
        <w:rPr>
          <w:i/>
          <w:sz w:val="28"/>
          <w:szCs w:val="28"/>
        </w:rPr>
        <w:t>.</w:t>
      </w:r>
      <w:r w:rsidR="00A81058" w:rsidRPr="00A81058">
        <w:rPr>
          <w:i/>
          <w:sz w:val="28"/>
          <w:szCs w:val="28"/>
        </w:rPr>
        <w:t xml:space="preserve"> Union, Local 1000,</w:t>
      </w:r>
      <w:r w:rsidR="00A81058" w:rsidRPr="00A81058">
        <w:rPr>
          <w:sz w:val="28"/>
          <w:szCs w:val="28"/>
        </w:rPr>
        <w:t xml:space="preserve"> 132 S. Ct. 2277, </w:t>
      </w:r>
      <w:r w:rsidR="00C92A7C" w:rsidRPr="00C92A7C">
        <w:rPr>
          <w:sz w:val="28"/>
          <w:szCs w:val="28"/>
        </w:rPr>
        <w:t>2291</w:t>
      </w:r>
      <w:r w:rsidR="00A81058">
        <w:rPr>
          <w:sz w:val="28"/>
          <w:szCs w:val="28"/>
        </w:rPr>
        <w:t xml:space="preserve"> (2012)</w:t>
      </w:r>
      <w:r w:rsidR="00C92A7C" w:rsidRPr="00C92A7C">
        <w:rPr>
          <w:sz w:val="28"/>
          <w:szCs w:val="28"/>
        </w:rPr>
        <w:t>.</w:t>
      </w:r>
      <w:r w:rsidR="0016788C">
        <w:rPr>
          <w:sz w:val="28"/>
          <w:szCs w:val="28"/>
        </w:rPr>
        <w:t xml:space="preserve">  </w:t>
      </w:r>
      <w:r w:rsidR="00D44F4E">
        <w:rPr>
          <w:sz w:val="28"/>
          <w:szCs w:val="28"/>
        </w:rPr>
        <w:t>“</w:t>
      </w:r>
      <w:r w:rsidR="00D44F4E" w:rsidRPr="00D44F4E">
        <w:rPr>
          <w:sz w:val="28"/>
          <w:szCs w:val="28"/>
        </w:rPr>
        <w:t xml:space="preserve">As we have recognized, </w:t>
      </w:r>
      <w:r w:rsidR="00D44F4E">
        <w:rPr>
          <w:sz w:val="28"/>
          <w:szCs w:val="28"/>
        </w:rPr>
        <w:t xml:space="preserve">the First Amendment </w:t>
      </w:r>
      <w:r w:rsidR="00D44F4E" w:rsidRPr="00D44F4E">
        <w:rPr>
          <w:sz w:val="28"/>
          <w:szCs w:val="28"/>
        </w:rPr>
        <w:t>does not permit a union to extract a loan from unwilling nonmembers even if the money is later paid back in full.</w:t>
      </w:r>
      <w:r w:rsidR="00D44F4E">
        <w:rPr>
          <w:sz w:val="28"/>
          <w:szCs w:val="28"/>
        </w:rPr>
        <w:t xml:space="preserve">”  </w:t>
      </w:r>
      <w:r w:rsidR="00D44F4E" w:rsidRPr="00D44F4E">
        <w:rPr>
          <w:i/>
          <w:sz w:val="28"/>
          <w:szCs w:val="28"/>
        </w:rPr>
        <w:t>Id</w:t>
      </w:r>
      <w:r w:rsidR="00D44F4E">
        <w:rPr>
          <w:sz w:val="28"/>
          <w:szCs w:val="28"/>
        </w:rPr>
        <w:t xml:space="preserve">., </w:t>
      </w:r>
      <w:r w:rsidR="00D44F4E" w:rsidRPr="00A81058">
        <w:rPr>
          <w:sz w:val="28"/>
          <w:szCs w:val="28"/>
        </w:rPr>
        <w:t xml:space="preserve">132 S. Ct. </w:t>
      </w:r>
      <w:r w:rsidR="00D44F4E">
        <w:rPr>
          <w:sz w:val="28"/>
          <w:szCs w:val="28"/>
        </w:rPr>
        <w:t xml:space="preserve">at 2292-93 (citing </w:t>
      </w:r>
      <w:r w:rsidR="00D44F4E" w:rsidRPr="00D44F4E">
        <w:rPr>
          <w:i/>
          <w:sz w:val="28"/>
          <w:szCs w:val="28"/>
        </w:rPr>
        <w:t>Chicago Teachers Union, Local No. 1, AFT, AFL-CIO v. Hudson</w:t>
      </w:r>
      <w:r w:rsidR="00D44F4E" w:rsidRPr="00D44F4E">
        <w:rPr>
          <w:sz w:val="28"/>
          <w:szCs w:val="28"/>
        </w:rPr>
        <w:t>, 475 U.S. 292 (1986)</w:t>
      </w:r>
      <w:r w:rsidR="00D44F4E">
        <w:rPr>
          <w:sz w:val="28"/>
          <w:szCs w:val="28"/>
        </w:rPr>
        <w:t xml:space="preserve"> and </w:t>
      </w:r>
      <w:r w:rsidR="00D44F4E" w:rsidRPr="00D44F4E">
        <w:rPr>
          <w:i/>
          <w:sz w:val="28"/>
          <w:szCs w:val="28"/>
        </w:rPr>
        <w:t>Ellis v. Bhd. of Ry., Airline &amp; S.S. Clerks, Freight Handlers, Exp. &amp; Station Employees</w:t>
      </w:r>
      <w:r w:rsidR="00D44F4E" w:rsidRPr="00D44F4E">
        <w:rPr>
          <w:sz w:val="28"/>
          <w:szCs w:val="28"/>
        </w:rPr>
        <w:t>, 466 U.S. 435 (1984)</w:t>
      </w:r>
      <w:r w:rsidR="00D44F4E">
        <w:rPr>
          <w:sz w:val="28"/>
          <w:szCs w:val="28"/>
        </w:rPr>
        <w:t>).</w:t>
      </w:r>
      <w:r w:rsidR="00D44F4E" w:rsidRPr="00D44F4E">
        <w:rPr>
          <w:sz w:val="28"/>
          <w:szCs w:val="28"/>
        </w:rPr>
        <w:t xml:space="preserve"> </w:t>
      </w:r>
    </w:p>
    <w:p w14:paraId="65A97597" w14:textId="523E2050" w:rsidR="00A81058" w:rsidRPr="00A81058" w:rsidRDefault="00D44F4E" w:rsidP="00221BA8">
      <w:pPr>
        <w:pStyle w:val="StyleDBodyFLIndentLeft-013Firstline0"/>
        <w:spacing w:line="480" w:lineRule="auto"/>
        <w:ind w:left="0" w:firstLine="720"/>
        <w:jc w:val="left"/>
        <w:rPr>
          <w:sz w:val="28"/>
          <w:szCs w:val="28"/>
        </w:rPr>
      </w:pPr>
      <w:r>
        <w:rPr>
          <w:sz w:val="28"/>
          <w:szCs w:val="28"/>
        </w:rPr>
        <w:t>As the Supreme</w:t>
      </w:r>
      <w:r w:rsidR="00A81058">
        <w:rPr>
          <w:sz w:val="28"/>
          <w:szCs w:val="28"/>
        </w:rPr>
        <w:t xml:space="preserve"> Court stated:  “[W]</w:t>
      </w:r>
      <w:r w:rsidR="00A81058" w:rsidRPr="00A81058">
        <w:rPr>
          <w:sz w:val="28"/>
          <w:szCs w:val="28"/>
        </w:rPr>
        <w:t>hat is the justification for putting the burden on the nonmember to opt out of making such a payment?</w:t>
      </w:r>
      <w:r w:rsidR="00A81058">
        <w:rPr>
          <w:sz w:val="28"/>
          <w:szCs w:val="28"/>
        </w:rPr>
        <w:t xml:space="preserve"> . . . </w:t>
      </w:r>
      <w:r w:rsidR="00A81058" w:rsidRPr="00A81058">
        <w:rPr>
          <w:sz w:val="28"/>
          <w:szCs w:val="28"/>
        </w:rPr>
        <w:t>An opt-out system creates a risk that the fees paid by nonmembers will be used to further political and ideological ends with which they do not agree</w:t>
      </w:r>
      <w:r w:rsidR="00A81058">
        <w:rPr>
          <w:sz w:val="28"/>
          <w:szCs w:val="28"/>
        </w:rPr>
        <w:t xml:space="preserve">.”  </w:t>
      </w:r>
      <w:r w:rsidR="00221BA8" w:rsidRPr="00221BA8">
        <w:rPr>
          <w:i/>
          <w:sz w:val="28"/>
          <w:szCs w:val="28"/>
        </w:rPr>
        <w:t>Knox</w:t>
      </w:r>
      <w:r w:rsidR="00221BA8">
        <w:rPr>
          <w:sz w:val="28"/>
          <w:szCs w:val="28"/>
        </w:rPr>
        <w:t xml:space="preserve">, </w:t>
      </w:r>
      <w:r w:rsidR="00A81058" w:rsidRPr="00A81058">
        <w:rPr>
          <w:sz w:val="28"/>
          <w:szCs w:val="28"/>
        </w:rPr>
        <w:t xml:space="preserve">132 S. Ct. </w:t>
      </w:r>
      <w:r w:rsidR="00A81058">
        <w:rPr>
          <w:sz w:val="28"/>
          <w:szCs w:val="28"/>
        </w:rPr>
        <w:t>at</w:t>
      </w:r>
      <w:r w:rsidR="00A81058" w:rsidRPr="00A81058">
        <w:rPr>
          <w:sz w:val="28"/>
          <w:szCs w:val="28"/>
        </w:rPr>
        <w:t xml:space="preserve"> 2290</w:t>
      </w:r>
      <w:r w:rsidR="00A81058">
        <w:rPr>
          <w:sz w:val="28"/>
          <w:szCs w:val="28"/>
        </w:rPr>
        <w:t>.  “</w:t>
      </w:r>
      <w:r w:rsidR="00A81058" w:rsidRPr="00A81058">
        <w:rPr>
          <w:sz w:val="28"/>
          <w:szCs w:val="28"/>
        </w:rPr>
        <w:t>Indeed, acceptance of the opt-out approach appears to have come about more as a historical accident than through the careful application of First Amendment principles.</w:t>
      </w:r>
      <w:r w:rsidR="00A81058">
        <w:rPr>
          <w:sz w:val="28"/>
          <w:szCs w:val="28"/>
        </w:rPr>
        <w:t xml:space="preserve">”  </w:t>
      </w:r>
      <w:r w:rsidR="00A81058" w:rsidRPr="00A81058">
        <w:rPr>
          <w:i/>
          <w:sz w:val="28"/>
          <w:szCs w:val="28"/>
        </w:rPr>
        <w:t>Id</w:t>
      </w:r>
      <w:r w:rsidR="00A81058">
        <w:rPr>
          <w:sz w:val="28"/>
          <w:szCs w:val="28"/>
        </w:rPr>
        <w:t xml:space="preserve">.  </w:t>
      </w:r>
    </w:p>
    <w:p w14:paraId="0BB1B070" w14:textId="77777777" w:rsidR="00271C43" w:rsidRDefault="00C92A7C" w:rsidP="00221BA8">
      <w:pPr>
        <w:pStyle w:val="StyleDBodyFLIndentLeft-013Firstline0"/>
        <w:spacing w:line="480" w:lineRule="auto"/>
        <w:ind w:left="0" w:firstLine="720"/>
        <w:jc w:val="left"/>
        <w:rPr>
          <w:sz w:val="28"/>
          <w:szCs w:val="28"/>
        </w:rPr>
      </w:pPr>
      <w:r>
        <w:rPr>
          <w:sz w:val="28"/>
          <w:szCs w:val="28"/>
        </w:rPr>
        <w:t xml:space="preserve">The Goldwater Institute has argued that </w:t>
      </w:r>
    </w:p>
    <w:p w14:paraId="5796C9A8" w14:textId="56D65B67" w:rsidR="00271C43" w:rsidRDefault="00271C43" w:rsidP="00271C43">
      <w:pPr>
        <w:pStyle w:val="StyleDBodyFLIndentLeft-013Firstline0"/>
        <w:spacing w:line="240" w:lineRule="auto"/>
        <w:ind w:left="1440" w:right="1440" w:firstLine="0"/>
        <w:jc w:val="left"/>
        <w:rPr>
          <w:sz w:val="28"/>
          <w:szCs w:val="28"/>
        </w:rPr>
      </w:pPr>
      <w:r>
        <w:rPr>
          <w:sz w:val="28"/>
          <w:szCs w:val="28"/>
        </w:rPr>
        <w:t>F</w:t>
      </w:r>
      <w:r w:rsidR="00221BA8" w:rsidRPr="00221BA8">
        <w:rPr>
          <w:sz w:val="28"/>
          <w:szCs w:val="28"/>
        </w:rPr>
        <w:t xml:space="preserve">orcing attorneys to join the State Bar violates the rights of free speech and freedom of association guaranteed by </w:t>
      </w:r>
      <w:r w:rsidR="00221BA8" w:rsidRPr="00221BA8">
        <w:rPr>
          <w:sz w:val="28"/>
          <w:szCs w:val="28"/>
        </w:rPr>
        <w:lastRenderedPageBreak/>
        <w:t xml:space="preserve">the United States and Arizona Constitutions. </w:t>
      </w:r>
      <w:r w:rsidR="00221BA8">
        <w:rPr>
          <w:sz w:val="28"/>
          <w:szCs w:val="28"/>
        </w:rPr>
        <w:t xml:space="preserve">. . . </w:t>
      </w:r>
      <w:r w:rsidR="00221BA8" w:rsidRPr="00221BA8">
        <w:rPr>
          <w:sz w:val="28"/>
          <w:szCs w:val="28"/>
        </w:rPr>
        <w:t xml:space="preserve">The U.S. Supreme Court noted three years ago that the mandatory dues that the State Bar now imposes are a form of </w:t>
      </w:r>
      <w:r w:rsidR="00221BA8">
        <w:rPr>
          <w:sz w:val="28"/>
          <w:szCs w:val="28"/>
        </w:rPr>
        <w:t>‘</w:t>
      </w:r>
      <w:r w:rsidR="00221BA8" w:rsidRPr="00221BA8">
        <w:rPr>
          <w:sz w:val="28"/>
          <w:szCs w:val="28"/>
        </w:rPr>
        <w:t xml:space="preserve">compelled speech and association that imposes a </w:t>
      </w:r>
      <w:r>
        <w:rPr>
          <w:sz w:val="28"/>
          <w:szCs w:val="28"/>
        </w:rPr>
        <w:t>“</w:t>
      </w:r>
      <w:r w:rsidR="00221BA8" w:rsidRPr="00221BA8">
        <w:rPr>
          <w:sz w:val="28"/>
          <w:szCs w:val="28"/>
        </w:rPr>
        <w:t>significant impingement on First Amendment rights.</w:t>
      </w:r>
      <w:r>
        <w:rPr>
          <w:sz w:val="28"/>
          <w:szCs w:val="28"/>
        </w:rPr>
        <w:t>”</w:t>
      </w:r>
      <w:r w:rsidR="00221BA8">
        <w:rPr>
          <w:sz w:val="28"/>
          <w:szCs w:val="28"/>
        </w:rPr>
        <w:t xml:space="preserve"> </w:t>
      </w:r>
      <w:r w:rsidR="00221BA8" w:rsidRPr="00221BA8">
        <w:rPr>
          <w:sz w:val="28"/>
          <w:szCs w:val="28"/>
        </w:rPr>
        <w:t xml:space="preserve"> Such a burden can only be justified when it’s necessary for regulating lawyers. </w:t>
      </w:r>
      <w:r w:rsidR="00221BA8">
        <w:rPr>
          <w:sz w:val="28"/>
          <w:szCs w:val="28"/>
        </w:rPr>
        <w:t xml:space="preserve"> </w:t>
      </w:r>
      <w:r w:rsidR="00221BA8" w:rsidRPr="00221BA8">
        <w:rPr>
          <w:sz w:val="28"/>
          <w:szCs w:val="28"/>
        </w:rPr>
        <w:t>But it isn’t.</w:t>
      </w:r>
    </w:p>
    <w:p w14:paraId="51FE0354" w14:textId="7C6D5068" w:rsidR="00C92A7C" w:rsidRDefault="00221BA8" w:rsidP="00271C43">
      <w:pPr>
        <w:pStyle w:val="StyleDBodyFLIndentLeft-013Firstline0"/>
        <w:spacing w:before="240" w:line="480" w:lineRule="auto"/>
        <w:ind w:left="0" w:firstLine="0"/>
        <w:jc w:val="left"/>
        <w:rPr>
          <w:sz w:val="28"/>
          <w:szCs w:val="28"/>
        </w:rPr>
      </w:pPr>
      <w:r w:rsidRPr="00221BA8">
        <w:rPr>
          <w:i/>
          <w:sz w:val="28"/>
          <w:szCs w:val="28"/>
        </w:rPr>
        <w:t>See</w:t>
      </w:r>
      <w:r>
        <w:rPr>
          <w:sz w:val="28"/>
          <w:szCs w:val="28"/>
        </w:rPr>
        <w:t xml:space="preserve"> </w:t>
      </w:r>
      <w:r w:rsidRPr="00221BA8">
        <w:rPr>
          <w:sz w:val="28"/>
          <w:szCs w:val="28"/>
        </w:rPr>
        <w:t xml:space="preserve">Arizona Lawyers Shouldn't Be Misled: </w:t>
      </w:r>
      <w:r>
        <w:rPr>
          <w:sz w:val="28"/>
          <w:szCs w:val="28"/>
        </w:rPr>
        <w:t xml:space="preserve"> </w:t>
      </w:r>
      <w:r w:rsidRPr="00221BA8">
        <w:rPr>
          <w:sz w:val="28"/>
          <w:szCs w:val="28"/>
        </w:rPr>
        <w:t>They Have Constitutional Rights, Too</w:t>
      </w:r>
      <w:r>
        <w:rPr>
          <w:sz w:val="28"/>
          <w:szCs w:val="28"/>
        </w:rPr>
        <w:t xml:space="preserve">, </w:t>
      </w:r>
      <w:hyperlink r:id="rId12" w:history="1">
        <w:r w:rsidR="00271C43" w:rsidRPr="00271C43">
          <w:rPr>
            <w:rStyle w:val="Hyperlink"/>
          </w:rPr>
          <w:t>http://goldwaterinstitute.org/en/work/topics/constitutional-rights/government-preferences/arizona-lawyers-shouldnt-be-misled-they-have-const/</w:t>
        </w:r>
      </w:hyperlink>
      <w:r>
        <w:rPr>
          <w:sz w:val="28"/>
          <w:szCs w:val="28"/>
        </w:rPr>
        <w:t xml:space="preserve">, (last visited January 9, 2017), a copy of which </w:t>
      </w:r>
      <w:r w:rsidR="00271C43">
        <w:rPr>
          <w:sz w:val="28"/>
          <w:szCs w:val="28"/>
        </w:rPr>
        <w:t xml:space="preserve">is included in the Appendix at pages </w:t>
      </w:r>
      <w:r w:rsidR="00F25647">
        <w:rPr>
          <w:sz w:val="28"/>
          <w:szCs w:val="28"/>
        </w:rPr>
        <w:t>46-47</w:t>
      </w:r>
      <w:r w:rsidR="00271C43">
        <w:rPr>
          <w:sz w:val="28"/>
          <w:szCs w:val="28"/>
        </w:rPr>
        <w:t xml:space="preserve">.  </w:t>
      </w:r>
    </w:p>
    <w:p w14:paraId="78DCBFBB" w14:textId="4660A920" w:rsidR="00A22F7D" w:rsidRDefault="00616EDA" w:rsidP="00271C43">
      <w:pPr>
        <w:pStyle w:val="StyleDBodyFLIndentLeft-013Firstline0"/>
        <w:spacing w:line="480" w:lineRule="auto"/>
        <w:ind w:left="0" w:firstLine="720"/>
        <w:jc w:val="left"/>
        <w:rPr>
          <w:sz w:val="28"/>
          <w:szCs w:val="28"/>
        </w:rPr>
      </w:pPr>
      <w:r>
        <w:rPr>
          <w:sz w:val="28"/>
          <w:szCs w:val="28"/>
        </w:rPr>
        <w:t xml:space="preserve">But this Court need not resolve this dispute here. </w:t>
      </w:r>
      <w:r w:rsidR="00B5134E">
        <w:rPr>
          <w:sz w:val="28"/>
          <w:szCs w:val="28"/>
        </w:rPr>
        <w:t xml:space="preserve"> </w:t>
      </w:r>
      <w:r>
        <w:rPr>
          <w:sz w:val="28"/>
          <w:szCs w:val="28"/>
        </w:rPr>
        <w:t xml:space="preserve">In fact, it can avoid the dispute altogether by granting this </w:t>
      </w:r>
      <w:r w:rsidR="00B5134E">
        <w:rPr>
          <w:sz w:val="28"/>
          <w:szCs w:val="28"/>
        </w:rPr>
        <w:t>P</w:t>
      </w:r>
      <w:r>
        <w:rPr>
          <w:sz w:val="28"/>
          <w:szCs w:val="28"/>
        </w:rPr>
        <w:t>etition</w:t>
      </w:r>
      <w:r w:rsidR="00271C43">
        <w:rPr>
          <w:sz w:val="28"/>
          <w:szCs w:val="28"/>
        </w:rPr>
        <w:t>, which</w:t>
      </w:r>
      <w:r w:rsidR="00A22F7D">
        <w:rPr>
          <w:sz w:val="28"/>
          <w:szCs w:val="28"/>
        </w:rPr>
        <w:t xml:space="preserve"> </w:t>
      </w:r>
      <w:r w:rsidR="00A22F7D" w:rsidRPr="00136DC6">
        <w:rPr>
          <w:sz w:val="28"/>
          <w:szCs w:val="28"/>
        </w:rPr>
        <w:t xml:space="preserve">does not challenge the constitutionality of mandatory </w:t>
      </w:r>
      <w:r w:rsidR="00A22F7D">
        <w:rPr>
          <w:sz w:val="28"/>
          <w:szCs w:val="28"/>
        </w:rPr>
        <w:t>bar a</w:t>
      </w:r>
      <w:r w:rsidR="00A22F7D" w:rsidRPr="00136DC6">
        <w:rPr>
          <w:sz w:val="28"/>
          <w:szCs w:val="28"/>
        </w:rPr>
        <w:t>ssociations.</w:t>
      </w:r>
      <w:r w:rsidR="00A22F7D">
        <w:rPr>
          <w:sz w:val="28"/>
          <w:szCs w:val="28"/>
        </w:rPr>
        <w:t xml:space="preserve">  </w:t>
      </w:r>
      <w:r w:rsidR="00A22F7D" w:rsidRPr="00A26F10">
        <w:rPr>
          <w:sz w:val="28"/>
          <w:szCs w:val="28"/>
        </w:rPr>
        <w:t xml:space="preserve">Instead, this </w:t>
      </w:r>
      <w:r w:rsidR="00A22F7D">
        <w:rPr>
          <w:sz w:val="28"/>
          <w:szCs w:val="28"/>
        </w:rPr>
        <w:t>P</w:t>
      </w:r>
      <w:r w:rsidR="00A22F7D" w:rsidRPr="00A26F10">
        <w:rPr>
          <w:sz w:val="28"/>
          <w:szCs w:val="28"/>
        </w:rPr>
        <w:t xml:space="preserve">etition proposes a system that will avoid litigation in Arizona over the proper role of the State Bar by clearly limiting its </w:t>
      </w:r>
      <w:r w:rsidR="00A22F7D">
        <w:rPr>
          <w:sz w:val="28"/>
          <w:szCs w:val="28"/>
        </w:rPr>
        <w:t xml:space="preserve">mandatory </w:t>
      </w:r>
      <w:r w:rsidR="00A22F7D" w:rsidRPr="00A26F10">
        <w:rPr>
          <w:sz w:val="28"/>
          <w:szCs w:val="28"/>
        </w:rPr>
        <w:t>function to regulation of the legal profession</w:t>
      </w:r>
      <w:r w:rsidR="00A22F7D">
        <w:rPr>
          <w:sz w:val="28"/>
          <w:szCs w:val="28"/>
        </w:rPr>
        <w:t xml:space="preserve"> and leaving to </w:t>
      </w:r>
      <w:r w:rsidR="00B5134E">
        <w:rPr>
          <w:sz w:val="28"/>
          <w:szCs w:val="28"/>
        </w:rPr>
        <w:t>the Bar’s</w:t>
      </w:r>
      <w:r w:rsidR="00A22F7D">
        <w:rPr>
          <w:sz w:val="28"/>
          <w:szCs w:val="28"/>
        </w:rPr>
        <w:t xml:space="preserve"> discretion the ability to offer any other services on a voluntary basis</w:t>
      </w:r>
      <w:r w:rsidR="00A22F7D" w:rsidRPr="00A26F10">
        <w:rPr>
          <w:sz w:val="28"/>
          <w:szCs w:val="28"/>
        </w:rPr>
        <w:t>.</w:t>
      </w:r>
    </w:p>
    <w:p w14:paraId="5BAEC0A6" w14:textId="139CFF6C" w:rsidR="00867635" w:rsidRDefault="00B5134E" w:rsidP="00A22F7D">
      <w:pPr>
        <w:pStyle w:val="StyleDBodyFLIndentLeft-013Firstline0"/>
        <w:spacing w:line="480" w:lineRule="auto"/>
        <w:ind w:left="0" w:firstLine="720"/>
        <w:jc w:val="left"/>
        <w:rPr>
          <w:sz w:val="28"/>
          <w:szCs w:val="28"/>
        </w:rPr>
      </w:pPr>
      <w:r>
        <w:rPr>
          <w:sz w:val="28"/>
          <w:szCs w:val="28"/>
        </w:rPr>
        <w:t>Faced with similarly diverse opinions and a “parade of horrors” predicted by both sides,</w:t>
      </w:r>
      <w:r w:rsidR="00D91C83" w:rsidRPr="00D91C83">
        <w:rPr>
          <w:sz w:val="28"/>
          <w:szCs w:val="28"/>
        </w:rPr>
        <w:t xml:space="preserve"> the Nebraska Supreme Court </w:t>
      </w:r>
      <w:r>
        <w:rPr>
          <w:sz w:val="28"/>
          <w:szCs w:val="28"/>
        </w:rPr>
        <w:t>stated:</w:t>
      </w:r>
    </w:p>
    <w:p w14:paraId="49FD406A" w14:textId="1504724A" w:rsidR="00B5134E" w:rsidRDefault="00B5134E" w:rsidP="00E40500">
      <w:pPr>
        <w:pStyle w:val="StyleDBodyFLIndentLeft-013Firstline0"/>
        <w:spacing w:line="240" w:lineRule="auto"/>
        <w:ind w:left="1440" w:right="1440" w:firstLine="0"/>
        <w:jc w:val="left"/>
        <w:rPr>
          <w:sz w:val="28"/>
          <w:szCs w:val="28"/>
        </w:rPr>
      </w:pPr>
      <w:r>
        <w:rPr>
          <w:sz w:val="28"/>
          <w:szCs w:val="28"/>
        </w:rPr>
        <w:t>[W]</w:t>
      </w:r>
      <w:r w:rsidRPr="00B5134E">
        <w:rPr>
          <w:sz w:val="28"/>
          <w:szCs w:val="28"/>
        </w:rPr>
        <w:t xml:space="preserve">e need not today decide the precise boundaries of First Amendment compelled-speech jurisprudence in 2013. </w:t>
      </w:r>
      <w:r>
        <w:rPr>
          <w:sz w:val="28"/>
          <w:szCs w:val="28"/>
        </w:rPr>
        <w:t xml:space="preserve"> </w:t>
      </w:r>
      <w:r w:rsidRPr="00B5134E">
        <w:rPr>
          <w:sz w:val="28"/>
          <w:szCs w:val="28"/>
        </w:rPr>
        <w:t xml:space="preserve">The nature of the proceeding before this court, i.e., a petition for a rule change under the court’s inherent authority, does not require us to resolve a case or controversy between two parties as would a proceeding </w:t>
      </w:r>
      <w:r w:rsidRPr="00B5134E">
        <w:rPr>
          <w:sz w:val="28"/>
          <w:szCs w:val="28"/>
        </w:rPr>
        <w:lastRenderedPageBreak/>
        <w:t xml:space="preserve">under this court’s appellate or original action jurisdiction. </w:t>
      </w:r>
      <w:r>
        <w:rPr>
          <w:sz w:val="28"/>
          <w:szCs w:val="28"/>
        </w:rPr>
        <w:t xml:space="preserve"> </w:t>
      </w:r>
      <w:r w:rsidRPr="00B5134E">
        <w:rPr>
          <w:sz w:val="28"/>
          <w:szCs w:val="28"/>
        </w:rPr>
        <w:t xml:space="preserve">The present petition requires this </w:t>
      </w:r>
      <w:r>
        <w:rPr>
          <w:sz w:val="28"/>
          <w:szCs w:val="28"/>
        </w:rPr>
        <w:t xml:space="preserve"> </w:t>
      </w:r>
      <w:r w:rsidRPr="00B5134E">
        <w:rPr>
          <w:sz w:val="28"/>
          <w:szCs w:val="28"/>
        </w:rPr>
        <w:t xml:space="preserve"> court to assess the future and the structure of the mandatory bar in Nebraska at an administrative level and determine, based on trends in the law since 1937, how to best meet the needs of the judicial system, Nebraska attorneys, and the citizens of this state.</w:t>
      </w:r>
    </w:p>
    <w:p w14:paraId="66A141D8" w14:textId="0C49AF7C" w:rsidR="00B5134E" w:rsidRDefault="00E40500" w:rsidP="00E40500">
      <w:pPr>
        <w:pStyle w:val="StyleDBodyFLIndentLeft-013Firstline0"/>
        <w:spacing w:before="240" w:line="480" w:lineRule="auto"/>
        <w:ind w:left="0" w:firstLine="0"/>
        <w:jc w:val="left"/>
        <w:rPr>
          <w:sz w:val="28"/>
          <w:szCs w:val="28"/>
        </w:rPr>
      </w:pPr>
      <w:r w:rsidRPr="00E40500">
        <w:rPr>
          <w:i/>
          <w:sz w:val="28"/>
          <w:szCs w:val="28"/>
        </w:rPr>
        <w:t>Voluntary State Bar of Nebraska</w:t>
      </w:r>
      <w:r w:rsidRPr="00E40500">
        <w:rPr>
          <w:sz w:val="28"/>
          <w:szCs w:val="28"/>
        </w:rPr>
        <w:t>, 286 Neb. at 103</w:t>
      </w:r>
      <w:r>
        <w:rPr>
          <w:sz w:val="28"/>
          <w:szCs w:val="28"/>
        </w:rPr>
        <w:t>4</w:t>
      </w:r>
      <w:r w:rsidRPr="00E40500">
        <w:rPr>
          <w:sz w:val="28"/>
          <w:szCs w:val="28"/>
        </w:rPr>
        <w:t>, 841 N.W.2d at 17</w:t>
      </w:r>
      <w:r>
        <w:rPr>
          <w:sz w:val="28"/>
          <w:szCs w:val="28"/>
        </w:rPr>
        <w:t>7-78</w:t>
      </w:r>
      <w:r w:rsidRPr="00E40500">
        <w:rPr>
          <w:sz w:val="28"/>
          <w:szCs w:val="28"/>
        </w:rPr>
        <w:t>.</w:t>
      </w:r>
      <w:r>
        <w:rPr>
          <w:sz w:val="28"/>
          <w:szCs w:val="28"/>
        </w:rPr>
        <w:t xml:space="preserve">  </w:t>
      </w:r>
    </w:p>
    <w:p w14:paraId="6769F27C" w14:textId="1342799C" w:rsidR="00E40500" w:rsidRDefault="00E40500" w:rsidP="00A22F7D">
      <w:pPr>
        <w:pStyle w:val="StyleDBodyFLIndentLeft-013Firstline0"/>
        <w:spacing w:line="480" w:lineRule="auto"/>
        <w:ind w:left="0" w:firstLine="720"/>
        <w:jc w:val="left"/>
        <w:rPr>
          <w:sz w:val="28"/>
          <w:szCs w:val="28"/>
        </w:rPr>
      </w:pPr>
      <w:r>
        <w:rPr>
          <w:sz w:val="28"/>
          <w:szCs w:val="28"/>
        </w:rPr>
        <w:t>The court found compromise under a rule change similar to that proposed by this Petition.  “</w:t>
      </w:r>
      <w:r w:rsidRPr="00E40500">
        <w:rPr>
          <w:sz w:val="28"/>
          <w:szCs w:val="28"/>
        </w:rPr>
        <w:t>And by drawing the line in this way, we will clearly avoid the morass of continuing litigation experienced in other jurisdictions.</w:t>
      </w:r>
      <w:r>
        <w:rPr>
          <w:sz w:val="28"/>
          <w:szCs w:val="28"/>
        </w:rPr>
        <w:t xml:space="preserve">”  </w:t>
      </w:r>
      <w:r w:rsidRPr="00E40500">
        <w:rPr>
          <w:i/>
          <w:sz w:val="28"/>
          <w:szCs w:val="28"/>
        </w:rPr>
        <w:t>Id.</w:t>
      </w:r>
      <w:r>
        <w:rPr>
          <w:sz w:val="28"/>
          <w:szCs w:val="28"/>
        </w:rPr>
        <w:t xml:space="preserve">, </w:t>
      </w:r>
      <w:r w:rsidRPr="00E40500">
        <w:rPr>
          <w:sz w:val="28"/>
          <w:szCs w:val="28"/>
        </w:rPr>
        <w:t>286 Neb. at 103</w:t>
      </w:r>
      <w:r>
        <w:rPr>
          <w:sz w:val="28"/>
          <w:szCs w:val="28"/>
        </w:rPr>
        <w:t>7</w:t>
      </w:r>
      <w:r w:rsidRPr="00E40500">
        <w:rPr>
          <w:sz w:val="28"/>
          <w:szCs w:val="28"/>
        </w:rPr>
        <w:t>, 841 N.W.2d at 17</w:t>
      </w:r>
      <w:r>
        <w:rPr>
          <w:sz w:val="28"/>
          <w:szCs w:val="28"/>
        </w:rPr>
        <w:t>9.  Similar changes accomplished by Petitioner’s proposed amendments to Rule 32 should accomplish the same objectives in Arizona.</w:t>
      </w:r>
    </w:p>
    <w:p w14:paraId="5A217559" w14:textId="77777777" w:rsidR="004A54C5" w:rsidRPr="00A80A95" w:rsidRDefault="004A54C5" w:rsidP="00A80A95">
      <w:pPr>
        <w:pStyle w:val="StyleDBodyFLIndentLeft-013Firstline0"/>
        <w:numPr>
          <w:ilvl w:val="0"/>
          <w:numId w:val="22"/>
        </w:numPr>
        <w:spacing w:line="480" w:lineRule="auto"/>
        <w:ind w:left="0" w:firstLine="0"/>
        <w:jc w:val="left"/>
        <w:rPr>
          <w:b/>
          <w:sz w:val="28"/>
          <w:szCs w:val="28"/>
        </w:rPr>
      </w:pPr>
      <w:r w:rsidRPr="00A80A95">
        <w:rPr>
          <w:b/>
          <w:sz w:val="28"/>
          <w:szCs w:val="28"/>
        </w:rPr>
        <w:t>Contents of the Proposed Rule Amendment</w:t>
      </w:r>
      <w:r w:rsidR="00624C5D" w:rsidRPr="00A80A95">
        <w:rPr>
          <w:b/>
          <w:sz w:val="28"/>
          <w:szCs w:val="28"/>
        </w:rPr>
        <w:t>s</w:t>
      </w:r>
    </w:p>
    <w:p w14:paraId="509FB764" w14:textId="08B2AAB5" w:rsidR="00867635" w:rsidRDefault="00915082" w:rsidP="00915082">
      <w:pPr>
        <w:pStyle w:val="StyleDBodyFLIndentLeft-013Firstline0"/>
        <w:spacing w:line="480" w:lineRule="auto"/>
        <w:ind w:left="0" w:firstLine="720"/>
        <w:jc w:val="left"/>
        <w:rPr>
          <w:sz w:val="28"/>
          <w:szCs w:val="28"/>
        </w:rPr>
      </w:pPr>
      <w:bookmarkStart w:id="7" w:name="ResDated"/>
      <w:r>
        <w:rPr>
          <w:sz w:val="28"/>
          <w:szCs w:val="28"/>
        </w:rPr>
        <w:t xml:space="preserve">As previously stated herein, the proposed amendments in the text of </w:t>
      </w:r>
      <w:r w:rsidRPr="005137C1">
        <w:rPr>
          <w:sz w:val="28"/>
          <w:szCs w:val="28"/>
        </w:rPr>
        <w:t>Rule 32 are minor.</w:t>
      </w:r>
      <w:r>
        <w:rPr>
          <w:sz w:val="28"/>
          <w:szCs w:val="28"/>
        </w:rPr>
        <w:t xml:space="preserve">  The subsections to which amendments are proposed are set forth here in redline form.  A redlined draft of all of amended Rule 32, as proposed herein, is included in the Appendix at pages 1-</w:t>
      </w:r>
      <w:r w:rsidR="00E40500">
        <w:rPr>
          <w:sz w:val="28"/>
          <w:szCs w:val="28"/>
        </w:rPr>
        <w:t>21</w:t>
      </w:r>
      <w:r>
        <w:rPr>
          <w:sz w:val="28"/>
          <w:szCs w:val="28"/>
        </w:rPr>
        <w:t xml:space="preserve">.  A clean draft of all of amended Rule 32, as proposed herein, is included in the Appendix at pages </w:t>
      </w:r>
      <w:r w:rsidR="00E40500">
        <w:rPr>
          <w:sz w:val="28"/>
          <w:szCs w:val="28"/>
        </w:rPr>
        <w:t>22</w:t>
      </w:r>
      <w:r>
        <w:rPr>
          <w:sz w:val="28"/>
          <w:szCs w:val="28"/>
        </w:rPr>
        <w:t>-</w:t>
      </w:r>
      <w:r w:rsidR="00E40500">
        <w:rPr>
          <w:sz w:val="28"/>
          <w:szCs w:val="28"/>
        </w:rPr>
        <w:t>42</w:t>
      </w:r>
      <w:r>
        <w:rPr>
          <w:sz w:val="28"/>
          <w:szCs w:val="28"/>
        </w:rPr>
        <w:t xml:space="preserve">.  </w:t>
      </w:r>
      <w:r w:rsidR="00E40500">
        <w:rPr>
          <w:sz w:val="28"/>
          <w:szCs w:val="28"/>
        </w:rPr>
        <w:t xml:space="preserve">The proposed amendments </w:t>
      </w:r>
      <w:r w:rsidR="00F25647">
        <w:rPr>
          <w:sz w:val="28"/>
          <w:szCs w:val="28"/>
        </w:rPr>
        <w:t xml:space="preserve">only </w:t>
      </w:r>
      <w:r w:rsidR="00E40500">
        <w:rPr>
          <w:sz w:val="28"/>
          <w:szCs w:val="28"/>
        </w:rPr>
        <w:t>are as follows:</w:t>
      </w:r>
    </w:p>
    <w:p w14:paraId="1A4B4BED" w14:textId="77777777" w:rsidR="00B312B2" w:rsidRPr="00D700DB" w:rsidRDefault="00B312B2" w:rsidP="00915082">
      <w:pPr>
        <w:spacing w:line="480" w:lineRule="auto"/>
        <w:ind w:firstLine="540"/>
        <w:jc w:val="both"/>
        <w:rPr>
          <w:b/>
          <w:sz w:val="28"/>
          <w:szCs w:val="28"/>
        </w:rPr>
      </w:pPr>
      <w:r w:rsidRPr="00D700DB">
        <w:rPr>
          <w:b/>
          <w:sz w:val="28"/>
          <w:szCs w:val="28"/>
        </w:rPr>
        <w:t>(c)</w:t>
      </w:r>
      <w:r w:rsidR="00997DE7" w:rsidRPr="00D700DB">
        <w:rPr>
          <w:b/>
          <w:sz w:val="28"/>
          <w:szCs w:val="28"/>
        </w:rPr>
        <w:t xml:space="preserve"> </w:t>
      </w:r>
      <w:r w:rsidRPr="00D700DB">
        <w:rPr>
          <w:b/>
          <w:sz w:val="28"/>
          <w:szCs w:val="28"/>
        </w:rPr>
        <w:t xml:space="preserve"> Membership.</w:t>
      </w:r>
    </w:p>
    <w:p w14:paraId="55AC7958" w14:textId="77777777" w:rsidR="00CD7591" w:rsidRDefault="00CD7591" w:rsidP="00915082">
      <w:pPr>
        <w:spacing w:line="480" w:lineRule="auto"/>
        <w:ind w:firstLine="540"/>
        <w:jc w:val="both"/>
        <w:rPr>
          <w:sz w:val="28"/>
          <w:szCs w:val="28"/>
        </w:rPr>
      </w:pPr>
      <w:r>
        <w:rPr>
          <w:sz w:val="28"/>
          <w:szCs w:val="28"/>
        </w:rPr>
        <w:t xml:space="preserve">. . . . </w:t>
      </w:r>
    </w:p>
    <w:p w14:paraId="156E4A6B" w14:textId="40B3F88C" w:rsidR="00DB7914" w:rsidRDefault="00DB7914" w:rsidP="00DB7914">
      <w:pPr>
        <w:spacing w:line="480" w:lineRule="auto"/>
        <w:ind w:firstLine="540"/>
        <w:rPr>
          <w:sz w:val="28"/>
          <w:szCs w:val="28"/>
        </w:rPr>
      </w:pPr>
      <w:r w:rsidRPr="00DB7914">
        <w:rPr>
          <w:sz w:val="28"/>
          <w:szCs w:val="28"/>
        </w:rPr>
        <w:t xml:space="preserve">8. Computation of Fee. </w:t>
      </w:r>
      <w:r w:rsidR="00E40500">
        <w:rPr>
          <w:sz w:val="28"/>
          <w:szCs w:val="28"/>
        </w:rPr>
        <w:t xml:space="preserve"> </w:t>
      </w:r>
      <w:r w:rsidRPr="00DB7914">
        <w:rPr>
          <w:sz w:val="28"/>
          <w:szCs w:val="28"/>
        </w:rPr>
        <w:t xml:space="preserve">The annual membership fee shall be composed of an </w:t>
      </w:r>
      <w:r w:rsidRPr="00DB7914">
        <w:rPr>
          <w:sz w:val="28"/>
          <w:szCs w:val="28"/>
        </w:rPr>
        <w:lastRenderedPageBreak/>
        <w:t>amount for the</w:t>
      </w:r>
      <w:r w:rsidR="00F25647">
        <w:rPr>
          <w:sz w:val="28"/>
          <w:szCs w:val="28"/>
        </w:rPr>
        <w:t xml:space="preserve"> </w:t>
      </w:r>
      <w:r w:rsidR="00F25647" w:rsidRPr="00F25647">
        <w:rPr>
          <w:strike/>
          <w:color w:val="FF0000"/>
          <w:sz w:val="28"/>
          <w:szCs w:val="28"/>
        </w:rPr>
        <w:t>operation of the</w:t>
      </w:r>
      <w:r w:rsidRPr="00DB7914">
        <w:rPr>
          <w:sz w:val="28"/>
          <w:szCs w:val="28"/>
        </w:rPr>
        <w:t xml:space="preserve"> </w:t>
      </w:r>
      <w:r w:rsidRPr="00E40500">
        <w:rPr>
          <w:color w:val="FF0000"/>
          <w:sz w:val="28"/>
          <w:szCs w:val="28"/>
        </w:rPr>
        <w:t>REGULATORY</w:t>
      </w:r>
      <w:r w:rsidRPr="0020568F">
        <w:rPr>
          <w:color w:val="3366FF"/>
          <w:sz w:val="28"/>
          <w:szCs w:val="28"/>
        </w:rPr>
        <w:t xml:space="preserve"> </w:t>
      </w:r>
      <w:r w:rsidRPr="00DB7914">
        <w:rPr>
          <w:sz w:val="28"/>
          <w:szCs w:val="28"/>
        </w:rPr>
        <w:t xml:space="preserve">activities of the State Bar and an amount for funding the Client Protection Fund, each of which amounts shall be stated and accounted for separately. </w:t>
      </w:r>
      <w:r w:rsidR="00F25647">
        <w:rPr>
          <w:sz w:val="28"/>
          <w:szCs w:val="28"/>
        </w:rPr>
        <w:t xml:space="preserve"> </w:t>
      </w:r>
      <w:r w:rsidRPr="00DB7914">
        <w:rPr>
          <w:sz w:val="28"/>
          <w:szCs w:val="28"/>
        </w:rPr>
        <w:t xml:space="preserve">Each active and inactive member, who is not exempt, shall pay the annual Fund assessment set by the Court, to the State Bar together with the annual membership fee, and the State Bar shall transfer the fund assessment to the trust established for the administration of the Client Protection Fund. </w:t>
      </w:r>
      <w:r w:rsidR="00F25647">
        <w:rPr>
          <w:sz w:val="28"/>
          <w:szCs w:val="28"/>
        </w:rPr>
        <w:t xml:space="preserve"> </w:t>
      </w:r>
      <w:r w:rsidR="00F25647" w:rsidRPr="00EA168B">
        <w:rPr>
          <w:strike/>
          <w:color w:val="FF0000"/>
          <w:sz w:val="28"/>
          <w:szCs w:val="28"/>
        </w:rPr>
        <w:t xml:space="preserve">The State Bar shall conduct any lobbying activities in compliance with </w:t>
      </w:r>
      <w:hyperlink r:id="rId13" w:history="1">
        <w:r w:rsidR="00F25647" w:rsidRPr="00EA168B">
          <w:rPr>
            <w:i/>
            <w:iCs/>
            <w:strike/>
            <w:color w:val="FF0000"/>
            <w:sz w:val="28"/>
            <w:szCs w:val="28"/>
          </w:rPr>
          <w:t>Keller v. State Bar of California</w:t>
        </w:r>
        <w:r w:rsidR="00F25647" w:rsidRPr="00EA168B">
          <w:rPr>
            <w:strike/>
            <w:color w:val="FF0000"/>
            <w:sz w:val="28"/>
            <w:szCs w:val="28"/>
          </w:rPr>
          <w:t>, 496 U.S. 1 (1990)</w:t>
        </w:r>
      </w:hyperlink>
      <w:r w:rsidR="00F25647" w:rsidRPr="00EA168B">
        <w:rPr>
          <w:strike/>
          <w:color w:val="FF0000"/>
          <w:sz w:val="28"/>
          <w:szCs w:val="28"/>
        </w:rPr>
        <w:t xml:space="preserve">. </w:t>
      </w:r>
      <w:r w:rsidR="00F25647">
        <w:rPr>
          <w:strike/>
          <w:color w:val="FF0000"/>
          <w:sz w:val="28"/>
          <w:szCs w:val="28"/>
        </w:rPr>
        <w:t xml:space="preserve"> </w:t>
      </w:r>
      <w:r w:rsidR="00F25647" w:rsidRPr="00EA168B">
        <w:rPr>
          <w:strike/>
          <w:color w:val="FF0000"/>
          <w:sz w:val="28"/>
          <w:szCs w:val="28"/>
        </w:rPr>
        <w:t>Additionally, a member who objects to particular State Bar lobbying activities may request a refund of the portion of the annual fee allocable to those activities at the end of the membership year.</w:t>
      </w:r>
    </w:p>
    <w:p w14:paraId="54B8124A" w14:textId="6CF8F46B" w:rsidR="00B312B2" w:rsidRPr="00B312B2" w:rsidRDefault="00B312B2" w:rsidP="00997DE7">
      <w:pPr>
        <w:spacing w:line="480" w:lineRule="auto"/>
        <w:ind w:firstLine="540"/>
        <w:rPr>
          <w:sz w:val="28"/>
          <w:szCs w:val="28"/>
        </w:rPr>
      </w:pPr>
      <w:r w:rsidRPr="00B312B2">
        <w:rPr>
          <w:sz w:val="28"/>
          <w:szCs w:val="28"/>
        </w:rPr>
        <w:t xml:space="preserve">9. </w:t>
      </w:r>
      <w:r w:rsidR="00997DE7">
        <w:rPr>
          <w:sz w:val="28"/>
          <w:szCs w:val="28"/>
        </w:rPr>
        <w:t xml:space="preserve"> </w:t>
      </w:r>
      <w:r w:rsidRPr="00B312B2">
        <w:rPr>
          <w:sz w:val="28"/>
          <w:szCs w:val="28"/>
        </w:rPr>
        <w:t xml:space="preserve">Allocation of fee. </w:t>
      </w:r>
      <w:r w:rsidR="00915082">
        <w:rPr>
          <w:sz w:val="28"/>
          <w:szCs w:val="28"/>
        </w:rPr>
        <w:t xml:space="preserve"> </w:t>
      </w:r>
      <w:r w:rsidRPr="00B312B2">
        <w:rPr>
          <w:sz w:val="28"/>
          <w:szCs w:val="28"/>
        </w:rPr>
        <w:t xml:space="preserve">Upon payment of the </w:t>
      </w:r>
      <w:r w:rsidRPr="00F25647">
        <w:rPr>
          <w:color w:val="FF0000"/>
          <w:sz w:val="28"/>
          <w:szCs w:val="28"/>
        </w:rPr>
        <w:t>ANNUAL</w:t>
      </w:r>
      <w:r w:rsidRPr="00B312B2">
        <w:rPr>
          <w:sz w:val="28"/>
          <w:szCs w:val="28"/>
        </w:rPr>
        <w:t xml:space="preserve"> membership fee, each member shall receive a bar card issued by the board evidencing payment. </w:t>
      </w:r>
      <w:r w:rsidR="00915082">
        <w:rPr>
          <w:sz w:val="28"/>
          <w:szCs w:val="28"/>
        </w:rPr>
        <w:t xml:space="preserve"> </w:t>
      </w:r>
      <w:r w:rsidRPr="00F25647">
        <w:rPr>
          <w:color w:val="FF0000"/>
          <w:sz w:val="28"/>
          <w:szCs w:val="28"/>
        </w:rPr>
        <w:t xml:space="preserve">EACH MEMBER SHALL ALSO RECEIVE AN INDEPENDENTLY AUDITED LIST OF EXPENDITURES THAT VERIFIES MANDATORY ASSESSMENTS WERE SPENT IN THE PRECEDING CALENDAR YEAR ONLY ON REGULATORY FUNCTIONS OR FOR THE FUNDING OF THE CLIENT PROTECTION FUND. </w:t>
      </w:r>
      <w:r w:rsidR="00997DE7" w:rsidRPr="00F25647">
        <w:rPr>
          <w:color w:val="FF0000"/>
          <w:sz w:val="28"/>
          <w:szCs w:val="28"/>
        </w:rPr>
        <w:t xml:space="preserve"> </w:t>
      </w:r>
      <w:r w:rsidRPr="00F25647">
        <w:rPr>
          <w:sz w:val="28"/>
          <w:szCs w:val="28"/>
        </w:rPr>
        <w:t xml:space="preserve">All </w:t>
      </w:r>
      <w:r w:rsidRPr="00F25647">
        <w:rPr>
          <w:color w:val="FF0000"/>
          <w:sz w:val="28"/>
          <w:szCs w:val="28"/>
        </w:rPr>
        <w:t>ANNUAL MEMBERSHIP</w:t>
      </w:r>
      <w:r w:rsidRPr="00B312B2">
        <w:rPr>
          <w:sz w:val="28"/>
          <w:szCs w:val="28"/>
        </w:rPr>
        <w:t xml:space="preserve"> fees shall be paid into the treasury of the state bar and</w:t>
      </w:r>
      <w:r w:rsidRPr="00F25647">
        <w:rPr>
          <w:strike/>
          <w:color w:val="FF0000"/>
          <w:sz w:val="28"/>
          <w:szCs w:val="28"/>
        </w:rPr>
        <w:t>, when so paid, shall become part of its funds,</w:t>
      </w:r>
      <w:r w:rsidRPr="00B312B2">
        <w:rPr>
          <w:sz w:val="28"/>
          <w:szCs w:val="28"/>
        </w:rPr>
        <w:t xml:space="preserve"> </w:t>
      </w:r>
      <w:r w:rsidRPr="00F25647">
        <w:rPr>
          <w:color w:val="FF0000"/>
          <w:sz w:val="28"/>
          <w:szCs w:val="28"/>
        </w:rPr>
        <w:t xml:space="preserve">SHALL BE USED ONLY TO FUND THE REGULATORY ACTIVITIES OF THE </w:t>
      </w:r>
      <w:r w:rsidRPr="00F25647">
        <w:rPr>
          <w:color w:val="FF0000"/>
          <w:sz w:val="28"/>
          <w:szCs w:val="28"/>
        </w:rPr>
        <w:lastRenderedPageBreak/>
        <w:t>STATE BAR,</w:t>
      </w:r>
      <w:r w:rsidRPr="00997DE7">
        <w:rPr>
          <w:color w:val="FF0000"/>
          <w:sz w:val="28"/>
          <w:szCs w:val="28"/>
        </w:rPr>
        <w:t xml:space="preserve"> </w:t>
      </w:r>
      <w:r w:rsidRPr="00B312B2">
        <w:rPr>
          <w:sz w:val="28"/>
          <w:szCs w:val="28"/>
        </w:rPr>
        <w:t xml:space="preserve">except that portion of the fees representing the amount for the funding of the Client Protection Fund shall be paid into the trust established for the administration of the Client Protection Fund. </w:t>
      </w:r>
    </w:p>
    <w:p w14:paraId="34A27B3F" w14:textId="77777777" w:rsidR="00CD7591" w:rsidRDefault="00CD7591" w:rsidP="00997DE7">
      <w:pPr>
        <w:spacing w:line="480" w:lineRule="auto"/>
        <w:ind w:firstLine="540"/>
        <w:rPr>
          <w:sz w:val="28"/>
          <w:szCs w:val="28"/>
        </w:rPr>
      </w:pPr>
      <w:r>
        <w:rPr>
          <w:sz w:val="28"/>
          <w:szCs w:val="28"/>
        </w:rPr>
        <w:t xml:space="preserve">. . . . </w:t>
      </w:r>
    </w:p>
    <w:p w14:paraId="585EFBF9" w14:textId="77777777" w:rsidR="00B312B2" w:rsidRPr="00F25647" w:rsidRDefault="00B312B2" w:rsidP="00997DE7">
      <w:pPr>
        <w:spacing w:line="480" w:lineRule="auto"/>
        <w:ind w:firstLine="540"/>
        <w:rPr>
          <w:i/>
          <w:color w:val="FF0000"/>
          <w:sz w:val="28"/>
          <w:szCs w:val="28"/>
        </w:rPr>
      </w:pPr>
      <w:r w:rsidRPr="00F25647">
        <w:rPr>
          <w:color w:val="FF0000"/>
          <w:sz w:val="28"/>
          <w:szCs w:val="28"/>
        </w:rPr>
        <w:t>11.</w:t>
      </w:r>
      <w:r w:rsidRPr="00F25647">
        <w:rPr>
          <w:i/>
          <w:color w:val="FF0000"/>
          <w:sz w:val="28"/>
          <w:szCs w:val="28"/>
        </w:rPr>
        <w:t xml:space="preserve"> </w:t>
      </w:r>
      <w:r w:rsidR="00997DE7" w:rsidRPr="00F25647">
        <w:rPr>
          <w:i/>
          <w:color w:val="FF0000"/>
          <w:sz w:val="28"/>
          <w:szCs w:val="28"/>
        </w:rPr>
        <w:t xml:space="preserve"> </w:t>
      </w:r>
      <w:r w:rsidRPr="00F25647">
        <w:rPr>
          <w:i/>
          <w:color w:val="FF0000"/>
          <w:sz w:val="28"/>
          <w:szCs w:val="28"/>
        </w:rPr>
        <w:t>VOLUNTARY CONTRIBUTIONS FOR LOBBYING AND OTHER NON-REGULATORY ACTIVITIES.</w:t>
      </w:r>
      <w:r w:rsidRPr="00F25647">
        <w:rPr>
          <w:color w:val="FF0000"/>
          <w:sz w:val="28"/>
          <w:szCs w:val="28"/>
        </w:rPr>
        <w:t xml:space="preserve"> </w:t>
      </w:r>
      <w:r w:rsidR="00997DE7" w:rsidRPr="00F25647">
        <w:rPr>
          <w:color w:val="FF0000"/>
          <w:sz w:val="28"/>
          <w:szCs w:val="28"/>
        </w:rPr>
        <w:t xml:space="preserve"> </w:t>
      </w:r>
      <w:r w:rsidRPr="00F25647">
        <w:rPr>
          <w:color w:val="FF0000"/>
          <w:sz w:val="28"/>
          <w:szCs w:val="28"/>
        </w:rPr>
        <w:t>THE STATE BAR MAY ESTABLISH, COLLECT, AND USE VOLUNTARY CONTRIBUTIONS TO ANALYZE AND DISSEMINATE INFORMATION ON PROPOSED OR PENDING LEGISLATIVE PROPOSALS AND FOR ANY OTHER NON-REGULATORY ACTIVITY INTENDED TO IMPROVE THE QUALITY OF LEGAL SERVICES TO THE PUBLIC AND PROMOTE THE PURPOSES OF THE STATE BAR AS SET FORTH HEREIN.</w:t>
      </w:r>
    </w:p>
    <w:p w14:paraId="4EF5625D" w14:textId="77777777" w:rsidR="00CD7591" w:rsidRDefault="00CD7591" w:rsidP="00997DE7">
      <w:pPr>
        <w:spacing w:line="480" w:lineRule="auto"/>
        <w:ind w:firstLine="547"/>
        <w:rPr>
          <w:sz w:val="28"/>
          <w:szCs w:val="28"/>
        </w:rPr>
      </w:pPr>
      <w:r>
        <w:rPr>
          <w:sz w:val="28"/>
          <w:szCs w:val="28"/>
        </w:rPr>
        <w:t>. . . .</w:t>
      </w:r>
    </w:p>
    <w:p w14:paraId="36CB5AA2" w14:textId="77777777" w:rsidR="00B312B2" w:rsidRPr="00B312B2" w:rsidRDefault="00B312B2" w:rsidP="00997DE7">
      <w:pPr>
        <w:spacing w:line="480" w:lineRule="auto"/>
        <w:ind w:firstLine="547"/>
        <w:rPr>
          <w:sz w:val="28"/>
          <w:szCs w:val="28"/>
        </w:rPr>
      </w:pPr>
      <w:r w:rsidRPr="00D700DB">
        <w:rPr>
          <w:b/>
          <w:sz w:val="28"/>
          <w:szCs w:val="28"/>
        </w:rPr>
        <w:t xml:space="preserve">(d) </w:t>
      </w:r>
      <w:r w:rsidR="00997DE7" w:rsidRPr="00D700DB">
        <w:rPr>
          <w:b/>
          <w:sz w:val="28"/>
          <w:szCs w:val="28"/>
        </w:rPr>
        <w:t xml:space="preserve"> </w:t>
      </w:r>
      <w:r w:rsidRPr="00D700DB">
        <w:rPr>
          <w:b/>
          <w:sz w:val="28"/>
          <w:szCs w:val="28"/>
        </w:rPr>
        <w:t>Powers of Board.</w:t>
      </w:r>
      <w:r w:rsidRPr="00B312B2">
        <w:rPr>
          <w:sz w:val="28"/>
          <w:szCs w:val="28"/>
        </w:rPr>
        <w:t xml:space="preserve"> </w:t>
      </w:r>
      <w:r w:rsidR="008B6063">
        <w:rPr>
          <w:sz w:val="28"/>
          <w:szCs w:val="28"/>
        </w:rPr>
        <w:t xml:space="preserve"> </w:t>
      </w:r>
      <w:r w:rsidRPr="00B312B2">
        <w:rPr>
          <w:sz w:val="28"/>
          <w:szCs w:val="28"/>
        </w:rPr>
        <w:t xml:space="preserve">The State Bar shall be governed by the Board of Governors, which shall have the powers and duties prescribed by this Court. </w:t>
      </w:r>
      <w:r w:rsidR="00997DE7">
        <w:rPr>
          <w:sz w:val="28"/>
          <w:szCs w:val="28"/>
        </w:rPr>
        <w:t xml:space="preserve"> </w:t>
      </w:r>
      <w:r w:rsidRPr="00B312B2">
        <w:rPr>
          <w:sz w:val="28"/>
          <w:szCs w:val="28"/>
        </w:rPr>
        <w:t>The board shall:</w:t>
      </w:r>
    </w:p>
    <w:p w14:paraId="3260D251" w14:textId="77777777" w:rsidR="00CD7591" w:rsidRDefault="00CD7591" w:rsidP="00997DE7">
      <w:pPr>
        <w:spacing w:line="480" w:lineRule="auto"/>
        <w:ind w:firstLine="540"/>
        <w:rPr>
          <w:sz w:val="28"/>
          <w:szCs w:val="28"/>
        </w:rPr>
      </w:pPr>
      <w:r>
        <w:rPr>
          <w:sz w:val="28"/>
          <w:szCs w:val="28"/>
        </w:rPr>
        <w:t>. . . .</w:t>
      </w:r>
    </w:p>
    <w:p w14:paraId="4771429E" w14:textId="77777777" w:rsidR="00B312B2" w:rsidRPr="00D700DB" w:rsidRDefault="00B312B2" w:rsidP="00997DE7">
      <w:pPr>
        <w:spacing w:line="480" w:lineRule="auto"/>
        <w:ind w:firstLine="547"/>
        <w:rPr>
          <w:color w:val="FF0000"/>
          <w:sz w:val="28"/>
          <w:szCs w:val="28"/>
        </w:rPr>
      </w:pPr>
      <w:r w:rsidRPr="00B312B2">
        <w:rPr>
          <w:sz w:val="28"/>
          <w:szCs w:val="28"/>
        </w:rPr>
        <w:t>7.</w:t>
      </w:r>
      <w:r w:rsidR="00997DE7">
        <w:rPr>
          <w:sz w:val="28"/>
          <w:szCs w:val="28"/>
        </w:rPr>
        <w:t xml:space="preserve"> </w:t>
      </w:r>
      <w:r w:rsidRPr="00B312B2">
        <w:rPr>
          <w:sz w:val="28"/>
          <w:szCs w:val="28"/>
        </w:rPr>
        <w:t xml:space="preserve"> Prepare an annual statement showing receipts and expenditures of the State Bar for the twelve preceding months.</w:t>
      </w:r>
      <w:r w:rsidR="00997DE7">
        <w:rPr>
          <w:sz w:val="28"/>
          <w:szCs w:val="28"/>
        </w:rPr>
        <w:t xml:space="preserve"> </w:t>
      </w:r>
      <w:r w:rsidRPr="00B312B2">
        <w:rPr>
          <w:sz w:val="28"/>
          <w:szCs w:val="28"/>
        </w:rPr>
        <w:t xml:space="preserve"> The statement shall be promptly certified by the secretary-treasurer and a certified public accountant, and transmitted to the </w:t>
      </w:r>
      <w:r w:rsidRPr="00B312B2">
        <w:rPr>
          <w:sz w:val="28"/>
          <w:szCs w:val="28"/>
        </w:rPr>
        <w:lastRenderedPageBreak/>
        <w:t xml:space="preserve">Chief Justice of this </w:t>
      </w:r>
      <w:r w:rsidRPr="00D700DB">
        <w:rPr>
          <w:sz w:val="28"/>
          <w:szCs w:val="28"/>
        </w:rPr>
        <w:t xml:space="preserve">Court </w:t>
      </w:r>
      <w:r w:rsidRPr="00D700DB">
        <w:rPr>
          <w:color w:val="FF0000"/>
          <w:sz w:val="28"/>
          <w:szCs w:val="28"/>
        </w:rPr>
        <w:t>AND TO EACH ACTIVE MEMBER.</w:t>
      </w:r>
    </w:p>
    <w:p w14:paraId="5F159564" w14:textId="77777777" w:rsidR="00CD7591" w:rsidRDefault="00CD7591" w:rsidP="00997DE7">
      <w:pPr>
        <w:spacing w:line="480" w:lineRule="auto"/>
        <w:ind w:firstLine="547"/>
        <w:rPr>
          <w:sz w:val="28"/>
          <w:szCs w:val="28"/>
        </w:rPr>
      </w:pPr>
      <w:r>
        <w:rPr>
          <w:sz w:val="28"/>
          <w:szCs w:val="28"/>
        </w:rPr>
        <w:t xml:space="preserve">. . . . </w:t>
      </w:r>
    </w:p>
    <w:p w14:paraId="6D324CE4" w14:textId="77777777" w:rsidR="00D700DB" w:rsidRDefault="00B312B2" w:rsidP="004B2E5C">
      <w:pPr>
        <w:spacing w:line="480" w:lineRule="auto"/>
        <w:ind w:firstLine="547"/>
        <w:rPr>
          <w:color w:val="FF0000"/>
          <w:sz w:val="28"/>
          <w:szCs w:val="28"/>
        </w:rPr>
      </w:pPr>
      <w:r w:rsidRPr="00D700DB">
        <w:rPr>
          <w:color w:val="FF0000"/>
          <w:sz w:val="28"/>
          <w:szCs w:val="28"/>
        </w:rPr>
        <w:t>11.</w:t>
      </w:r>
      <w:r w:rsidR="00997DE7" w:rsidRPr="00D700DB">
        <w:rPr>
          <w:color w:val="FF0000"/>
          <w:sz w:val="28"/>
          <w:szCs w:val="28"/>
        </w:rPr>
        <w:t xml:space="preserve"> </w:t>
      </w:r>
      <w:r w:rsidRPr="00D700DB">
        <w:rPr>
          <w:color w:val="FF0000"/>
          <w:sz w:val="28"/>
          <w:szCs w:val="28"/>
        </w:rPr>
        <w:t xml:space="preserve"> APPOINT A SUBCOMMITTEE OF ACTIVE MEMBERS </w:t>
      </w:r>
      <w:r w:rsidR="00DB7914" w:rsidRPr="00D700DB">
        <w:rPr>
          <w:color w:val="FF0000"/>
          <w:sz w:val="28"/>
          <w:szCs w:val="28"/>
        </w:rPr>
        <w:t xml:space="preserve">WHO HAVE PAID ANY VOLUNTARY CONTRIBUTION COLLECTED PURSUANT TO THESE RULES </w:t>
      </w:r>
      <w:r w:rsidRPr="00D700DB">
        <w:rPr>
          <w:color w:val="FF0000"/>
          <w:sz w:val="28"/>
          <w:szCs w:val="28"/>
        </w:rPr>
        <w:t xml:space="preserve">TO ADMINISTER </w:t>
      </w:r>
      <w:r w:rsidR="00DB7914" w:rsidRPr="00D700DB">
        <w:rPr>
          <w:color w:val="FF0000"/>
          <w:sz w:val="28"/>
          <w:szCs w:val="28"/>
        </w:rPr>
        <w:t xml:space="preserve">SUCH </w:t>
      </w:r>
      <w:r w:rsidRPr="00D700DB">
        <w:rPr>
          <w:color w:val="FF0000"/>
          <w:sz w:val="28"/>
          <w:szCs w:val="28"/>
        </w:rPr>
        <w:t>VOLUNTARY CONTRIBUTIONS</w:t>
      </w:r>
      <w:r w:rsidR="00DB7914" w:rsidRPr="00D700DB">
        <w:rPr>
          <w:color w:val="FF0000"/>
          <w:sz w:val="28"/>
          <w:szCs w:val="28"/>
        </w:rPr>
        <w:t>.</w:t>
      </w:r>
      <w:r w:rsidRPr="00D700DB">
        <w:rPr>
          <w:color w:val="FF0000"/>
          <w:sz w:val="28"/>
          <w:szCs w:val="28"/>
        </w:rPr>
        <w:t xml:space="preserve"> </w:t>
      </w:r>
    </w:p>
    <w:p w14:paraId="5BA1535B" w14:textId="097AC5B7" w:rsidR="00B312B2" w:rsidRPr="00A80A95" w:rsidRDefault="00A80A95" w:rsidP="00D700DB">
      <w:pPr>
        <w:pStyle w:val="StyleDBodyFLIndentLeft-013Firstline0"/>
        <w:numPr>
          <w:ilvl w:val="0"/>
          <w:numId w:val="22"/>
        </w:numPr>
        <w:spacing w:line="480" w:lineRule="auto"/>
        <w:ind w:left="0" w:firstLine="0"/>
        <w:jc w:val="left"/>
        <w:rPr>
          <w:b/>
          <w:sz w:val="28"/>
          <w:szCs w:val="28"/>
        </w:rPr>
      </w:pPr>
      <w:r w:rsidRPr="00A80A95">
        <w:rPr>
          <w:b/>
          <w:sz w:val="28"/>
          <w:szCs w:val="28"/>
        </w:rPr>
        <w:t>Conclusion</w:t>
      </w:r>
      <w:r w:rsidR="00B312B2" w:rsidRPr="00A80A95">
        <w:rPr>
          <w:b/>
          <w:sz w:val="28"/>
          <w:szCs w:val="28"/>
        </w:rPr>
        <w:t>.</w:t>
      </w:r>
    </w:p>
    <w:p w14:paraId="5707B056" w14:textId="4661AFE3" w:rsidR="00A80A95" w:rsidRPr="00AD156D" w:rsidRDefault="00A80A95" w:rsidP="00A80A95">
      <w:pPr>
        <w:spacing w:line="480" w:lineRule="auto"/>
        <w:ind w:firstLine="720"/>
        <w:jc w:val="both"/>
        <w:rPr>
          <w:sz w:val="28"/>
          <w:szCs w:val="28"/>
        </w:rPr>
      </w:pPr>
      <w:r>
        <w:rPr>
          <w:sz w:val="28"/>
          <w:szCs w:val="28"/>
        </w:rPr>
        <w:t xml:space="preserve">For the foregoing reasons, Petitioner hereby requests this Court </w:t>
      </w:r>
      <w:r w:rsidRPr="00867635">
        <w:rPr>
          <w:sz w:val="28"/>
          <w:szCs w:val="28"/>
        </w:rPr>
        <w:t>adopt amendments to Rule</w:t>
      </w:r>
      <w:r w:rsidR="00D700DB">
        <w:rPr>
          <w:sz w:val="28"/>
          <w:szCs w:val="28"/>
        </w:rPr>
        <w:t>s</w:t>
      </w:r>
      <w:r w:rsidRPr="00867635">
        <w:rPr>
          <w:sz w:val="28"/>
          <w:szCs w:val="28"/>
        </w:rPr>
        <w:t xml:space="preserve"> 32</w:t>
      </w:r>
      <w:r w:rsidR="00D700DB">
        <w:rPr>
          <w:sz w:val="28"/>
          <w:szCs w:val="28"/>
        </w:rPr>
        <w:t>(c) and (d)</w:t>
      </w:r>
      <w:r w:rsidRPr="00867635">
        <w:rPr>
          <w:sz w:val="28"/>
          <w:szCs w:val="28"/>
        </w:rPr>
        <w:t xml:space="preserve">, Rules of the Supreme Court, as proposed </w:t>
      </w:r>
      <w:r>
        <w:rPr>
          <w:sz w:val="28"/>
          <w:szCs w:val="28"/>
        </w:rPr>
        <w:t xml:space="preserve">herein.  </w:t>
      </w:r>
    </w:p>
    <w:p w14:paraId="5D04AAC2" w14:textId="77777777" w:rsidR="00856900" w:rsidRPr="00F430EE" w:rsidRDefault="00856900" w:rsidP="00A80A95">
      <w:pPr>
        <w:pStyle w:val="DBodyFLIndent"/>
        <w:spacing w:line="480" w:lineRule="auto"/>
        <w:rPr>
          <w:sz w:val="28"/>
          <w:szCs w:val="28"/>
        </w:rPr>
      </w:pPr>
      <w:r w:rsidRPr="00F430EE">
        <w:rPr>
          <w:sz w:val="28"/>
          <w:szCs w:val="28"/>
        </w:rPr>
        <w:fldChar w:fldCharType="begin"/>
      </w:r>
      <w:r w:rsidRPr="00F430EE">
        <w:rPr>
          <w:sz w:val="28"/>
          <w:szCs w:val="28"/>
        </w:rPr>
        <w:instrText xml:space="preserve"> AUTOTEXTLIST   \s SHDateOpt \t "Right-click to choose from the list"  \* MERGEFORMAT </w:instrText>
      </w:r>
      <w:r w:rsidRPr="00F430EE">
        <w:rPr>
          <w:sz w:val="28"/>
          <w:szCs w:val="28"/>
        </w:rPr>
        <w:fldChar w:fldCharType="separate"/>
      </w:r>
      <w:r w:rsidRPr="00F430EE">
        <w:rPr>
          <w:sz w:val="28"/>
          <w:szCs w:val="28"/>
        </w:rPr>
        <w:t xml:space="preserve">RESPECTFULLY SUBMITTED: </w:t>
      </w:r>
      <w:r w:rsidRPr="00F430EE">
        <w:rPr>
          <w:sz w:val="28"/>
          <w:szCs w:val="28"/>
        </w:rPr>
        <w:fldChar w:fldCharType="end"/>
      </w:r>
      <w:bookmarkEnd w:id="7"/>
      <w:r w:rsidR="009A0DC7" w:rsidRPr="00F430EE">
        <w:rPr>
          <w:sz w:val="28"/>
          <w:szCs w:val="28"/>
        </w:rPr>
        <w:t xml:space="preserve"> </w:t>
      </w:r>
      <w:r w:rsidR="00595F87">
        <w:rPr>
          <w:sz w:val="28"/>
          <w:szCs w:val="28"/>
        </w:rPr>
        <w:t xml:space="preserve">January </w:t>
      </w:r>
      <w:r w:rsidR="00A80A95">
        <w:rPr>
          <w:sz w:val="28"/>
          <w:szCs w:val="28"/>
        </w:rPr>
        <w:t>10</w:t>
      </w:r>
      <w:r w:rsidR="00595F87">
        <w:rPr>
          <w:sz w:val="28"/>
          <w:szCs w:val="28"/>
        </w:rPr>
        <w:t>, 2017.</w:t>
      </w:r>
    </w:p>
    <w:p w14:paraId="1717B450" w14:textId="77777777" w:rsidR="00856900" w:rsidRPr="00F430EE" w:rsidRDefault="00856900" w:rsidP="00A80A95">
      <w:pPr>
        <w:tabs>
          <w:tab w:val="left" w:pos="9180"/>
        </w:tabs>
        <w:spacing w:line="240" w:lineRule="auto"/>
        <w:ind w:left="3960"/>
        <w:outlineLvl w:val="0"/>
        <w:rPr>
          <w:sz w:val="28"/>
          <w:szCs w:val="28"/>
        </w:rPr>
      </w:pPr>
      <w:r w:rsidRPr="00F430EE">
        <w:rPr>
          <w:sz w:val="28"/>
          <w:szCs w:val="28"/>
        </w:rPr>
        <w:t>By</w:t>
      </w:r>
      <w:r w:rsidRPr="00F430EE">
        <w:rPr>
          <w:sz w:val="28"/>
          <w:szCs w:val="28"/>
          <w:u w:val="single"/>
        </w:rPr>
        <w:t xml:space="preserve"> /</w:t>
      </w:r>
      <w:r w:rsidR="00595F87">
        <w:rPr>
          <w:i/>
          <w:sz w:val="28"/>
          <w:szCs w:val="28"/>
          <w:u w:val="single"/>
        </w:rPr>
        <w:t>s/ Gregory W. Falls</w:t>
      </w:r>
      <w:r w:rsidRPr="00F430EE">
        <w:rPr>
          <w:sz w:val="28"/>
          <w:szCs w:val="28"/>
          <w:u w:val="single"/>
        </w:rPr>
        <w:tab/>
      </w:r>
    </w:p>
    <w:p w14:paraId="036D20C1" w14:textId="77777777" w:rsidR="00856900" w:rsidRPr="00F430EE" w:rsidRDefault="00856900" w:rsidP="00A80A95">
      <w:pPr>
        <w:pStyle w:val="SigBlock2"/>
        <w:keepNext w:val="0"/>
        <w:spacing w:line="240" w:lineRule="auto"/>
        <w:rPr>
          <w:sz w:val="28"/>
          <w:szCs w:val="28"/>
        </w:rPr>
      </w:pPr>
      <w:bookmarkStart w:id="8" w:name="Atty1Sig"/>
      <w:r w:rsidRPr="00F430EE">
        <w:rPr>
          <w:sz w:val="28"/>
          <w:szCs w:val="28"/>
        </w:rPr>
        <w:t>Gregory W. Falls</w:t>
      </w:r>
    </w:p>
    <w:p w14:paraId="0C8E4EBA" w14:textId="77777777" w:rsidR="00A80A95" w:rsidRPr="00A80A95" w:rsidRDefault="00A80A95" w:rsidP="00A80A95">
      <w:pPr>
        <w:pStyle w:val="SigBlock2"/>
        <w:spacing w:line="240" w:lineRule="auto"/>
        <w:rPr>
          <w:sz w:val="28"/>
          <w:szCs w:val="28"/>
        </w:rPr>
      </w:pPr>
      <w:bookmarkStart w:id="9" w:name="Address2"/>
      <w:bookmarkEnd w:id="8"/>
      <w:r w:rsidRPr="00A80A95">
        <w:rPr>
          <w:sz w:val="28"/>
          <w:szCs w:val="28"/>
        </w:rPr>
        <w:t>Sherman &amp; Howard L.L.C.</w:t>
      </w:r>
    </w:p>
    <w:p w14:paraId="4A6EFB67" w14:textId="77777777" w:rsidR="00A80A95" w:rsidRPr="00A80A95" w:rsidRDefault="00A80A95" w:rsidP="00A80A95">
      <w:pPr>
        <w:pStyle w:val="SigBlock2"/>
        <w:spacing w:line="240" w:lineRule="auto"/>
        <w:rPr>
          <w:sz w:val="28"/>
          <w:szCs w:val="28"/>
        </w:rPr>
      </w:pPr>
      <w:r w:rsidRPr="00A80A95">
        <w:rPr>
          <w:sz w:val="28"/>
          <w:szCs w:val="28"/>
        </w:rPr>
        <w:t>201 East Washington Street, Suite 800</w:t>
      </w:r>
    </w:p>
    <w:p w14:paraId="1EAF8359" w14:textId="77777777" w:rsidR="00856900" w:rsidRPr="00F430EE" w:rsidRDefault="00A80A95" w:rsidP="00A80A95">
      <w:pPr>
        <w:pStyle w:val="SigBlock2"/>
        <w:keepNext w:val="0"/>
        <w:spacing w:line="240" w:lineRule="auto"/>
        <w:rPr>
          <w:sz w:val="28"/>
          <w:szCs w:val="28"/>
        </w:rPr>
      </w:pPr>
      <w:r w:rsidRPr="00A80A95">
        <w:rPr>
          <w:sz w:val="28"/>
          <w:szCs w:val="28"/>
        </w:rPr>
        <w:t>Phoenix, Arizona 85004-2327</w:t>
      </w:r>
      <w:bookmarkEnd w:id="9"/>
    </w:p>
    <w:sectPr w:rsidR="00856900" w:rsidRPr="00F430EE" w:rsidSect="00ED390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576"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C8C18" w14:textId="77777777" w:rsidR="000C0E88" w:rsidRDefault="000C0E88">
      <w:r>
        <w:separator/>
      </w:r>
    </w:p>
  </w:endnote>
  <w:endnote w:type="continuationSeparator" w:id="0">
    <w:p w14:paraId="59AFE44E" w14:textId="77777777" w:rsidR="000C0E88" w:rsidRDefault="000C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6E54F" w14:textId="77777777" w:rsidR="007D31E5" w:rsidRDefault="007D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7E715" w14:textId="77777777" w:rsidR="007D31E5" w:rsidRDefault="007D31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82022" w14:textId="77777777" w:rsidR="007D31E5" w:rsidRDefault="007D3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5AB">
      <w:rPr>
        <w:rStyle w:val="PageNumber"/>
        <w:noProof/>
      </w:rPr>
      <w:t>5</w:t>
    </w:r>
    <w:r>
      <w:rPr>
        <w:rStyle w:val="PageNumber"/>
      </w:rPr>
      <w:fldChar w:fldCharType="end"/>
    </w:r>
  </w:p>
  <w:p w14:paraId="61F5A24C" w14:textId="15C26D81" w:rsidR="007D31E5" w:rsidRPr="008575AB" w:rsidRDefault="008575AB" w:rsidP="008575AB">
    <w:pPr>
      <w:pStyle w:val="DocID"/>
    </w:pPr>
    <w:fldSimple w:instr=" DOCPROPERTY &quot;DocID&quot; ">
      <w:r>
        <w:t>Active/44573933.1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8067C" w14:textId="235AFE92" w:rsidR="001B4822" w:rsidRPr="008575AB" w:rsidRDefault="008575AB" w:rsidP="008575AB">
    <w:pPr>
      <w:pStyle w:val="DocID"/>
    </w:pPr>
    <w:fldSimple w:instr=" DOCPROPERTY &quot;DocID&quot; ">
      <w:r>
        <w:t>Active/44573933.1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6916C" w14:textId="77777777" w:rsidR="000C0E88" w:rsidRDefault="000C0E88">
      <w:r>
        <w:separator/>
      </w:r>
    </w:p>
  </w:footnote>
  <w:footnote w:type="continuationSeparator" w:id="0">
    <w:p w14:paraId="4AD36C53" w14:textId="77777777" w:rsidR="000C0E88" w:rsidRDefault="000C0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69065" w14:textId="77777777" w:rsidR="008575AB" w:rsidRDefault="008575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3D01D" w14:textId="77777777" w:rsidR="008575AB" w:rsidRDefault="008575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478A2" w14:textId="77777777" w:rsidR="008575AB" w:rsidRDefault="008575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61B4"/>
    <w:multiLevelType w:val="multilevel"/>
    <w:tmpl w:val="FD1A5638"/>
    <w:lvl w:ilvl="0">
      <w:start w:val="1"/>
      <w:numFmt w:val="upperRoman"/>
      <w:pStyle w:val="Heading1"/>
      <w:lvlText w:val="%1."/>
      <w:lvlJc w:val="left"/>
      <w:pPr>
        <w:tabs>
          <w:tab w:val="num" w:pos="720"/>
        </w:tabs>
        <w:ind w:left="720" w:hanging="720"/>
      </w:pPr>
      <w:rPr>
        <w:rFonts w:ascii="Times New Roman" w:hAnsi="Times New Roman" w:hint="default"/>
        <w:b/>
        <w:i w:val="0"/>
        <w:sz w:val="26"/>
        <w:u w:val="none"/>
      </w:rPr>
    </w:lvl>
    <w:lvl w:ilvl="1">
      <w:start w:val="1"/>
      <w:numFmt w:val="upperLetter"/>
      <w:pStyle w:val="Heading2"/>
      <w:lvlText w:val="%2."/>
      <w:lvlJc w:val="left"/>
      <w:pPr>
        <w:tabs>
          <w:tab w:val="num" w:pos="1080"/>
        </w:tabs>
        <w:ind w:left="0" w:firstLine="720"/>
      </w:pPr>
      <w:rPr>
        <w:rFonts w:ascii="Times New Roman" w:hAnsi="Times New Roman" w:hint="default"/>
        <w:b w:val="0"/>
        <w:i w:val="0"/>
        <w:color w:val="auto"/>
        <w:sz w:val="26"/>
        <w:u w:val="none"/>
      </w:rPr>
    </w:lvl>
    <w:lvl w:ilvl="2">
      <w:start w:val="1"/>
      <w:numFmt w:val="decimal"/>
      <w:pStyle w:val="Heading3"/>
      <w:lvlText w:val="%3."/>
      <w:lvlJc w:val="left"/>
      <w:pPr>
        <w:tabs>
          <w:tab w:val="num" w:pos="1440"/>
        </w:tabs>
        <w:ind w:left="1440" w:hanging="720"/>
      </w:pPr>
      <w:rPr>
        <w:rFonts w:ascii="Times New Roman" w:hAnsi="Times New Roman" w:hint="default"/>
        <w:b w:val="0"/>
        <w:i w:val="0"/>
        <w:color w:val="auto"/>
        <w:spacing w:val="0"/>
        <w:w w:val="100"/>
        <w:kern w:val="0"/>
        <w:position w:val="0"/>
        <w:sz w:val="26"/>
        <w:u w:val="none"/>
      </w:rPr>
    </w:lvl>
    <w:lvl w:ilvl="3">
      <w:start w:val="1"/>
      <w:numFmt w:val="lowerRoman"/>
      <w:pStyle w:val="Heading4"/>
      <w:lvlText w:val="(%4)"/>
      <w:lvlJc w:val="left"/>
      <w:pPr>
        <w:tabs>
          <w:tab w:val="num" w:pos="2880"/>
        </w:tabs>
        <w:ind w:left="2880" w:hanging="720"/>
      </w:pPr>
      <w:rPr>
        <w:rFonts w:ascii="Times New Roman" w:hAnsi="Times New Roman" w:hint="default"/>
        <w:b w:val="0"/>
        <w:i w:val="0"/>
        <w:sz w:val="26"/>
      </w:rPr>
    </w:lvl>
    <w:lvl w:ilvl="4">
      <w:start w:val="1"/>
      <w:numFmt w:val="decimal"/>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nsid w:val="0AD82D6D"/>
    <w:multiLevelType w:val="hybridMultilevel"/>
    <w:tmpl w:val="45E84F1E"/>
    <w:lvl w:ilvl="0" w:tplc="497CAD7E">
      <w:start w:val="3"/>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283EA2"/>
    <w:multiLevelType w:val="singleLevel"/>
    <w:tmpl w:val="1F58ED64"/>
    <w:lvl w:ilvl="0">
      <w:start w:val="1"/>
      <w:numFmt w:val="lowerRoman"/>
      <w:pStyle w:val="Litigation4"/>
      <w:lvlText w:val="(%1)"/>
      <w:lvlJc w:val="left"/>
      <w:pPr>
        <w:tabs>
          <w:tab w:val="num" w:pos="3600"/>
        </w:tabs>
        <w:ind w:left="3600" w:hanging="720"/>
      </w:pPr>
      <w:rPr>
        <w:rFonts w:ascii="Times New Roman" w:hAnsi="Times New Roman" w:hint="default"/>
        <w:b w:val="0"/>
        <w:i w:val="0"/>
        <w:sz w:val="26"/>
      </w:rPr>
    </w:lvl>
  </w:abstractNum>
  <w:abstractNum w:abstractNumId="3">
    <w:nsid w:val="33C70E4F"/>
    <w:multiLevelType w:val="hybridMultilevel"/>
    <w:tmpl w:val="5D1A2EF4"/>
    <w:lvl w:ilvl="0" w:tplc="92566DCA">
      <w:start w:val="3"/>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A26687"/>
    <w:multiLevelType w:val="hybridMultilevel"/>
    <w:tmpl w:val="2C66A8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92B722B"/>
    <w:multiLevelType w:val="hybridMultilevel"/>
    <w:tmpl w:val="8D56A4D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3222AEE"/>
    <w:multiLevelType w:val="singleLevel"/>
    <w:tmpl w:val="A1CCBEB6"/>
    <w:lvl w:ilvl="0">
      <w:start w:val="1"/>
      <w:numFmt w:val="upperLetter"/>
      <w:pStyle w:val="Litigation2"/>
      <w:lvlText w:val="%1."/>
      <w:lvlJc w:val="left"/>
      <w:pPr>
        <w:tabs>
          <w:tab w:val="num" w:pos="2160"/>
        </w:tabs>
        <w:ind w:left="2160" w:hanging="720"/>
      </w:pPr>
      <w:rPr>
        <w:rFonts w:ascii="Times New Roman" w:hAnsi="Times New Roman" w:hint="default"/>
        <w:b w:val="0"/>
        <w:i w:val="0"/>
        <w:caps w:val="0"/>
        <w:strike w:val="0"/>
        <w:dstrike w:val="0"/>
        <w:vanish w:val="0"/>
        <w:color w:val="auto"/>
        <w:spacing w:val="0"/>
        <w:w w:val="100"/>
        <w:kern w:val="0"/>
        <w:position w:val="0"/>
        <w:sz w:val="2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45D66D4C"/>
    <w:multiLevelType w:val="singleLevel"/>
    <w:tmpl w:val="07A232B8"/>
    <w:lvl w:ilvl="0">
      <w:start w:val="1"/>
      <w:numFmt w:val="lowerLetter"/>
      <w:pStyle w:val="Litigation3"/>
      <w:lvlText w:val="%1."/>
      <w:lvlJc w:val="left"/>
      <w:pPr>
        <w:tabs>
          <w:tab w:val="num" w:pos="2880"/>
        </w:tabs>
        <w:ind w:left="2880" w:hanging="720"/>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473631CE"/>
    <w:multiLevelType w:val="hybridMultilevel"/>
    <w:tmpl w:val="AA587FEC"/>
    <w:lvl w:ilvl="0" w:tplc="04090013">
      <w:start w:val="1"/>
      <w:numFmt w:val="upperRoman"/>
      <w:lvlText w:val="%1."/>
      <w:lvlJc w:val="right"/>
      <w:pPr>
        <w:ind w:left="540" w:hanging="720"/>
      </w:pPr>
      <w:rPr>
        <w:rFonts w:hint="default"/>
      </w:rPr>
    </w:lvl>
    <w:lvl w:ilvl="1" w:tplc="28883F46">
      <w:start w:val="1"/>
      <w:numFmt w:val="upperLetter"/>
      <w:lvlText w:val="%2."/>
      <w:lvlJc w:val="left"/>
      <w:pPr>
        <w:ind w:left="900" w:hanging="360"/>
      </w:pPr>
      <w:rPr>
        <w:rFonts w:hint="default"/>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4F9F5A9B"/>
    <w:multiLevelType w:val="hybridMultilevel"/>
    <w:tmpl w:val="43B4CAAC"/>
    <w:lvl w:ilvl="0" w:tplc="4394056C">
      <w:start w:val="1"/>
      <w:numFmt w:val="upperRoman"/>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nsid w:val="51FF5F6F"/>
    <w:multiLevelType w:val="hybridMultilevel"/>
    <w:tmpl w:val="1D0E23B2"/>
    <w:lvl w:ilvl="0" w:tplc="2220AF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8216BE"/>
    <w:multiLevelType w:val="hybridMultilevel"/>
    <w:tmpl w:val="D5E2F8FC"/>
    <w:lvl w:ilvl="0" w:tplc="B2304E64">
      <w:start w:val="1"/>
      <w:numFmt w:val="upperRoman"/>
      <w:lvlText w:val="%1."/>
      <w:lvlJc w:val="left"/>
      <w:pPr>
        <w:ind w:left="540" w:hanging="72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nsid w:val="623C5FF5"/>
    <w:multiLevelType w:val="hybridMultilevel"/>
    <w:tmpl w:val="D6481172"/>
    <w:lvl w:ilvl="0" w:tplc="B7D8564A">
      <w:start w:val="1"/>
      <w:numFmt w:val="decimal"/>
      <w:lvlText w:val="(%1)"/>
      <w:lvlJc w:val="left"/>
      <w:pPr>
        <w:ind w:left="1995" w:hanging="12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C4A7B97"/>
    <w:multiLevelType w:val="hybridMultilevel"/>
    <w:tmpl w:val="6890EF62"/>
    <w:lvl w:ilvl="0" w:tplc="5C6E855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ED914F4"/>
    <w:multiLevelType w:val="multilevel"/>
    <w:tmpl w:val="D6CE4D5E"/>
    <w:lvl w:ilvl="0">
      <w:start w:val="1"/>
      <w:numFmt w:val="decimal"/>
      <w:pStyle w:val="Litigation1"/>
      <w:lvlText w:val="%1."/>
      <w:lvlJc w:val="left"/>
      <w:pPr>
        <w:tabs>
          <w:tab w:val="num" w:pos="1080"/>
        </w:tabs>
        <w:ind w:left="0" w:firstLine="720"/>
      </w:pPr>
      <w:rPr>
        <w:rFonts w:ascii="Times New Roman" w:hAnsi="Times New Roman" w:hint="default"/>
        <w:b w:val="0"/>
        <w:i w:val="0"/>
        <w:sz w:val="26"/>
      </w:rPr>
    </w:lvl>
    <w:lvl w:ilvl="1">
      <w:start w:val="1"/>
      <w:numFmt w:val="lowerLetter"/>
      <w:lvlText w:val="(%2)"/>
      <w:lvlJc w:val="left"/>
      <w:pPr>
        <w:tabs>
          <w:tab w:val="num" w:pos="2880"/>
        </w:tabs>
        <w:ind w:left="2880" w:hanging="720"/>
      </w:pPr>
      <w:rPr>
        <w:rFonts w:ascii="Arial" w:hAnsi="Arial" w:hint="default"/>
        <w:b w:val="0"/>
        <w:i w:val="0"/>
        <w:sz w:val="22"/>
      </w:rPr>
    </w:lvl>
    <w:lvl w:ilvl="2">
      <w:start w:val="1"/>
      <w:numFmt w:val="lowerRoman"/>
      <w:lvlText w:val="(%3)"/>
      <w:lvlJc w:val="left"/>
      <w:pPr>
        <w:tabs>
          <w:tab w:val="num" w:pos="3600"/>
        </w:tabs>
        <w:ind w:left="3600" w:hanging="720"/>
      </w:pPr>
      <w:rPr>
        <w:rFonts w:ascii="Arial" w:hAnsi="Arial" w:hint="default"/>
        <w:b w:val="0"/>
        <w:i w:val="0"/>
        <w:sz w:val="22"/>
      </w:rPr>
    </w:lvl>
    <w:lvl w:ilvl="3">
      <w:start w:val="1"/>
      <w:numFmt w:val="decimal"/>
      <w:lvlText w:val="(%4)"/>
      <w:lvlJc w:val="left"/>
      <w:pPr>
        <w:tabs>
          <w:tab w:val="num" w:pos="3240"/>
        </w:tabs>
        <w:ind w:left="2160" w:firstLine="720"/>
      </w:pPr>
      <w:rPr>
        <w:rFonts w:ascii="Arial" w:hAnsi="Arial" w:hint="default"/>
        <w:b w:val="0"/>
        <w:i w:val="0"/>
        <w:sz w:val="22"/>
      </w:rPr>
    </w:lvl>
    <w:lvl w:ilvl="4">
      <w:start w:val="1"/>
      <w:numFmt w:val="lowerLetter"/>
      <w:lvlText w:val="(%5)"/>
      <w:lvlJc w:val="left"/>
      <w:pPr>
        <w:tabs>
          <w:tab w:val="num" w:pos="2520"/>
        </w:tabs>
        <w:ind w:left="2520" w:hanging="360"/>
      </w:pPr>
      <w:rPr>
        <w:rFonts w:ascii="Arial" w:hAnsi="Arial" w:hint="default"/>
        <w:b w:val="0"/>
        <w:i w:val="0"/>
        <w:sz w:val="22"/>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7FF93EBF"/>
    <w:multiLevelType w:val="hybridMultilevel"/>
    <w:tmpl w:val="DE88ABF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6"/>
  </w:num>
  <w:num w:numId="3">
    <w:abstractNumId w:val="7"/>
  </w:num>
  <w:num w:numId="4">
    <w:abstractNumId w:val="2"/>
  </w:num>
  <w:num w:numId="5">
    <w:abstractNumId w:val="14"/>
  </w:num>
  <w:num w:numId="6">
    <w:abstractNumId w:val="6"/>
  </w:num>
  <w:num w:numId="7">
    <w:abstractNumId w:val="7"/>
  </w:num>
  <w:num w:numId="8">
    <w:abstractNumId w:val="2"/>
  </w:num>
  <w:num w:numId="9">
    <w:abstractNumId w:val="0"/>
  </w:num>
  <w:num w:numId="10">
    <w:abstractNumId w:val="0"/>
  </w:num>
  <w:num w:numId="11">
    <w:abstractNumId w:val="0"/>
  </w:num>
  <w:num w:numId="12">
    <w:abstractNumId w:val="15"/>
  </w:num>
  <w:num w:numId="13">
    <w:abstractNumId w:val="13"/>
  </w:num>
  <w:num w:numId="14">
    <w:abstractNumId w:val="5"/>
  </w:num>
  <w:num w:numId="15">
    <w:abstractNumId w:val="4"/>
  </w:num>
  <w:num w:numId="16">
    <w:abstractNumId w:val="3"/>
  </w:num>
  <w:num w:numId="17">
    <w:abstractNumId w:val="1"/>
  </w:num>
  <w:num w:numId="18">
    <w:abstractNumId w:val="9"/>
  </w:num>
  <w:num w:numId="19">
    <w:abstractNumId w:val="12"/>
  </w:num>
  <w:num w:numId="20">
    <w:abstractNumId w:val="11"/>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eaned" w:val="True"/>
    <w:docVar w:name="IDInfo" w:val="F"/>
  </w:docVars>
  <w:rsids>
    <w:rsidRoot w:val="00743FAB"/>
    <w:rsid w:val="00000FD4"/>
    <w:rsid w:val="0000185E"/>
    <w:rsid w:val="00002581"/>
    <w:rsid w:val="00004399"/>
    <w:rsid w:val="000067FF"/>
    <w:rsid w:val="00011DC2"/>
    <w:rsid w:val="00015008"/>
    <w:rsid w:val="00017BA1"/>
    <w:rsid w:val="0002094E"/>
    <w:rsid w:val="00022AFE"/>
    <w:rsid w:val="000256AE"/>
    <w:rsid w:val="0003001E"/>
    <w:rsid w:val="00030F88"/>
    <w:rsid w:val="00035035"/>
    <w:rsid w:val="00040EB8"/>
    <w:rsid w:val="0004724A"/>
    <w:rsid w:val="000526E2"/>
    <w:rsid w:val="00054988"/>
    <w:rsid w:val="00055774"/>
    <w:rsid w:val="000572A4"/>
    <w:rsid w:val="0005762E"/>
    <w:rsid w:val="00067DCE"/>
    <w:rsid w:val="00075387"/>
    <w:rsid w:val="00076E55"/>
    <w:rsid w:val="00097EAF"/>
    <w:rsid w:val="000A204A"/>
    <w:rsid w:val="000A4A94"/>
    <w:rsid w:val="000B3BE5"/>
    <w:rsid w:val="000B647E"/>
    <w:rsid w:val="000C0E88"/>
    <w:rsid w:val="000C59D9"/>
    <w:rsid w:val="000C5EB3"/>
    <w:rsid w:val="000D0FBF"/>
    <w:rsid w:val="000D5905"/>
    <w:rsid w:val="000E34D9"/>
    <w:rsid w:val="000E5D87"/>
    <w:rsid w:val="000E77D4"/>
    <w:rsid w:val="000F0306"/>
    <w:rsid w:val="000F0B67"/>
    <w:rsid w:val="000F16F2"/>
    <w:rsid w:val="000F4A4E"/>
    <w:rsid w:val="000F6AF8"/>
    <w:rsid w:val="00102CE8"/>
    <w:rsid w:val="00107690"/>
    <w:rsid w:val="00114BD8"/>
    <w:rsid w:val="0011658E"/>
    <w:rsid w:val="0011720C"/>
    <w:rsid w:val="00120B0B"/>
    <w:rsid w:val="00120DAC"/>
    <w:rsid w:val="00122E38"/>
    <w:rsid w:val="00126A92"/>
    <w:rsid w:val="00127C61"/>
    <w:rsid w:val="00131C85"/>
    <w:rsid w:val="001331BB"/>
    <w:rsid w:val="00136DC6"/>
    <w:rsid w:val="0014220D"/>
    <w:rsid w:val="001435F7"/>
    <w:rsid w:val="00145BC3"/>
    <w:rsid w:val="00150218"/>
    <w:rsid w:val="00154307"/>
    <w:rsid w:val="001629FD"/>
    <w:rsid w:val="00162EFF"/>
    <w:rsid w:val="001673D1"/>
    <w:rsid w:val="0016788C"/>
    <w:rsid w:val="001718F8"/>
    <w:rsid w:val="001754C8"/>
    <w:rsid w:val="00181D11"/>
    <w:rsid w:val="00195FC4"/>
    <w:rsid w:val="001A4477"/>
    <w:rsid w:val="001A7A6A"/>
    <w:rsid w:val="001B4822"/>
    <w:rsid w:val="001B5783"/>
    <w:rsid w:val="001B59FD"/>
    <w:rsid w:val="001B60DF"/>
    <w:rsid w:val="001B78F4"/>
    <w:rsid w:val="001C0298"/>
    <w:rsid w:val="001C15D2"/>
    <w:rsid w:val="001C1EBF"/>
    <w:rsid w:val="001C3AE7"/>
    <w:rsid w:val="001C415E"/>
    <w:rsid w:val="001C7F2A"/>
    <w:rsid w:val="001D1037"/>
    <w:rsid w:val="001D24FC"/>
    <w:rsid w:val="001E0285"/>
    <w:rsid w:val="001E65F3"/>
    <w:rsid w:val="001F1BAB"/>
    <w:rsid w:val="001F4441"/>
    <w:rsid w:val="001F4923"/>
    <w:rsid w:val="00202FF8"/>
    <w:rsid w:val="0020568F"/>
    <w:rsid w:val="00205A68"/>
    <w:rsid w:val="002150D1"/>
    <w:rsid w:val="00217210"/>
    <w:rsid w:val="00221BA8"/>
    <w:rsid w:val="0022575A"/>
    <w:rsid w:val="00227B59"/>
    <w:rsid w:val="00235556"/>
    <w:rsid w:val="00235BF2"/>
    <w:rsid w:val="00240CDA"/>
    <w:rsid w:val="0024438E"/>
    <w:rsid w:val="00255A2A"/>
    <w:rsid w:val="0025679A"/>
    <w:rsid w:val="0026472F"/>
    <w:rsid w:val="00264F61"/>
    <w:rsid w:val="00271C43"/>
    <w:rsid w:val="00273A45"/>
    <w:rsid w:val="00277A39"/>
    <w:rsid w:val="002948AC"/>
    <w:rsid w:val="002A0387"/>
    <w:rsid w:val="002A03A5"/>
    <w:rsid w:val="002A786E"/>
    <w:rsid w:val="002B29C3"/>
    <w:rsid w:val="002C0227"/>
    <w:rsid w:val="002C2248"/>
    <w:rsid w:val="002C56FE"/>
    <w:rsid w:val="002D09BD"/>
    <w:rsid w:val="002D403F"/>
    <w:rsid w:val="002E74A1"/>
    <w:rsid w:val="002E7FF3"/>
    <w:rsid w:val="002F2C33"/>
    <w:rsid w:val="00313700"/>
    <w:rsid w:val="00315898"/>
    <w:rsid w:val="00317AB7"/>
    <w:rsid w:val="00325D56"/>
    <w:rsid w:val="0032618A"/>
    <w:rsid w:val="00337C9C"/>
    <w:rsid w:val="00346AA9"/>
    <w:rsid w:val="00363A06"/>
    <w:rsid w:val="0036522A"/>
    <w:rsid w:val="0037035C"/>
    <w:rsid w:val="00370FC5"/>
    <w:rsid w:val="00372B9F"/>
    <w:rsid w:val="00373A7A"/>
    <w:rsid w:val="00377122"/>
    <w:rsid w:val="0038342A"/>
    <w:rsid w:val="00386CF0"/>
    <w:rsid w:val="00391527"/>
    <w:rsid w:val="00391549"/>
    <w:rsid w:val="00392042"/>
    <w:rsid w:val="003A3D19"/>
    <w:rsid w:val="003B4387"/>
    <w:rsid w:val="003C66BC"/>
    <w:rsid w:val="003C695F"/>
    <w:rsid w:val="003E3F10"/>
    <w:rsid w:val="003E4B9C"/>
    <w:rsid w:val="003E7ED5"/>
    <w:rsid w:val="003F1FB4"/>
    <w:rsid w:val="003F5D6D"/>
    <w:rsid w:val="003F7567"/>
    <w:rsid w:val="0040071C"/>
    <w:rsid w:val="004017F8"/>
    <w:rsid w:val="00410D6F"/>
    <w:rsid w:val="004115AD"/>
    <w:rsid w:val="00412078"/>
    <w:rsid w:val="00413EFF"/>
    <w:rsid w:val="00421EF8"/>
    <w:rsid w:val="004233D3"/>
    <w:rsid w:val="004317BA"/>
    <w:rsid w:val="004346C7"/>
    <w:rsid w:val="00435A8C"/>
    <w:rsid w:val="00437CBE"/>
    <w:rsid w:val="004419AA"/>
    <w:rsid w:val="00442090"/>
    <w:rsid w:val="00447847"/>
    <w:rsid w:val="00460441"/>
    <w:rsid w:val="0046500B"/>
    <w:rsid w:val="004676C3"/>
    <w:rsid w:val="0047098C"/>
    <w:rsid w:val="00473088"/>
    <w:rsid w:val="0047482B"/>
    <w:rsid w:val="00476400"/>
    <w:rsid w:val="00477889"/>
    <w:rsid w:val="00482583"/>
    <w:rsid w:val="00483AB0"/>
    <w:rsid w:val="004865CD"/>
    <w:rsid w:val="00491059"/>
    <w:rsid w:val="00495F13"/>
    <w:rsid w:val="004A5116"/>
    <w:rsid w:val="004A54C5"/>
    <w:rsid w:val="004A64DE"/>
    <w:rsid w:val="004B2335"/>
    <w:rsid w:val="004B2E5C"/>
    <w:rsid w:val="004B498D"/>
    <w:rsid w:val="004B5373"/>
    <w:rsid w:val="004B6AD4"/>
    <w:rsid w:val="004B7A55"/>
    <w:rsid w:val="004C1D10"/>
    <w:rsid w:val="004D00F0"/>
    <w:rsid w:val="004D209B"/>
    <w:rsid w:val="004E0B99"/>
    <w:rsid w:val="004E162F"/>
    <w:rsid w:val="004E376A"/>
    <w:rsid w:val="004F04D2"/>
    <w:rsid w:val="004F664F"/>
    <w:rsid w:val="00510D3E"/>
    <w:rsid w:val="00512469"/>
    <w:rsid w:val="005132EF"/>
    <w:rsid w:val="005137C1"/>
    <w:rsid w:val="005242B5"/>
    <w:rsid w:val="005247B8"/>
    <w:rsid w:val="0053288C"/>
    <w:rsid w:val="005330F2"/>
    <w:rsid w:val="0053348E"/>
    <w:rsid w:val="005353AE"/>
    <w:rsid w:val="00537469"/>
    <w:rsid w:val="00543FE6"/>
    <w:rsid w:val="005443AB"/>
    <w:rsid w:val="0054535A"/>
    <w:rsid w:val="00563C88"/>
    <w:rsid w:val="005640D5"/>
    <w:rsid w:val="00570AE3"/>
    <w:rsid w:val="00575AB0"/>
    <w:rsid w:val="005764E4"/>
    <w:rsid w:val="00580A45"/>
    <w:rsid w:val="0058194D"/>
    <w:rsid w:val="00585BAC"/>
    <w:rsid w:val="00587223"/>
    <w:rsid w:val="00594FE7"/>
    <w:rsid w:val="00595F87"/>
    <w:rsid w:val="005A63EE"/>
    <w:rsid w:val="005D24F1"/>
    <w:rsid w:val="005D27AC"/>
    <w:rsid w:val="005D40AF"/>
    <w:rsid w:val="005D4BB5"/>
    <w:rsid w:val="005F4FC7"/>
    <w:rsid w:val="00601E69"/>
    <w:rsid w:val="00604319"/>
    <w:rsid w:val="00615C18"/>
    <w:rsid w:val="00615D27"/>
    <w:rsid w:val="00616EDA"/>
    <w:rsid w:val="00624C5D"/>
    <w:rsid w:val="00672118"/>
    <w:rsid w:val="006757AF"/>
    <w:rsid w:val="00680BBC"/>
    <w:rsid w:val="00684160"/>
    <w:rsid w:val="00685457"/>
    <w:rsid w:val="00692271"/>
    <w:rsid w:val="006A635E"/>
    <w:rsid w:val="006A7FF6"/>
    <w:rsid w:val="006B386D"/>
    <w:rsid w:val="006C0C68"/>
    <w:rsid w:val="006C0DA1"/>
    <w:rsid w:val="006C3FFC"/>
    <w:rsid w:val="006C682C"/>
    <w:rsid w:val="006C6FE0"/>
    <w:rsid w:val="006D1830"/>
    <w:rsid w:val="006D5DFB"/>
    <w:rsid w:val="006E19B0"/>
    <w:rsid w:val="006E24F7"/>
    <w:rsid w:val="006E3384"/>
    <w:rsid w:val="006E7FCA"/>
    <w:rsid w:val="006F166A"/>
    <w:rsid w:val="006F2ADC"/>
    <w:rsid w:val="006F70ED"/>
    <w:rsid w:val="0072366E"/>
    <w:rsid w:val="00727FCE"/>
    <w:rsid w:val="00737351"/>
    <w:rsid w:val="00740B70"/>
    <w:rsid w:val="00740BE9"/>
    <w:rsid w:val="00743FAB"/>
    <w:rsid w:val="0074629F"/>
    <w:rsid w:val="007530F0"/>
    <w:rsid w:val="00755FD8"/>
    <w:rsid w:val="007570B3"/>
    <w:rsid w:val="007708AC"/>
    <w:rsid w:val="00771E44"/>
    <w:rsid w:val="007809D6"/>
    <w:rsid w:val="00785A06"/>
    <w:rsid w:val="00785ACE"/>
    <w:rsid w:val="0078685E"/>
    <w:rsid w:val="00793280"/>
    <w:rsid w:val="007A26AE"/>
    <w:rsid w:val="007A346B"/>
    <w:rsid w:val="007A6C17"/>
    <w:rsid w:val="007A6E41"/>
    <w:rsid w:val="007A79F9"/>
    <w:rsid w:val="007D31E5"/>
    <w:rsid w:val="007E0802"/>
    <w:rsid w:val="007E1058"/>
    <w:rsid w:val="007E71CD"/>
    <w:rsid w:val="007F07E1"/>
    <w:rsid w:val="007F3021"/>
    <w:rsid w:val="007F4622"/>
    <w:rsid w:val="007F5628"/>
    <w:rsid w:val="00801422"/>
    <w:rsid w:val="008023CD"/>
    <w:rsid w:val="00813314"/>
    <w:rsid w:val="008134AB"/>
    <w:rsid w:val="00820FEB"/>
    <w:rsid w:val="008301B8"/>
    <w:rsid w:val="00832479"/>
    <w:rsid w:val="00833540"/>
    <w:rsid w:val="00842597"/>
    <w:rsid w:val="008450D2"/>
    <w:rsid w:val="00856900"/>
    <w:rsid w:val="008575AB"/>
    <w:rsid w:val="00867635"/>
    <w:rsid w:val="00871062"/>
    <w:rsid w:val="00872A9F"/>
    <w:rsid w:val="008756CB"/>
    <w:rsid w:val="00880CAF"/>
    <w:rsid w:val="00883319"/>
    <w:rsid w:val="00884070"/>
    <w:rsid w:val="008852D0"/>
    <w:rsid w:val="00885A6E"/>
    <w:rsid w:val="008902CD"/>
    <w:rsid w:val="008A1D3E"/>
    <w:rsid w:val="008A4EE8"/>
    <w:rsid w:val="008A76AF"/>
    <w:rsid w:val="008B5CDC"/>
    <w:rsid w:val="008B6063"/>
    <w:rsid w:val="008C040A"/>
    <w:rsid w:val="008C74A3"/>
    <w:rsid w:val="008D004A"/>
    <w:rsid w:val="008D1268"/>
    <w:rsid w:val="008D6262"/>
    <w:rsid w:val="008E1342"/>
    <w:rsid w:val="008E19AE"/>
    <w:rsid w:val="008E2235"/>
    <w:rsid w:val="008E28E2"/>
    <w:rsid w:val="008F5232"/>
    <w:rsid w:val="008F71D6"/>
    <w:rsid w:val="0090606D"/>
    <w:rsid w:val="00914653"/>
    <w:rsid w:val="00915082"/>
    <w:rsid w:val="00926240"/>
    <w:rsid w:val="0093285D"/>
    <w:rsid w:val="00936A99"/>
    <w:rsid w:val="009375C4"/>
    <w:rsid w:val="009412C3"/>
    <w:rsid w:val="00953C30"/>
    <w:rsid w:val="009608E0"/>
    <w:rsid w:val="009657AA"/>
    <w:rsid w:val="00966FC0"/>
    <w:rsid w:val="0096701B"/>
    <w:rsid w:val="009743FA"/>
    <w:rsid w:val="00974901"/>
    <w:rsid w:val="009749E8"/>
    <w:rsid w:val="00976317"/>
    <w:rsid w:val="009820B2"/>
    <w:rsid w:val="009909A3"/>
    <w:rsid w:val="00997DE7"/>
    <w:rsid w:val="009A0A2D"/>
    <w:rsid w:val="009A0A80"/>
    <w:rsid w:val="009A0DC7"/>
    <w:rsid w:val="009A6737"/>
    <w:rsid w:val="009B201A"/>
    <w:rsid w:val="009B5075"/>
    <w:rsid w:val="009C746D"/>
    <w:rsid w:val="009D2B67"/>
    <w:rsid w:val="009E3CA6"/>
    <w:rsid w:val="009E4BFA"/>
    <w:rsid w:val="009E631D"/>
    <w:rsid w:val="009F13F7"/>
    <w:rsid w:val="009F3924"/>
    <w:rsid w:val="009F3D03"/>
    <w:rsid w:val="009F4A7D"/>
    <w:rsid w:val="009F5B11"/>
    <w:rsid w:val="009F7773"/>
    <w:rsid w:val="00A003ED"/>
    <w:rsid w:val="00A04867"/>
    <w:rsid w:val="00A07657"/>
    <w:rsid w:val="00A10F40"/>
    <w:rsid w:val="00A12ABA"/>
    <w:rsid w:val="00A1424C"/>
    <w:rsid w:val="00A14560"/>
    <w:rsid w:val="00A22197"/>
    <w:rsid w:val="00A22F7D"/>
    <w:rsid w:val="00A24C9B"/>
    <w:rsid w:val="00A26F10"/>
    <w:rsid w:val="00A32A85"/>
    <w:rsid w:val="00A338D8"/>
    <w:rsid w:val="00A33D74"/>
    <w:rsid w:val="00A372ED"/>
    <w:rsid w:val="00A40BDA"/>
    <w:rsid w:val="00A41625"/>
    <w:rsid w:val="00A4312E"/>
    <w:rsid w:val="00A4339E"/>
    <w:rsid w:val="00A45099"/>
    <w:rsid w:val="00A46F00"/>
    <w:rsid w:val="00A55654"/>
    <w:rsid w:val="00A642B4"/>
    <w:rsid w:val="00A64743"/>
    <w:rsid w:val="00A71131"/>
    <w:rsid w:val="00A716CA"/>
    <w:rsid w:val="00A76C07"/>
    <w:rsid w:val="00A80205"/>
    <w:rsid w:val="00A80A95"/>
    <w:rsid w:val="00A80D3E"/>
    <w:rsid w:val="00A81058"/>
    <w:rsid w:val="00A863D4"/>
    <w:rsid w:val="00A95EFC"/>
    <w:rsid w:val="00AA6CA8"/>
    <w:rsid w:val="00AB7F89"/>
    <w:rsid w:val="00AC7DCD"/>
    <w:rsid w:val="00AC7E14"/>
    <w:rsid w:val="00AD1F64"/>
    <w:rsid w:val="00AD735C"/>
    <w:rsid w:val="00AE2F1F"/>
    <w:rsid w:val="00AE6107"/>
    <w:rsid w:val="00AE6559"/>
    <w:rsid w:val="00AF2814"/>
    <w:rsid w:val="00B12678"/>
    <w:rsid w:val="00B1322A"/>
    <w:rsid w:val="00B14A43"/>
    <w:rsid w:val="00B1531B"/>
    <w:rsid w:val="00B27841"/>
    <w:rsid w:val="00B312B2"/>
    <w:rsid w:val="00B31D4A"/>
    <w:rsid w:val="00B34EA6"/>
    <w:rsid w:val="00B35046"/>
    <w:rsid w:val="00B409A6"/>
    <w:rsid w:val="00B414B6"/>
    <w:rsid w:val="00B432AD"/>
    <w:rsid w:val="00B508B2"/>
    <w:rsid w:val="00B5134E"/>
    <w:rsid w:val="00B5473E"/>
    <w:rsid w:val="00B61196"/>
    <w:rsid w:val="00B67D03"/>
    <w:rsid w:val="00B72190"/>
    <w:rsid w:val="00B82887"/>
    <w:rsid w:val="00B90A37"/>
    <w:rsid w:val="00B92EAD"/>
    <w:rsid w:val="00BA2936"/>
    <w:rsid w:val="00BB005B"/>
    <w:rsid w:val="00BB046C"/>
    <w:rsid w:val="00BB0562"/>
    <w:rsid w:val="00BB0DF9"/>
    <w:rsid w:val="00BB46B5"/>
    <w:rsid w:val="00BB5188"/>
    <w:rsid w:val="00BC0DFF"/>
    <w:rsid w:val="00BC6FFC"/>
    <w:rsid w:val="00BD103B"/>
    <w:rsid w:val="00BD2FAF"/>
    <w:rsid w:val="00BD6E49"/>
    <w:rsid w:val="00BE2D02"/>
    <w:rsid w:val="00BE3424"/>
    <w:rsid w:val="00BE41A7"/>
    <w:rsid w:val="00BF0639"/>
    <w:rsid w:val="00BF431D"/>
    <w:rsid w:val="00C11DC7"/>
    <w:rsid w:val="00C2057A"/>
    <w:rsid w:val="00C26D9C"/>
    <w:rsid w:val="00C34C33"/>
    <w:rsid w:val="00C35FE2"/>
    <w:rsid w:val="00C37E92"/>
    <w:rsid w:val="00C4106E"/>
    <w:rsid w:val="00C441E9"/>
    <w:rsid w:val="00C45682"/>
    <w:rsid w:val="00C45FA8"/>
    <w:rsid w:val="00C46B22"/>
    <w:rsid w:val="00C51A19"/>
    <w:rsid w:val="00C60A0E"/>
    <w:rsid w:val="00C61DB9"/>
    <w:rsid w:val="00C632E5"/>
    <w:rsid w:val="00C70266"/>
    <w:rsid w:val="00C737AE"/>
    <w:rsid w:val="00C77939"/>
    <w:rsid w:val="00C80371"/>
    <w:rsid w:val="00C82AE4"/>
    <w:rsid w:val="00C85BD9"/>
    <w:rsid w:val="00C906F5"/>
    <w:rsid w:val="00C90EE8"/>
    <w:rsid w:val="00C92A7C"/>
    <w:rsid w:val="00C97923"/>
    <w:rsid w:val="00C97F62"/>
    <w:rsid w:val="00CA4C71"/>
    <w:rsid w:val="00CA57D2"/>
    <w:rsid w:val="00CA650F"/>
    <w:rsid w:val="00CA6AF9"/>
    <w:rsid w:val="00CB1B62"/>
    <w:rsid w:val="00CB408E"/>
    <w:rsid w:val="00CB45E6"/>
    <w:rsid w:val="00CB79BA"/>
    <w:rsid w:val="00CC10BE"/>
    <w:rsid w:val="00CC4C96"/>
    <w:rsid w:val="00CC7CCF"/>
    <w:rsid w:val="00CD0BFC"/>
    <w:rsid w:val="00CD3338"/>
    <w:rsid w:val="00CD6B98"/>
    <w:rsid w:val="00CD6E52"/>
    <w:rsid w:val="00CD7591"/>
    <w:rsid w:val="00CE4A1D"/>
    <w:rsid w:val="00CF0FA0"/>
    <w:rsid w:val="00CF4DD7"/>
    <w:rsid w:val="00CF7EED"/>
    <w:rsid w:val="00D0078F"/>
    <w:rsid w:val="00D05523"/>
    <w:rsid w:val="00D0769E"/>
    <w:rsid w:val="00D07784"/>
    <w:rsid w:val="00D0786A"/>
    <w:rsid w:val="00D17789"/>
    <w:rsid w:val="00D17B24"/>
    <w:rsid w:val="00D2530C"/>
    <w:rsid w:val="00D25EDB"/>
    <w:rsid w:val="00D26005"/>
    <w:rsid w:val="00D42F0A"/>
    <w:rsid w:val="00D43C76"/>
    <w:rsid w:val="00D44F4E"/>
    <w:rsid w:val="00D4693A"/>
    <w:rsid w:val="00D51CE4"/>
    <w:rsid w:val="00D5322A"/>
    <w:rsid w:val="00D568F3"/>
    <w:rsid w:val="00D6001F"/>
    <w:rsid w:val="00D6013D"/>
    <w:rsid w:val="00D60BD2"/>
    <w:rsid w:val="00D63BCF"/>
    <w:rsid w:val="00D67931"/>
    <w:rsid w:val="00D700DB"/>
    <w:rsid w:val="00D77106"/>
    <w:rsid w:val="00D86E22"/>
    <w:rsid w:val="00D91C83"/>
    <w:rsid w:val="00D9221C"/>
    <w:rsid w:val="00D95684"/>
    <w:rsid w:val="00D977CE"/>
    <w:rsid w:val="00DA09C9"/>
    <w:rsid w:val="00DA1049"/>
    <w:rsid w:val="00DA1EF2"/>
    <w:rsid w:val="00DA7010"/>
    <w:rsid w:val="00DB2C8E"/>
    <w:rsid w:val="00DB4F22"/>
    <w:rsid w:val="00DB7914"/>
    <w:rsid w:val="00DC0B1A"/>
    <w:rsid w:val="00DD1B53"/>
    <w:rsid w:val="00DD2DFB"/>
    <w:rsid w:val="00DE3050"/>
    <w:rsid w:val="00DE4A08"/>
    <w:rsid w:val="00DF0223"/>
    <w:rsid w:val="00DF5F11"/>
    <w:rsid w:val="00DF7B3A"/>
    <w:rsid w:val="00E11864"/>
    <w:rsid w:val="00E11D67"/>
    <w:rsid w:val="00E135A4"/>
    <w:rsid w:val="00E153F8"/>
    <w:rsid w:val="00E159F8"/>
    <w:rsid w:val="00E27EB7"/>
    <w:rsid w:val="00E40500"/>
    <w:rsid w:val="00E4097B"/>
    <w:rsid w:val="00E46034"/>
    <w:rsid w:val="00E46E30"/>
    <w:rsid w:val="00E54961"/>
    <w:rsid w:val="00E56C0E"/>
    <w:rsid w:val="00E60824"/>
    <w:rsid w:val="00E704BF"/>
    <w:rsid w:val="00E71390"/>
    <w:rsid w:val="00E74675"/>
    <w:rsid w:val="00E7777F"/>
    <w:rsid w:val="00E90074"/>
    <w:rsid w:val="00E935A1"/>
    <w:rsid w:val="00E94166"/>
    <w:rsid w:val="00EA1E4C"/>
    <w:rsid w:val="00EA2A3D"/>
    <w:rsid w:val="00EA2A6A"/>
    <w:rsid w:val="00EA2EFB"/>
    <w:rsid w:val="00EA3D35"/>
    <w:rsid w:val="00EA4617"/>
    <w:rsid w:val="00EA6DAA"/>
    <w:rsid w:val="00EB004C"/>
    <w:rsid w:val="00EB63A9"/>
    <w:rsid w:val="00EC1C57"/>
    <w:rsid w:val="00EC726B"/>
    <w:rsid w:val="00ED3904"/>
    <w:rsid w:val="00EE2CE5"/>
    <w:rsid w:val="00F01377"/>
    <w:rsid w:val="00F2210F"/>
    <w:rsid w:val="00F25647"/>
    <w:rsid w:val="00F2600A"/>
    <w:rsid w:val="00F26239"/>
    <w:rsid w:val="00F316DB"/>
    <w:rsid w:val="00F37A3A"/>
    <w:rsid w:val="00F430EE"/>
    <w:rsid w:val="00F432DF"/>
    <w:rsid w:val="00F5047F"/>
    <w:rsid w:val="00F62A59"/>
    <w:rsid w:val="00F820D9"/>
    <w:rsid w:val="00F93815"/>
    <w:rsid w:val="00F950FC"/>
    <w:rsid w:val="00FA1709"/>
    <w:rsid w:val="00FB0489"/>
    <w:rsid w:val="00FB6665"/>
    <w:rsid w:val="00FC426C"/>
    <w:rsid w:val="00FC4271"/>
    <w:rsid w:val="00FC6FA1"/>
    <w:rsid w:val="00FC7702"/>
    <w:rsid w:val="00FD1A27"/>
    <w:rsid w:val="00FD64BF"/>
    <w:rsid w:val="00FD7F3F"/>
    <w:rsid w:val="00FE09A7"/>
    <w:rsid w:val="00FE170F"/>
    <w:rsid w:val="00FE175B"/>
    <w:rsid w:val="00FF0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48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line="240" w:lineRule="exact"/>
    </w:pPr>
    <w:rPr>
      <w:sz w:val="26"/>
    </w:rPr>
  </w:style>
  <w:style w:type="paragraph" w:styleId="Heading1">
    <w:name w:val="heading 1"/>
    <w:basedOn w:val="Normal"/>
    <w:next w:val="DBody"/>
    <w:qFormat/>
    <w:pPr>
      <w:numPr>
        <w:numId w:val="11"/>
      </w:numPr>
      <w:jc w:val="both"/>
      <w:outlineLvl w:val="0"/>
    </w:pPr>
    <w:rPr>
      <w:sz w:val="24"/>
    </w:rPr>
  </w:style>
  <w:style w:type="paragraph" w:styleId="Heading2">
    <w:name w:val="heading 2"/>
    <w:basedOn w:val="Normal"/>
    <w:next w:val="DBody"/>
    <w:qFormat/>
    <w:pPr>
      <w:widowControl/>
      <w:numPr>
        <w:ilvl w:val="1"/>
        <w:numId w:val="11"/>
      </w:numPr>
      <w:spacing w:line="480" w:lineRule="exact"/>
      <w:jc w:val="both"/>
      <w:outlineLvl w:val="1"/>
    </w:pPr>
  </w:style>
  <w:style w:type="paragraph" w:styleId="Heading3">
    <w:name w:val="heading 3"/>
    <w:basedOn w:val="Normal"/>
    <w:next w:val="DBody"/>
    <w:qFormat/>
    <w:pPr>
      <w:numPr>
        <w:ilvl w:val="2"/>
        <w:numId w:val="11"/>
      </w:numPr>
      <w:jc w:val="both"/>
      <w:outlineLvl w:val="2"/>
    </w:pPr>
    <w:rPr>
      <w:sz w:val="24"/>
    </w:rPr>
  </w:style>
  <w:style w:type="paragraph" w:styleId="Heading4">
    <w:name w:val="heading 4"/>
    <w:basedOn w:val="Normal"/>
    <w:next w:val="DBody"/>
    <w:qFormat/>
    <w:pPr>
      <w:numPr>
        <w:ilvl w:val="3"/>
        <w:numId w:val="11"/>
      </w:numPr>
      <w:tabs>
        <w:tab w:val="left" w:pos="2160"/>
      </w:tabs>
      <w:spacing w:line="480" w:lineRule="exact"/>
      <w:jc w:val="both"/>
      <w:outlineLvl w:val="3"/>
    </w:pPr>
  </w:style>
  <w:style w:type="paragraph" w:styleId="Heading5">
    <w:name w:val="heading 5"/>
    <w:basedOn w:val="Normal"/>
    <w:next w:val="DBody"/>
    <w:qFormat/>
    <w:pPr>
      <w:numPr>
        <w:ilvl w:val="4"/>
        <w:numId w:val="11"/>
      </w:numPr>
      <w:jc w:val="both"/>
      <w:outlineLvl w:val="4"/>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ineNumbers">
    <w:name w:val="LineNumbers"/>
    <w:basedOn w:val="Normal"/>
    <w:pPr>
      <w:jc w:val="right"/>
    </w:pPr>
  </w:style>
  <w:style w:type="paragraph" w:customStyle="1" w:styleId="SingleSpacing">
    <w:name w:val="Single Spacing"/>
    <w:basedOn w:val="Normal"/>
  </w:style>
  <w:style w:type="paragraph" w:styleId="FootnoteText">
    <w:name w:val="footnote text"/>
    <w:basedOn w:val="Normal"/>
    <w:pPr>
      <w:jc w:val="both"/>
    </w:pPr>
  </w:style>
  <w:style w:type="paragraph" w:customStyle="1" w:styleId="DoubleSpacing">
    <w:name w:val="Double Spacing"/>
    <w:basedOn w:val="Normal"/>
    <w:pPr>
      <w:spacing w:line="480" w:lineRule="exact"/>
      <w:jc w:val="both"/>
    </w:pPr>
  </w:style>
  <w:style w:type="character" w:styleId="PageNumber">
    <w:name w:val="page number"/>
    <w:rPr>
      <w:rFonts w:ascii="Times New Roman" w:hAnsi="Times New Roman"/>
      <w:spacing w:val="0"/>
      <w:position w:val="0"/>
      <w:sz w:val="24"/>
    </w:rPr>
  </w:style>
  <w:style w:type="paragraph" w:customStyle="1" w:styleId="Address">
    <w:name w:val="Address"/>
    <w:basedOn w:val="SingleSpacing"/>
  </w:style>
  <w:style w:type="paragraph" w:customStyle="1" w:styleId="CourtName">
    <w:name w:val="CourtName"/>
    <w:basedOn w:val="Normal"/>
    <w:pPr>
      <w:jc w:val="center"/>
    </w:pPr>
  </w:style>
  <w:style w:type="paragraph" w:styleId="EnvelopeAddress">
    <w:name w:val="envelope address"/>
    <w:basedOn w:val="Normal"/>
    <w:pPr>
      <w:framePr w:w="7920" w:h="1980" w:hRule="exact" w:hSpace="180" w:wrap="auto" w:hAnchor="page" w:xAlign="center" w:yAlign="bottom"/>
      <w:ind w:left="2880"/>
    </w:pPr>
  </w:style>
  <w:style w:type="paragraph" w:customStyle="1" w:styleId="Pleading">
    <w:name w:val="Pleading"/>
    <w:basedOn w:val="Normal"/>
  </w:style>
  <w:style w:type="paragraph" w:customStyle="1" w:styleId="Pleadingdouble">
    <w:name w:val="Pleading_double"/>
    <w:basedOn w:val="Pleading"/>
    <w:pPr>
      <w:spacing w:line="480" w:lineRule="exact"/>
      <w:ind w:firstLine="720"/>
      <w:jc w:val="both"/>
    </w:pPr>
  </w:style>
  <w:style w:type="paragraph" w:customStyle="1" w:styleId="DBody">
    <w:name w:val="~DBody"/>
    <w:basedOn w:val="Normal"/>
    <w:pPr>
      <w:spacing w:line="480" w:lineRule="exact"/>
      <w:jc w:val="both"/>
    </w:pPr>
  </w:style>
  <w:style w:type="paragraph" w:styleId="Title">
    <w:name w:val="Title"/>
    <w:basedOn w:val="Normal"/>
    <w:qFormat/>
    <w:pPr>
      <w:spacing w:before="240" w:after="60"/>
      <w:jc w:val="center"/>
    </w:pPr>
    <w:rPr>
      <w:rFonts w:ascii="Arial" w:hAnsi="Arial"/>
      <w:b/>
      <w:kern w:val="28"/>
      <w:sz w:val="32"/>
    </w:rPr>
  </w:style>
  <w:style w:type="character" w:styleId="FootnoteReference">
    <w:name w:val="footnote reference"/>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Litigation1">
    <w:name w:val="Litigation 1"/>
    <w:pPr>
      <w:numPr>
        <w:numId w:val="5"/>
      </w:numPr>
      <w:tabs>
        <w:tab w:val="clear" w:pos="1080"/>
        <w:tab w:val="left" w:pos="720"/>
      </w:tabs>
      <w:spacing w:line="480" w:lineRule="exact"/>
      <w:jc w:val="both"/>
    </w:pPr>
    <w:rPr>
      <w:sz w:val="26"/>
    </w:rPr>
  </w:style>
  <w:style w:type="paragraph" w:customStyle="1" w:styleId="Litigation2">
    <w:name w:val="Litigation 2"/>
    <w:pPr>
      <w:numPr>
        <w:numId w:val="6"/>
      </w:numPr>
      <w:spacing w:line="480" w:lineRule="exact"/>
      <w:jc w:val="both"/>
    </w:pPr>
    <w:rPr>
      <w:sz w:val="26"/>
    </w:rPr>
  </w:style>
  <w:style w:type="paragraph" w:customStyle="1" w:styleId="Litigation3">
    <w:name w:val="Litigation 3"/>
    <w:pPr>
      <w:numPr>
        <w:numId w:val="7"/>
      </w:numPr>
      <w:spacing w:before="240" w:line="240" w:lineRule="exact"/>
      <w:jc w:val="both"/>
    </w:pPr>
    <w:rPr>
      <w:sz w:val="26"/>
    </w:rPr>
  </w:style>
  <w:style w:type="paragraph" w:customStyle="1" w:styleId="Litigation4">
    <w:name w:val="Litigation 4"/>
    <w:pPr>
      <w:numPr>
        <w:numId w:val="8"/>
      </w:numPr>
      <w:spacing w:before="240" w:line="240" w:lineRule="exact"/>
      <w:jc w:val="both"/>
    </w:pPr>
    <w:rPr>
      <w:sz w:val="26"/>
    </w:rPr>
  </w:style>
  <w:style w:type="paragraph" w:customStyle="1" w:styleId="PleadingQuote">
    <w:name w:val="Pleading Quote"/>
    <w:basedOn w:val="Normal"/>
    <w:pPr>
      <w:widowControl/>
      <w:ind w:left="1440" w:right="1440"/>
      <w:jc w:val="both"/>
    </w:pPr>
  </w:style>
  <w:style w:type="paragraph" w:customStyle="1" w:styleId="PleadingBlockText">
    <w:name w:val="Pleading Block Text"/>
    <w:basedOn w:val="Normal"/>
    <w:pPr>
      <w:autoSpaceDE w:val="0"/>
      <w:autoSpaceDN w:val="0"/>
      <w:adjustRightInd w:val="0"/>
      <w:ind w:left="1440" w:right="1440"/>
      <w:jc w:val="both"/>
    </w:pPr>
    <w:rPr>
      <w:szCs w:val="24"/>
    </w:rPr>
  </w:style>
  <w:style w:type="paragraph" w:customStyle="1" w:styleId="PleadingParagraphs">
    <w:name w:val="Pleading Paragraphs"/>
    <w:basedOn w:val="Normal"/>
    <w:pPr>
      <w:autoSpaceDE w:val="0"/>
      <w:autoSpaceDN w:val="0"/>
      <w:adjustRightInd w:val="0"/>
      <w:spacing w:line="480" w:lineRule="exact"/>
      <w:ind w:firstLine="720"/>
      <w:jc w:val="both"/>
    </w:pPr>
    <w:rPr>
      <w:szCs w:val="24"/>
    </w:rPr>
  </w:style>
  <w:style w:type="paragraph" w:styleId="BalloonText">
    <w:name w:val="Balloon Text"/>
    <w:basedOn w:val="Normal"/>
    <w:semiHidden/>
    <w:rPr>
      <w:rFonts w:ascii="Tahoma" w:hAnsi="Tahoma" w:cs="Tahoma"/>
      <w:sz w:val="16"/>
      <w:szCs w:val="16"/>
    </w:rPr>
  </w:style>
  <w:style w:type="paragraph" w:customStyle="1" w:styleId="CourtTitle">
    <w:name w:val="~CourtTitle"/>
    <w:basedOn w:val="Normal"/>
    <w:pPr>
      <w:widowControl/>
      <w:spacing w:line="476" w:lineRule="exact"/>
      <w:jc w:val="center"/>
    </w:pPr>
    <w:rPr>
      <w:b/>
      <w:szCs w:val="24"/>
    </w:rPr>
  </w:style>
  <w:style w:type="paragraph" w:customStyle="1" w:styleId="PldSHName">
    <w:name w:val="°PldSHName"/>
    <w:pPr>
      <w:spacing w:after="40"/>
      <w:ind w:right="4176"/>
      <w:jc w:val="center"/>
    </w:pPr>
    <w:rPr>
      <w:rFonts w:ascii="Arial" w:hAnsi="Arial"/>
      <w:b/>
      <w:smallCaps/>
      <w:spacing w:val="20"/>
      <w:position w:val="-6"/>
      <w:sz w:val="14"/>
    </w:rPr>
  </w:style>
  <w:style w:type="paragraph" w:customStyle="1" w:styleId="PldSHLawOffice">
    <w:name w:val="PldSHLawOffice"/>
    <w:pPr>
      <w:ind w:right="4176"/>
      <w:jc w:val="center"/>
    </w:pPr>
    <w:rPr>
      <w:rFonts w:ascii="Arial" w:hAnsi="Arial"/>
      <w:b/>
      <w:smallCaps/>
      <w:spacing w:val="20"/>
      <w:position w:val="-6"/>
      <w:sz w:val="14"/>
    </w:rPr>
  </w:style>
  <w:style w:type="paragraph" w:customStyle="1" w:styleId="PldSHAddress">
    <w:name w:val="°PldSHAddress"/>
    <w:pPr>
      <w:spacing w:after="40"/>
      <w:ind w:right="4176"/>
      <w:contextualSpacing/>
      <w:jc w:val="center"/>
    </w:pPr>
    <w:rPr>
      <w:rFonts w:ascii="Arial" w:hAnsi="Arial"/>
      <w:caps/>
      <w:spacing w:val="20"/>
      <w:position w:val="-6"/>
      <w:sz w:val="10"/>
    </w:rPr>
  </w:style>
  <w:style w:type="paragraph" w:customStyle="1" w:styleId="PldSHPhone">
    <w:name w:val="PldSHPhone"/>
    <w:pPr>
      <w:spacing w:after="40"/>
      <w:ind w:right="4176"/>
      <w:contextualSpacing/>
      <w:jc w:val="center"/>
      <w:outlineLvl w:val="0"/>
    </w:pPr>
    <w:rPr>
      <w:rFonts w:ascii="Arial" w:hAnsi="Arial"/>
      <w:caps/>
      <w:spacing w:val="20"/>
      <w:position w:val="-6"/>
      <w:sz w:val="10"/>
    </w:rPr>
  </w:style>
  <w:style w:type="paragraph" w:customStyle="1" w:styleId="PldSHFirmBarNo">
    <w:name w:val="PldSHFirmBarNo"/>
    <w:pPr>
      <w:ind w:right="4320"/>
      <w:jc w:val="center"/>
      <w:outlineLvl w:val="0"/>
    </w:pPr>
    <w:rPr>
      <w:rFonts w:ascii="Arial" w:hAnsi="Arial"/>
      <w:caps/>
      <w:spacing w:val="20"/>
      <w:position w:val="-6"/>
      <w:sz w:val="10"/>
    </w:rPr>
  </w:style>
  <w:style w:type="paragraph" w:customStyle="1" w:styleId="PldSHAtty1">
    <w:name w:val="°PldSHAtty1"/>
    <w:pPr>
      <w:spacing w:line="240" w:lineRule="exact"/>
      <w:ind w:right="4320"/>
      <w:jc w:val="center"/>
    </w:pPr>
  </w:style>
  <w:style w:type="paragraph" w:customStyle="1" w:styleId="PldSHParties">
    <w:name w:val="°PldSHParties"/>
    <w:basedOn w:val="Normal"/>
    <w:pPr>
      <w:ind w:right="4320"/>
      <w:jc w:val="center"/>
      <w:outlineLvl w:val="0"/>
    </w:pPr>
    <w:rPr>
      <w:sz w:val="20"/>
    </w:rPr>
  </w:style>
  <w:style w:type="paragraph" w:customStyle="1" w:styleId="SigBlock">
    <w:name w:val="°SigBlock"/>
    <w:basedOn w:val="Normal"/>
    <w:pPr>
      <w:keepNext/>
      <w:ind w:left="3960"/>
    </w:pPr>
  </w:style>
  <w:style w:type="paragraph" w:customStyle="1" w:styleId="SigBlock2">
    <w:name w:val="°SigBlock2"/>
    <w:basedOn w:val="SigBlock"/>
    <w:pPr>
      <w:ind w:left="4248"/>
    </w:pPr>
  </w:style>
  <w:style w:type="paragraph" w:customStyle="1" w:styleId="SBody">
    <w:name w:val="~SBody"/>
    <w:basedOn w:val="Normal"/>
    <w:pPr>
      <w:jc w:val="both"/>
    </w:pPr>
  </w:style>
  <w:style w:type="paragraph" w:customStyle="1" w:styleId="DBodyFLIndent">
    <w:name w:val="~DBody FLIndent"/>
    <w:basedOn w:val="DBody"/>
    <w:pPr>
      <w:ind w:firstLine="720"/>
    </w:pPr>
  </w:style>
  <w:style w:type="paragraph" w:customStyle="1" w:styleId="Quote1">
    <w:name w:val="~Quote1"/>
    <w:basedOn w:val="SBody"/>
    <w:pPr>
      <w:spacing w:before="240"/>
      <w:ind w:left="720" w:right="720"/>
    </w:pPr>
  </w:style>
  <w:style w:type="paragraph" w:customStyle="1" w:styleId="Quote2">
    <w:name w:val="~Quote2"/>
    <w:basedOn w:val="Quote1"/>
    <w:pPr>
      <w:ind w:left="1440" w:right="1440"/>
    </w:pPr>
  </w:style>
  <w:style w:type="paragraph" w:customStyle="1" w:styleId="Title1B">
    <w:name w:val="~Title1 B"/>
    <w:basedOn w:val="SBody"/>
    <w:pPr>
      <w:jc w:val="center"/>
    </w:pPr>
    <w:rPr>
      <w:b/>
      <w:bCs/>
    </w:rPr>
  </w:style>
  <w:style w:type="paragraph" w:customStyle="1" w:styleId="Title2BU">
    <w:name w:val="~Title2 BU"/>
    <w:basedOn w:val="Title1B"/>
    <w:rPr>
      <w:u w:val="single"/>
    </w:rPr>
  </w:style>
  <w:style w:type="paragraph" w:customStyle="1" w:styleId="SHDateOpt">
    <w:name w:val="SHDateOpt"/>
    <w:basedOn w:val="DBodyFLIndent"/>
    <w:pPr>
      <w:keepNext/>
    </w:pPr>
  </w:style>
  <w:style w:type="paragraph" w:customStyle="1" w:styleId="pldCapt">
    <w:name w:val="pldCapt"/>
    <w:basedOn w:val="Normal"/>
    <w:pPr>
      <w:ind w:left="1440"/>
    </w:pPr>
  </w:style>
  <w:style w:type="paragraph" w:customStyle="1" w:styleId="pldTitle">
    <w:name w:val="pldTitle"/>
    <w:basedOn w:val="Normal"/>
    <w:pPr>
      <w:ind w:left="155"/>
    </w:pPr>
    <w:rPr>
      <w:b/>
      <w:caps/>
    </w:rPr>
  </w:style>
  <w:style w:type="paragraph" w:customStyle="1" w:styleId="StyleDBodyFLIndentLeft-013Firstline0">
    <w:name w:val="Style ~DBody FLIndent + Left:  -0.13&quot; First line:  0&quot;"/>
    <w:basedOn w:val="Normal"/>
    <w:pPr>
      <w:spacing w:line="480" w:lineRule="exact"/>
      <w:ind w:left="-187" w:firstLine="288"/>
      <w:jc w:val="both"/>
    </w:pPr>
  </w:style>
  <w:style w:type="paragraph" w:customStyle="1" w:styleId="DocID">
    <w:name w:val="DocID"/>
    <w:basedOn w:val="Normal"/>
    <w:next w:val="Footer"/>
    <w:rsid w:val="008575AB"/>
    <w:pPr>
      <w:spacing w:line="240" w:lineRule="auto"/>
    </w:pPr>
    <w:rPr>
      <w:color w:val="000000"/>
      <w:sz w:val="16"/>
    </w:rPr>
  </w:style>
  <w:style w:type="paragraph" w:styleId="BodyText">
    <w:name w:val="Body Text"/>
    <w:basedOn w:val="Normal"/>
    <w:link w:val="BodyTextChar"/>
    <w:rsid w:val="00743FAB"/>
    <w:pPr>
      <w:spacing w:after="120"/>
    </w:pPr>
  </w:style>
  <w:style w:type="character" w:customStyle="1" w:styleId="BodyTextChar">
    <w:name w:val="Body Text Char"/>
    <w:link w:val="BodyText"/>
    <w:rsid w:val="00743FAB"/>
    <w:rPr>
      <w:sz w:val="26"/>
    </w:rPr>
  </w:style>
  <w:style w:type="character" w:styleId="Hyperlink">
    <w:name w:val="Hyperlink"/>
    <w:basedOn w:val="DefaultParagraphFont"/>
    <w:rsid w:val="00AD735C"/>
    <w:rPr>
      <w:color w:val="0000FF" w:themeColor="hyperlink"/>
      <w:u w:val="single"/>
    </w:rPr>
  </w:style>
  <w:style w:type="paragraph" w:styleId="ListParagraph">
    <w:name w:val="List Paragraph"/>
    <w:basedOn w:val="Normal"/>
    <w:uiPriority w:val="34"/>
    <w:qFormat/>
    <w:rsid w:val="00CD7591"/>
    <w:pPr>
      <w:ind w:left="720"/>
      <w:contextualSpacing/>
    </w:pPr>
  </w:style>
  <w:style w:type="character" w:styleId="FollowedHyperlink">
    <w:name w:val="FollowedHyperlink"/>
    <w:basedOn w:val="DefaultParagraphFont"/>
    <w:rsid w:val="004B49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line="240" w:lineRule="exact"/>
    </w:pPr>
    <w:rPr>
      <w:sz w:val="26"/>
    </w:rPr>
  </w:style>
  <w:style w:type="paragraph" w:styleId="Heading1">
    <w:name w:val="heading 1"/>
    <w:basedOn w:val="Normal"/>
    <w:next w:val="DBody"/>
    <w:qFormat/>
    <w:pPr>
      <w:numPr>
        <w:numId w:val="11"/>
      </w:numPr>
      <w:jc w:val="both"/>
      <w:outlineLvl w:val="0"/>
    </w:pPr>
    <w:rPr>
      <w:sz w:val="24"/>
    </w:rPr>
  </w:style>
  <w:style w:type="paragraph" w:styleId="Heading2">
    <w:name w:val="heading 2"/>
    <w:basedOn w:val="Normal"/>
    <w:next w:val="DBody"/>
    <w:qFormat/>
    <w:pPr>
      <w:widowControl/>
      <w:numPr>
        <w:ilvl w:val="1"/>
        <w:numId w:val="11"/>
      </w:numPr>
      <w:spacing w:line="480" w:lineRule="exact"/>
      <w:jc w:val="both"/>
      <w:outlineLvl w:val="1"/>
    </w:pPr>
  </w:style>
  <w:style w:type="paragraph" w:styleId="Heading3">
    <w:name w:val="heading 3"/>
    <w:basedOn w:val="Normal"/>
    <w:next w:val="DBody"/>
    <w:qFormat/>
    <w:pPr>
      <w:numPr>
        <w:ilvl w:val="2"/>
        <w:numId w:val="11"/>
      </w:numPr>
      <w:jc w:val="both"/>
      <w:outlineLvl w:val="2"/>
    </w:pPr>
    <w:rPr>
      <w:sz w:val="24"/>
    </w:rPr>
  </w:style>
  <w:style w:type="paragraph" w:styleId="Heading4">
    <w:name w:val="heading 4"/>
    <w:basedOn w:val="Normal"/>
    <w:next w:val="DBody"/>
    <w:qFormat/>
    <w:pPr>
      <w:numPr>
        <w:ilvl w:val="3"/>
        <w:numId w:val="11"/>
      </w:numPr>
      <w:tabs>
        <w:tab w:val="left" w:pos="2160"/>
      </w:tabs>
      <w:spacing w:line="480" w:lineRule="exact"/>
      <w:jc w:val="both"/>
      <w:outlineLvl w:val="3"/>
    </w:pPr>
  </w:style>
  <w:style w:type="paragraph" w:styleId="Heading5">
    <w:name w:val="heading 5"/>
    <w:basedOn w:val="Normal"/>
    <w:next w:val="DBody"/>
    <w:qFormat/>
    <w:pPr>
      <w:numPr>
        <w:ilvl w:val="4"/>
        <w:numId w:val="11"/>
      </w:numPr>
      <w:jc w:val="both"/>
      <w:outlineLvl w:val="4"/>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ineNumbers">
    <w:name w:val="LineNumbers"/>
    <w:basedOn w:val="Normal"/>
    <w:pPr>
      <w:jc w:val="right"/>
    </w:pPr>
  </w:style>
  <w:style w:type="paragraph" w:customStyle="1" w:styleId="SingleSpacing">
    <w:name w:val="Single Spacing"/>
    <w:basedOn w:val="Normal"/>
  </w:style>
  <w:style w:type="paragraph" w:styleId="FootnoteText">
    <w:name w:val="footnote text"/>
    <w:basedOn w:val="Normal"/>
    <w:pPr>
      <w:jc w:val="both"/>
    </w:pPr>
  </w:style>
  <w:style w:type="paragraph" w:customStyle="1" w:styleId="DoubleSpacing">
    <w:name w:val="Double Spacing"/>
    <w:basedOn w:val="Normal"/>
    <w:pPr>
      <w:spacing w:line="480" w:lineRule="exact"/>
      <w:jc w:val="both"/>
    </w:pPr>
  </w:style>
  <w:style w:type="character" w:styleId="PageNumber">
    <w:name w:val="page number"/>
    <w:rPr>
      <w:rFonts w:ascii="Times New Roman" w:hAnsi="Times New Roman"/>
      <w:spacing w:val="0"/>
      <w:position w:val="0"/>
      <w:sz w:val="24"/>
    </w:rPr>
  </w:style>
  <w:style w:type="paragraph" w:customStyle="1" w:styleId="Address">
    <w:name w:val="Address"/>
    <w:basedOn w:val="SingleSpacing"/>
  </w:style>
  <w:style w:type="paragraph" w:customStyle="1" w:styleId="CourtName">
    <w:name w:val="CourtName"/>
    <w:basedOn w:val="Normal"/>
    <w:pPr>
      <w:jc w:val="center"/>
    </w:pPr>
  </w:style>
  <w:style w:type="paragraph" w:styleId="EnvelopeAddress">
    <w:name w:val="envelope address"/>
    <w:basedOn w:val="Normal"/>
    <w:pPr>
      <w:framePr w:w="7920" w:h="1980" w:hRule="exact" w:hSpace="180" w:wrap="auto" w:hAnchor="page" w:xAlign="center" w:yAlign="bottom"/>
      <w:ind w:left="2880"/>
    </w:pPr>
  </w:style>
  <w:style w:type="paragraph" w:customStyle="1" w:styleId="Pleading">
    <w:name w:val="Pleading"/>
    <w:basedOn w:val="Normal"/>
  </w:style>
  <w:style w:type="paragraph" w:customStyle="1" w:styleId="Pleadingdouble">
    <w:name w:val="Pleading_double"/>
    <w:basedOn w:val="Pleading"/>
    <w:pPr>
      <w:spacing w:line="480" w:lineRule="exact"/>
      <w:ind w:firstLine="720"/>
      <w:jc w:val="both"/>
    </w:pPr>
  </w:style>
  <w:style w:type="paragraph" w:customStyle="1" w:styleId="DBody">
    <w:name w:val="~DBody"/>
    <w:basedOn w:val="Normal"/>
    <w:pPr>
      <w:spacing w:line="480" w:lineRule="exact"/>
      <w:jc w:val="both"/>
    </w:pPr>
  </w:style>
  <w:style w:type="paragraph" w:styleId="Title">
    <w:name w:val="Title"/>
    <w:basedOn w:val="Normal"/>
    <w:qFormat/>
    <w:pPr>
      <w:spacing w:before="240" w:after="60"/>
      <w:jc w:val="center"/>
    </w:pPr>
    <w:rPr>
      <w:rFonts w:ascii="Arial" w:hAnsi="Arial"/>
      <w:b/>
      <w:kern w:val="28"/>
      <w:sz w:val="32"/>
    </w:rPr>
  </w:style>
  <w:style w:type="character" w:styleId="FootnoteReference">
    <w:name w:val="footnote reference"/>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Litigation1">
    <w:name w:val="Litigation 1"/>
    <w:pPr>
      <w:numPr>
        <w:numId w:val="5"/>
      </w:numPr>
      <w:tabs>
        <w:tab w:val="clear" w:pos="1080"/>
        <w:tab w:val="left" w:pos="720"/>
      </w:tabs>
      <w:spacing w:line="480" w:lineRule="exact"/>
      <w:jc w:val="both"/>
    </w:pPr>
    <w:rPr>
      <w:sz w:val="26"/>
    </w:rPr>
  </w:style>
  <w:style w:type="paragraph" w:customStyle="1" w:styleId="Litigation2">
    <w:name w:val="Litigation 2"/>
    <w:pPr>
      <w:numPr>
        <w:numId w:val="6"/>
      </w:numPr>
      <w:spacing w:line="480" w:lineRule="exact"/>
      <w:jc w:val="both"/>
    </w:pPr>
    <w:rPr>
      <w:sz w:val="26"/>
    </w:rPr>
  </w:style>
  <w:style w:type="paragraph" w:customStyle="1" w:styleId="Litigation3">
    <w:name w:val="Litigation 3"/>
    <w:pPr>
      <w:numPr>
        <w:numId w:val="7"/>
      </w:numPr>
      <w:spacing w:before="240" w:line="240" w:lineRule="exact"/>
      <w:jc w:val="both"/>
    </w:pPr>
    <w:rPr>
      <w:sz w:val="26"/>
    </w:rPr>
  </w:style>
  <w:style w:type="paragraph" w:customStyle="1" w:styleId="Litigation4">
    <w:name w:val="Litigation 4"/>
    <w:pPr>
      <w:numPr>
        <w:numId w:val="8"/>
      </w:numPr>
      <w:spacing w:before="240" w:line="240" w:lineRule="exact"/>
      <w:jc w:val="both"/>
    </w:pPr>
    <w:rPr>
      <w:sz w:val="26"/>
    </w:rPr>
  </w:style>
  <w:style w:type="paragraph" w:customStyle="1" w:styleId="PleadingQuote">
    <w:name w:val="Pleading Quote"/>
    <w:basedOn w:val="Normal"/>
    <w:pPr>
      <w:widowControl/>
      <w:ind w:left="1440" w:right="1440"/>
      <w:jc w:val="both"/>
    </w:pPr>
  </w:style>
  <w:style w:type="paragraph" w:customStyle="1" w:styleId="PleadingBlockText">
    <w:name w:val="Pleading Block Text"/>
    <w:basedOn w:val="Normal"/>
    <w:pPr>
      <w:autoSpaceDE w:val="0"/>
      <w:autoSpaceDN w:val="0"/>
      <w:adjustRightInd w:val="0"/>
      <w:ind w:left="1440" w:right="1440"/>
      <w:jc w:val="both"/>
    </w:pPr>
    <w:rPr>
      <w:szCs w:val="24"/>
    </w:rPr>
  </w:style>
  <w:style w:type="paragraph" w:customStyle="1" w:styleId="PleadingParagraphs">
    <w:name w:val="Pleading Paragraphs"/>
    <w:basedOn w:val="Normal"/>
    <w:pPr>
      <w:autoSpaceDE w:val="0"/>
      <w:autoSpaceDN w:val="0"/>
      <w:adjustRightInd w:val="0"/>
      <w:spacing w:line="480" w:lineRule="exact"/>
      <w:ind w:firstLine="720"/>
      <w:jc w:val="both"/>
    </w:pPr>
    <w:rPr>
      <w:szCs w:val="24"/>
    </w:rPr>
  </w:style>
  <w:style w:type="paragraph" w:styleId="BalloonText">
    <w:name w:val="Balloon Text"/>
    <w:basedOn w:val="Normal"/>
    <w:semiHidden/>
    <w:rPr>
      <w:rFonts w:ascii="Tahoma" w:hAnsi="Tahoma" w:cs="Tahoma"/>
      <w:sz w:val="16"/>
      <w:szCs w:val="16"/>
    </w:rPr>
  </w:style>
  <w:style w:type="paragraph" w:customStyle="1" w:styleId="CourtTitle">
    <w:name w:val="~CourtTitle"/>
    <w:basedOn w:val="Normal"/>
    <w:pPr>
      <w:widowControl/>
      <w:spacing w:line="476" w:lineRule="exact"/>
      <w:jc w:val="center"/>
    </w:pPr>
    <w:rPr>
      <w:b/>
      <w:szCs w:val="24"/>
    </w:rPr>
  </w:style>
  <w:style w:type="paragraph" w:customStyle="1" w:styleId="PldSHName">
    <w:name w:val="°PldSHName"/>
    <w:pPr>
      <w:spacing w:after="40"/>
      <w:ind w:right="4176"/>
      <w:jc w:val="center"/>
    </w:pPr>
    <w:rPr>
      <w:rFonts w:ascii="Arial" w:hAnsi="Arial"/>
      <w:b/>
      <w:smallCaps/>
      <w:spacing w:val="20"/>
      <w:position w:val="-6"/>
      <w:sz w:val="14"/>
    </w:rPr>
  </w:style>
  <w:style w:type="paragraph" w:customStyle="1" w:styleId="PldSHLawOffice">
    <w:name w:val="PldSHLawOffice"/>
    <w:pPr>
      <w:ind w:right="4176"/>
      <w:jc w:val="center"/>
    </w:pPr>
    <w:rPr>
      <w:rFonts w:ascii="Arial" w:hAnsi="Arial"/>
      <w:b/>
      <w:smallCaps/>
      <w:spacing w:val="20"/>
      <w:position w:val="-6"/>
      <w:sz w:val="14"/>
    </w:rPr>
  </w:style>
  <w:style w:type="paragraph" w:customStyle="1" w:styleId="PldSHAddress">
    <w:name w:val="°PldSHAddress"/>
    <w:pPr>
      <w:spacing w:after="40"/>
      <w:ind w:right="4176"/>
      <w:contextualSpacing/>
      <w:jc w:val="center"/>
    </w:pPr>
    <w:rPr>
      <w:rFonts w:ascii="Arial" w:hAnsi="Arial"/>
      <w:caps/>
      <w:spacing w:val="20"/>
      <w:position w:val="-6"/>
      <w:sz w:val="10"/>
    </w:rPr>
  </w:style>
  <w:style w:type="paragraph" w:customStyle="1" w:styleId="PldSHPhone">
    <w:name w:val="PldSHPhone"/>
    <w:pPr>
      <w:spacing w:after="40"/>
      <w:ind w:right="4176"/>
      <w:contextualSpacing/>
      <w:jc w:val="center"/>
      <w:outlineLvl w:val="0"/>
    </w:pPr>
    <w:rPr>
      <w:rFonts w:ascii="Arial" w:hAnsi="Arial"/>
      <w:caps/>
      <w:spacing w:val="20"/>
      <w:position w:val="-6"/>
      <w:sz w:val="10"/>
    </w:rPr>
  </w:style>
  <w:style w:type="paragraph" w:customStyle="1" w:styleId="PldSHFirmBarNo">
    <w:name w:val="PldSHFirmBarNo"/>
    <w:pPr>
      <w:ind w:right="4320"/>
      <w:jc w:val="center"/>
      <w:outlineLvl w:val="0"/>
    </w:pPr>
    <w:rPr>
      <w:rFonts w:ascii="Arial" w:hAnsi="Arial"/>
      <w:caps/>
      <w:spacing w:val="20"/>
      <w:position w:val="-6"/>
      <w:sz w:val="10"/>
    </w:rPr>
  </w:style>
  <w:style w:type="paragraph" w:customStyle="1" w:styleId="PldSHAtty1">
    <w:name w:val="°PldSHAtty1"/>
    <w:pPr>
      <w:spacing w:line="240" w:lineRule="exact"/>
      <w:ind w:right="4320"/>
      <w:jc w:val="center"/>
    </w:pPr>
  </w:style>
  <w:style w:type="paragraph" w:customStyle="1" w:styleId="PldSHParties">
    <w:name w:val="°PldSHParties"/>
    <w:basedOn w:val="Normal"/>
    <w:pPr>
      <w:ind w:right="4320"/>
      <w:jc w:val="center"/>
      <w:outlineLvl w:val="0"/>
    </w:pPr>
    <w:rPr>
      <w:sz w:val="20"/>
    </w:rPr>
  </w:style>
  <w:style w:type="paragraph" w:customStyle="1" w:styleId="SigBlock">
    <w:name w:val="°SigBlock"/>
    <w:basedOn w:val="Normal"/>
    <w:pPr>
      <w:keepNext/>
      <w:ind w:left="3960"/>
    </w:pPr>
  </w:style>
  <w:style w:type="paragraph" w:customStyle="1" w:styleId="SigBlock2">
    <w:name w:val="°SigBlock2"/>
    <w:basedOn w:val="SigBlock"/>
    <w:pPr>
      <w:ind w:left="4248"/>
    </w:pPr>
  </w:style>
  <w:style w:type="paragraph" w:customStyle="1" w:styleId="SBody">
    <w:name w:val="~SBody"/>
    <w:basedOn w:val="Normal"/>
    <w:pPr>
      <w:jc w:val="both"/>
    </w:pPr>
  </w:style>
  <w:style w:type="paragraph" w:customStyle="1" w:styleId="DBodyFLIndent">
    <w:name w:val="~DBody FLIndent"/>
    <w:basedOn w:val="DBody"/>
    <w:pPr>
      <w:ind w:firstLine="720"/>
    </w:pPr>
  </w:style>
  <w:style w:type="paragraph" w:customStyle="1" w:styleId="Quote1">
    <w:name w:val="~Quote1"/>
    <w:basedOn w:val="SBody"/>
    <w:pPr>
      <w:spacing w:before="240"/>
      <w:ind w:left="720" w:right="720"/>
    </w:pPr>
  </w:style>
  <w:style w:type="paragraph" w:customStyle="1" w:styleId="Quote2">
    <w:name w:val="~Quote2"/>
    <w:basedOn w:val="Quote1"/>
    <w:pPr>
      <w:ind w:left="1440" w:right="1440"/>
    </w:pPr>
  </w:style>
  <w:style w:type="paragraph" w:customStyle="1" w:styleId="Title1B">
    <w:name w:val="~Title1 B"/>
    <w:basedOn w:val="SBody"/>
    <w:pPr>
      <w:jc w:val="center"/>
    </w:pPr>
    <w:rPr>
      <w:b/>
      <w:bCs/>
    </w:rPr>
  </w:style>
  <w:style w:type="paragraph" w:customStyle="1" w:styleId="Title2BU">
    <w:name w:val="~Title2 BU"/>
    <w:basedOn w:val="Title1B"/>
    <w:rPr>
      <w:u w:val="single"/>
    </w:rPr>
  </w:style>
  <w:style w:type="paragraph" w:customStyle="1" w:styleId="SHDateOpt">
    <w:name w:val="SHDateOpt"/>
    <w:basedOn w:val="DBodyFLIndent"/>
    <w:pPr>
      <w:keepNext/>
    </w:pPr>
  </w:style>
  <w:style w:type="paragraph" w:customStyle="1" w:styleId="pldCapt">
    <w:name w:val="pldCapt"/>
    <w:basedOn w:val="Normal"/>
    <w:pPr>
      <w:ind w:left="1440"/>
    </w:pPr>
  </w:style>
  <w:style w:type="paragraph" w:customStyle="1" w:styleId="pldTitle">
    <w:name w:val="pldTitle"/>
    <w:basedOn w:val="Normal"/>
    <w:pPr>
      <w:ind w:left="155"/>
    </w:pPr>
    <w:rPr>
      <w:b/>
      <w:caps/>
    </w:rPr>
  </w:style>
  <w:style w:type="paragraph" w:customStyle="1" w:styleId="StyleDBodyFLIndentLeft-013Firstline0">
    <w:name w:val="Style ~DBody FLIndent + Left:  -0.13&quot; First line:  0&quot;"/>
    <w:basedOn w:val="Normal"/>
    <w:pPr>
      <w:spacing w:line="480" w:lineRule="exact"/>
      <w:ind w:left="-187" w:firstLine="288"/>
      <w:jc w:val="both"/>
    </w:pPr>
  </w:style>
  <w:style w:type="paragraph" w:customStyle="1" w:styleId="DocID">
    <w:name w:val="DocID"/>
    <w:basedOn w:val="Normal"/>
    <w:next w:val="Footer"/>
    <w:rsid w:val="008575AB"/>
    <w:pPr>
      <w:spacing w:line="240" w:lineRule="auto"/>
    </w:pPr>
    <w:rPr>
      <w:color w:val="000000"/>
      <w:sz w:val="16"/>
    </w:rPr>
  </w:style>
  <w:style w:type="paragraph" w:styleId="BodyText">
    <w:name w:val="Body Text"/>
    <w:basedOn w:val="Normal"/>
    <w:link w:val="BodyTextChar"/>
    <w:rsid w:val="00743FAB"/>
    <w:pPr>
      <w:spacing w:after="120"/>
    </w:pPr>
  </w:style>
  <w:style w:type="character" w:customStyle="1" w:styleId="BodyTextChar">
    <w:name w:val="Body Text Char"/>
    <w:link w:val="BodyText"/>
    <w:rsid w:val="00743FAB"/>
    <w:rPr>
      <w:sz w:val="26"/>
    </w:rPr>
  </w:style>
  <w:style w:type="character" w:styleId="Hyperlink">
    <w:name w:val="Hyperlink"/>
    <w:basedOn w:val="DefaultParagraphFont"/>
    <w:rsid w:val="00AD735C"/>
    <w:rPr>
      <w:color w:val="0000FF" w:themeColor="hyperlink"/>
      <w:u w:val="single"/>
    </w:rPr>
  </w:style>
  <w:style w:type="paragraph" w:styleId="ListParagraph">
    <w:name w:val="List Paragraph"/>
    <w:basedOn w:val="Normal"/>
    <w:uiPriority w:val="34"/>
    <w:qFormat/>
    <w:rsid w:val="00CD7591"/>
    <w:pPr>
      <w:ind w:left="720"/>
      <w:contextualSpacing/>
    </w:pPr>
  </w:style>
  <w:style w:type="character" w:styleId="FollowedHyperlink">
    <w:name w:val="FollowedHyperlink"/>
    <w:basedOn w:val="DefaultParagraphFont"/>
    <w:rsid w:val="004B49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79493">
      <w:bodyDiv w:val="1"/>
      <w:marLeft w:val="0"/>
      <w:marRight w:val="0"/>
      <w:marTop w:val="0"/>
      <w:marBottom w:val="0"/>
      <w:divBdr>
        <w:top w:val="none" w:sz="0" w:space="0" w:color="auto"/>
        <w:left w:val="none" w:sz="0" w:space="0" w:color="auto"/>
        <w:bottom w:val="none" w:sz="0" w:space="0" w:color="auto"/>
        <w:right w:val="none" w:sz="0" w:space="0" w:color="auto"/>
      </w:divBdr>
    </w:div>
    <w:div w:id="271788082">
      <w:bodyDiv w:val="1"/>
      <w:marLeft w:val="0"/>
      <w:marRight w:val="0"/>
      <w:marTop w:val="0"/>
      <w:marBottom w:val="0"/>
      <w:divBdr>
        <w:top w:val="none" w:sz="0" w:space="0" w:color="auto"/>
        <w:left w:val="none" w:sz="0" w:space="0" w:color="auto"/>
        <w:bottom w:val="none" w:sz="0" w:space="0" w:color="auto"/>
        <w:right w:val="none" w:sz="0" w:space="0" w:color="auto"/>
      </w:divBdr>
      <w:divsChild>
        <w:div w:id="1997880418">
          <w:marLeft w:val="0"/>
          <w:marRight w:val="0"/>
          <w:marTop w:val="0"/>
          <w:marBottom w:val="0"/>
          <w:divBdr>
            <w:top w:val="none" w:sz="0" w:space="0" w:color="auto"/>
            <w:left w:val="single" w:sz="6" w:space="0" w:color="BBBBBB"/>
            <w:bottom w:val="single" w:sz="6" w:space="0" w:color="BBBBBB"/>
            <w:right w:val="single" w:sz="6" w:space="0" w:color="BBBBBB"/>
          </w:divBdr>
          <w:divsChild>
            <w:div w:id="1861697727">
              <w:marLeft w:val="0"/>
              <w:marRight w:val="0"/>
              <w:marTop w:val="0"/>
              <w:marBottom w:val="0"/>
              <w:divBdr>
                <w:top w:val="none" w:sz="0" w:space="0" w:color="auto"/>
                <w:left w:val="none" w:sz="0" w:space="0" w:color="auto"/>
                <w:bottom w:val="none" w:sz="0" w:space="0" w:color="auto"/>
                <w:right w:val="none" w:sz="0" w:space="0" w:color="auto"/>
              </w:divBdr>
              <w:divsChild>
                <w:div w:id="717822650">
                  <w:marLeft w:val="0"/>
                  <w:marRight w:val="0"/>
                  <w:marTop w:val="0"/>
                  <w:marBottom w:val="0"/>
                  <w:divBdr>
                    <w:top w:val="none" w:sz="0" w:space="0" w:color="auto"/>
                    <w:left w:val="none" w:sz="0" w:space="0" w:color="auto"/>
                    <w:bottom w:val="none" w:sz="0" w:space="0" w:color="auto"/>
                    <w:right w:val="none" w:sz="0" w:space="0" w:color="auto"/>
                  </w:divBdr>
                  <w:divsChild>
                    <w:div w:id="264387526">
                      <w:marLeft w:val="0"/>
                      <w:marRight w:val="0"/>
                      <w:marTop w:val="0"/>
                      <w:marBottom w:val="0"/>
                      <w:divBdr>
                        <w:top w:val="none" w:sz="0" w:space="0" w:color="auto"/>
                        <w:left w:val="none" w:sz="0" w:space="0" w:color="auto"/>
                        <w:bottom w:val="none" w:sz="0" w:space="0" w:color="auto"/>
                        <w:right w:val="none" w:sz="0" w:space="0" w:color="auto"/>
                      </w:divBdr>
                      <w:divsChild>
                        <w:div w:id="860514635">
                          <w:marLeft w:val="0"/>
                          <w:marRight w:val="0"/>
                          <w:marTop w:val="0"/>
                          <w:marBottom w:val="0"/>
                          <w:divBdr>
                            <w:top w:val="none" w:sz="0" w:space="0" w:color="auto"/>
                            <w:left w:val="none" w:sz="0" w:space="0" w:color="auto"/>
                            <w:bottom w:val="none" w:sz="0" w:space="0" w:color="auto"/>
                            <w:right w:val="none" w:sz="0" w:space="0" w:color="auto"/>
                          </w:divBdr>
                          <w:divsChild>
                            <w:div w:id="1535267013">
                              <w:marLeft w:val="0"/>
                              <w:marRight w:val="0"/>
                              <w:marTop w:val="0"/>
                              <w:marBottom w:val="0"/>
                              <w:divBdr>
                                <w:top w:val="none" w:sz="0" w:space="0" w:color="auto"/>
                                <w:left w:val="none" w:sz="0" w:space="0" w:color="auto"/>
                                <w:bottom w:val="none" w:sz="0" w:space="0" w:color="auto"/>
                                <w:right w:val="none" w:sz="0" w:space="0" w:color="auto"/>
                              </w:divBdr>
                              <w:divsChild>
                                <w:div w:id="804350172">
                                  <w:marLeft w:val="0"/>
                                  <w:marRight w:val="0"/>
                                  <w:marTop w:val="0"/>
                                  <w:marBottom w:val="0"/>
                                  <w:divBdr>
                                    <w:top w:val="none" w:sz="0" w:space="0" w:color="auto"/>
                                    <w:left w:val="none" w:sz="0" w:space="0" w:color="auto"/>
                                    <w:bottom w:val="none" w:sz="0" w:space="0" w:color="auto"/>
                                    <w:right w:val="none" w:sz="0" w:space="0" w:color="auto"/>
                                  </w:divBdr>
                                  <w:divsChild>
                                    <w:div w:id="1552300537">
                                      <w:marLeft w:val="0"/>
                                      <w:marRight w:val="0"/>
                                      <w:marTop w:val="0"/>
                                      <w:marBottom w:val="0"/>
                                      <w:divBdr>
                                        <w:top w:val="none" w:sz="0" w:space="0" w:color="auto"/>
                                        <w:left w:val="none" w:sz="0" w:space="0" w:color="auto"/>
                                        <w:bottom w:val="none" w:sz="0" w:space="0" w:color="auto"/>
                                        <w:right w:val="none" w:sz="0" w:space="0" w:color="auto"/>
                                      </w:divBdr>
                                      <w:divsChild>
                                        <w:div w:id="1069109776">
                                          <w:marLeft w:val="1200"/>
                                          <w:marRight w:val="1200"/>
                                          <w:marTop w:val="0"/>
                                          <w:marBottom w:val="0"/>
                                          <w:divBdr>
                                            <w:top w:val="none" w:sz="0" w:space="0" w:color="auto"/>
                                            <w:left w:val="none" w:sz="0" w:space="0" w:color="auto"/>
                                            <w:bottom w:val="none" w:sz="0" w:space="0" w:color="auto"/>
                                            <w:right w:val="none" w:sz="0" w:space="0" w:color="auto"/>
                                          </w:divBdr>
                                          <w:divsChild>
                                            <w:div w:id="1380132581">
                                              <w:marLeft w:val="0"/>
                                              <w:marRight w:val="0"/>
                                              <w:marTop w:val="0"/>
                                              <w:marBottom w:val="0"/>
                                              <w:divBdr>
                                                <w:top w:val="none" w:sz="0" w:space="0" w:color="auto"/>
                                                <w:left w:val="none" w:sz="0" w:space="0" w:color="auto"/>
                                                <w:bottom w:val="none" w:sz="0" w:space="0" w:color="auto"/>
                                                <w:right w:val="none" w:sz="0" w:space="0" w:color="auto"/>
                                              </w:divBdr>
                                              <w:divsChild>
                                                <w:div w:id="420220517">
                                                  <w:marLeft w:val="0"/>
                                                  <w:marRight w:val="0"/>
                                                  <w:marTop w:val="0"/>
                                                  <w:marBottom w:val="0"/>
                                                  <w:divBdr>
                                                    <w:top w:val="none" w:sz="0" w:space="0" w:color="auto"/>
                                                    <w:left w:val="none" w:sz="0" w:space="0" w:color="auto"/>
                                                    <w:bottom w:val="none" w:sz="0" w:space="0" w:color="auto"/>
                                                    <w:right w:val="none" w:sz="0" w:space="0" w:color="auto"/>
                                                  </w:divBdr>
                                                  <w:divsChild>
                                                    <w:div w:id="376904293">
                                                      <w:marLeft w:val="0"/>
                                                      <w:marRight w:val="0"/>
                                                      <w:marTop w:val="0"/>
                                                      <w:marBottom w:val="0"/>
                                                      <w:divBdr>
                                                        <w:top w:val="none" w:sz="0" w:space="0" w:color="auto"/>
                                                        <w:left w:val="none" w:sz="0" w:space="0" w:color="auto"/>
                                                        <w:bottom w:val="none" w:sz="0" w:space="0" w:color="auto"/>
                                                        <w:right w:val="none" w:sz="0" w:space="0" w:color="auto"/>
                                                      </w:divBdr>
                                                      <w:divsChild>
                                                        <w:div w:id="278145151">
                                                          <w:marLeft w:val="0"/>
                                                          <w:marRight w:val="0"/>
                                                          <w:marTop w:val="0"/>
                                                          <w:marBottom w:val="0"/>
                                                          <w:divBdr>
                                                            <w:top w:val="none" w:sz="0" w:space="0" w:color="auto"/>
                                                            <w:left w:val="none" w:sz="0" w:space="0" w:color="auto"/>
                                                            <w:bottom w:val="none" w:sz="0" w:space="0" w:color="auto"/>
                                                            <w:right w:val="none" w:sz="0" w:space="0" w:color="auto"/>
                                                          </w:divBdr>
                                                          <w:divsChild>
                                                            <w:div w:id="1940749769">
                                                              <w:marLeft w:val="0"/>
                                                              <w:marRight w:val="0"/>
                                                              <w:marTop w:val="0"/>
                                                              <w:marBottom w:val="0"/>
                                                              <w:divBdr>
                                                                <w:top w:val="none" w:sz="0" w:space="0" w:color="auto"/>
                                                                <w:left w:val="none" w:sz="0" w:space="0" w:color="auto"/>
                                                                <w:bottom w:val="none" w:sz="0" w:space="0" w:color="auto"/>
                                                                <w:right w:val="none" w:sz="0" w:space="0" w:color="auto"/>
                                                              </w:divBdr>
                                                              <w:divsChild>
                                                                <w:div w:id="573323648">
                                                                  <w:marLeft w:val="0"/>
                                                                  <w:marRight w:val="0"/>
                                                                  <w:marTop w:val="0"/>
                                                                  <w:marBottom w:val="0"/>
                                                                  <w:divBdr>
                                                                    <w:top w:val="none" w:sz="0" w:space="0" w:color="auto"/>
                                                                    <w:left w:val="none" w:sz="0" w:space="0" w:color="auto"/>
                                                                    <w:bottom w:val="none" w:sz="0" w:space="0" w:color="auto"/>
                                                                    <w:right w:val="none" w:sz="0" w:space="0" w:color="auto"/>
                                                                  </w:divBdr>
                                                                </w:div>
                                                              </w:divsChild>
                                                            </w:div>
                                                            <w:div w:id="1656034806">
                                                              <w:marLeft w:val="0"/>
                                                              <w:marRight w:val="0"/>
                                                              <w:marTop w:val="0"/>
                                                              <w:marBottom w:val="0"/>
                                                              <w:divBdr>
                                                                <w:top w:val="none" w:sz="0" w:space="0" w:color="auto"/>
                                                                <w:left w:val="none" w:sz="0" w:space="0" w:color="auto"/>
                                                                <w:bottom w:val="none" w:sz="0" w:space="0" w:color="auto"/>
                                                                <w:right w:val="none" w:sz="0" w:space="0" w:color="auto"/>
                                                              </w:divBdr>
                                                              <w:divsChild>
                                                                <w:div w:id="1075475480">
                                                                  <w:marLeft w:val="0"/>
                                                                  <w:marRight w:val="0"/>
                                                                  <w:marTop w:val="0"/>
                                                                  <w:marBottom w:val="0"/>
                                                                  <w:divBdr>
                                                                    <w:top w:val="none" w:sz="0" w:space="0" w:color="auto"/>
                                                                    <w:left w:val="none" w:sz="0" w:space="0" w:color="auto"/>
                                                                    <w:bottom w:val="none" w:sz="0" w:space="0" w:color="auto"/>
                                                                    <w:right w:val="none" w:sz="0" w:space="0" w:color="auto"/>
                                                                  </w:divBdr>
                                                                  <w:divsChild>
                                                                    <w:div w:id="11832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5715833">
      <w:bodyDiv w:val="1"/>
      <w:marLeft w:val="0"/>
      <w:marRight w:val="0"/>
      <w:marTop w:val="0"/>
      <w:marBottom w:val="0"/>
      <w:divBdr>
        <w:top w:val="none" w:sz="0" w:space="0" w:color="auto"/>
        <w:left w:val="none" w:sz="0" w:space="0" w:color="auto"/>
        <w:bottom w:val="none" w:sz="0" w:space="0" w:color="auto"/>
        <w:right w:val="none" w:sz="0" w:space="0" w:color="auto"/>
      </w:divBdr>
      <w:divsChild>
        <w:div w:id="608312958">
          <w:marLeft w:val="0"/>
          <w:marRight w:val="0"/>
          <w:marTop w:val="0"/>
          <w:marBottom w:val="0"/>
          <w:divBdr>
            <w:top w:val="none" w:sz="0" w:space="0" w:color="auto"/>
            <w:left w:val="none" w:sz="0" w:space="0" w:color="auto"/>
            <w:bottom w:val="none" w:sz="0" w:space="0" w:color="auto"/>
            <w:right w:val="none" w:sz="0" w:space="0" w:color="auto"/>
          </w:divBdr>
          <w:divsChild>
            <w:div w:id="18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4101">
      <w:bodyDiv w:val="1"/>
      <w:marLeft w:val="60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stlaw.com/Link/Document/FullText?findType=Y&amp;serNum=1990086713&amp;pubNum=0000780&amp;originatingDoc=N1D58E330845511E6BFB1C93EFDD57609&amp;refType=RP&amp;originationContext=document&amp;vr=3.0&amp;rs=cblt1.0&amp;transitionType=DocumentItem&amp;contextData=(sc.UserEnteredCitatio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goldwaterinstitute.org/en/work/topics/constitutional-rights/government-preferences/arizona-lawyers-shouldnt-be-misled-they-have-cons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vethebar.com/benefits-of-the-ba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azleg.granicus.com/MediaPlayer.php?view_id=13&amp;clip_id=16726&amp;meta_id=336301"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file:///C:\NRPortbl\Active\DHANSON\www.azbar.org\aboutus\histor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03FD6-B6A0-4BC0-B443-53B45A5D9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3133</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Sherman &amp; Howard L.L.C.</Company>
  <LinksUpToDate>false</LinksUpToDate>
  <CharactersWithSpaces>20952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Hanson, Diana</dc:creator>
  <cp:lastModifiedBy>.</cp:lastModifiedBy>
  <cp:revision>2</cp:revision>
  <cp:lastPrinted>2017-01-10T03:00:00Z</cp:lastPrinted>
  <dcterms:created xsi:type="dcterms:W3CDTF">2017-01-10T21:05:00Z</dcterms:created>
  <dcterms:modified xsi:type="dcterms:W3CDTF">2017-01-10T21:05:00Z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Active/44573933.1</vt:lpwstr>
  </property>
  <property fmtid="{D5CDD505-2E9C-101B-9397-08002B2CF9AE}" pid="3" name="DocIDContent">
    <vt:lpwstr>0|/|1|.|2|</vt:lpwstr>
  </property>
  <property fmtid="{D5CDD505-2E9C-101B-9397-08002B2CF9AE}" pid="4" name="WS_TRACKING_ID">
    <vt:lpwstr>e950d524-01f9-4222-b846-2f2c7809db8f</vt:lpwstr>
  </property>
</Properties>
</file>