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87D" w:rsidRPr="008067D0" w:rsidRDefault="000C787D" w:rsidP="00CF352A">
      <w:pPr>
        <w:pStyle w:val="AttorneyName"/>
        <w:rPr>
          <w:sz w:val="28"/>
          <w:szCs w:val="28"/>
        </w:rPr>
      </w:pPr>
      <w:bookmarkStart w:id="0" w:name="_GoBack"/>
      <w:bookmarkEnd w:id="0"/>
      <w:r w:rsidRPr="008067D0">
        <w:rPr>
          <w:b/>
          <w:sz w:val="28"/>
          <w:szCs w:val="28"/>
        </w:rPr>
        <w:t>AMY KALMAN</w:t>
      </w:r>
      <w:r w:rsidRPr="008067D0">
        <w:rPr>
          <w:sz w:val="28"/>
          <w:szCs w:val="28"/>
        </w:rPr>
        <w:t>, Bar No. 024978</w:t>
      </w:r>
    </w:p>
    <w:p w:rsidR="00314D3D" w:rsidRPr="008067D0" w:rsidRDefault="008067D0" w:rsidP="00CF352A">
      <w:pPr>
        <w:pStyle w:val="AttorneyName"/>
        <w:rPr>
          <w:b/>
          <w:sz w:val="28"/>
          <w:szCs w:val="28"/>
        </w:rPr>
      </w:pPr>
      <w:r w:rsidRPr="008067D0">
        <w:rPr>
          <w:b/>
          <w:smallCaps/>
          <w:sz w:val="28"/>
          <w:szCs w:val="28"/>
        </w:rPr>
        <w:t>MIKEL STEINFELD</w:t>
      </w:r>
      <w:r w:rsidR="00314D3D" w:rsidRPr="008067D0">
        <w:rPr>
          <w:sz w:val="28"/>
          <w:szCs w:val="28"/>
        </w:rPr>
        <w:t>, Bar No. 024996</w:t>
      </w:r>
    </w:p>
    <w:p w:rsidR="000C787D" w:rsidRPr="008067D0" w:rsidRDefault="00CF352A" w:rsidP="00CF352A">
      <w:pPr>
        <w:jc w:val="both"/>
        <w:rPr>
          <w:sz w:val="28"/>
          <w:szCs w:val="28"/>
        </w:rPr>
      </w:pPr>
      <w:r>
        <w:rPr>
          <w:sz w:val="28"/>
          <w:szCs w:val="28"/>
        </w:rPr>
        <w:t>Arizona Attorneys for Criminal Justice</w:t>
      </w:r>
    </w:p>
    <w:p w:rsidR="000C787D" w:rsidRDefault="001A40E6" w:rsidP="00CF352A">
      <w:pPr>
        <w:pStyle w:val="AttorneyName"/>
        <w:rPr>
          <w:rStyle w:val="Hyperlink"/>
          <w:sz w:val="28"/>
          <w:szCs w:val="28"/>
        </w:rPr>
      </w:pPr>
      <w:hyperlink r:id="rId8" w:history="1">
        <w:r w:rsidR="000C787D" w:rsidRPr="008067D0">
          <w:rPr>
            <w:rStyle w:val="Hyperlink"/>
            <w:sz w:val="28"/>
            <w:szCs w:val="28"/>
          </w:rPr>
          <w:t>kalmana@mail.maricopa.gov</w:t>
        </w:r>
      </w:hyperlink>
    </w:p>
    <w:p w:rsidR="00CF352A" w:rsidRPr="008067D0" w:rsidRDefault="001A40E6" w:rsidP="00CF352A">
      <w:pPr>
        <w:pStyle w:val="AttorneyName"/>
        <w:rPr>
          <w:sz w:val="28"/>
          <w:szCs w:val="28"/>
          <w:u w:val="single"/>
        </w:rPr>
      </w:pPr>
      <w:hyperlink r:id="rId9" w:history="1">
        <w:r w:rsidR="00CF352A" w:rsidRPr="003F2B99">
          <w:rPr>
            <w:rStyle w:val="Hyperlink"/>
            <w:sz w:val="28"/>
            <w:szCs w:val="28"/>
          </w:rPr>
          <w:t>steinfeldm@mail.maricopa.gov</w:t>
        </w:r>
      </w:hyperlink>
      <w:r w:rsidR="00CF352A">
        <w:rPr>
          <w:rStyle w:val="Hyperlink"/>
          <w:sz w:val="28"/>
          <w:szCs w:val="28"/>
        </w:rPr>
        <w:t xml:space="preserve"> </w:t>
      </w:r>
    </w:p>
    <w:p w:rsidR="005C5D5C" w:rsidRPr="008067D0" w:rsidRDefault="005C5D5C" w:rsidP="00CF352A">
      <w:pPr>
        <w:rPr>
          <w:sz w:val="28"/>
          <w:szCs w:val="28"/>
        </w:rPr>
      </w:pPr>
    </w:p>
    <w:p w:rsidR="00D97168" w:rsidRPr="008067D0" w:rsidRDefault="00D97168" w:rsidP="00CF352A">
      <w:pPr>
        <w:rPr>
          <w:sz w:val="28"/>
          <w:szCs w:val="28"/>
        </w:rPr>
      </w:pPr>
    </w:p>
    <w:p w:rsidR="00460681" w:rsidRPr="00B800E7" w:rsidRDefault="004C5DE3" w:rsidP="00CF352A">
      <w:pPr>
        <w:jc w:val="center"/>
        <w:rPr>
          <w:sz w:val="28"/>
          <w:szCs w:val="28"/>
        </w:rPr>
      </w:pPr>
      <w:r w:rsidRPr="00B800E7">
        <w:rPr>
          <w:sz w:val="28"/>
          <w:szCs w:val="28"/>
        </w:rPr>
        <w:t>IN THE SUPREME COURT</w:t>
      </w:r>
      <w:r w:rsidR="00460681" w:rsidRPr="00B800E7">
        <w:rPr>
          <w:sz w:val="28"/>
          <w:szCs w:val="28"/>
        </w:rPr>
        <w:br/>
      </w:r>
    </w:p>
    <w:p w:rsidR="00460681" w:rsidRPr="00B800E7" w:rsidRDefault="004C5DE3" w:rsidP="00CF352A">
      <w:pPr>
        <w:jc w:val="center"/>
        <w:rPr>
          <w:sz w:val="28"/>
          <w:szCs w:val="28"/>
        </w:rPr>
      </w:pPr>
      <w:r w:rsidRPr="00B800E7">
        <w:rPr>
          <w:sz w:val="28"/>
          <w:szCs w:val="28"/>
        </w:rPr>
        <w:t>STATE OF ARIZONA</w:t>
      </w:r>
    </w:p>
    <w:p w:rsidR="004C5DE3" w:rsidRPr="00B800E7" w:rsidRDefault="004C5DE3" w:rsidP="00CF352A">
      <w:pPr>
        <w:jc w:val="center"/>
        <w:rPr>
          <w:sz w:val="28"/>
          <w:szCs w:val="28"/>
        </w:rPr>
      </w:pPr>
    </w:p>
    <w:p w:rsidR="00460681" w:rsidRPr="00B800E7" w:rsidRDefault="00460681" w:rsidP="00CF352A">
      <w:pPr>
        <w:rPr>
          <w:sz w:val="28"/>
          <w:szCs w:val="28"/>
        </w:rPr>
      </w:pPr>
    </w:p>
    <w:tbl>
      <w:tblPr>
        <w:tblW w:w="0" w:type="auto"/>
        <w:tblLook w:val="01E0" w:firstRow="1" w:lastRow="1" w:firstColumn="1" w:lastColumn="1" w:noHBand="0" w:noVBand="0"/>
      </w:tblPr>
      <w:tblGrid>
        <w:gridCol w:w="4788"/>
        <w:gridCol w:w="4788"/>
      </w:tblGrid>
      <w:tr w:rsidR="00460681" w:rsidRPr="00B800E7" w:rsidTr="00846293">
        <w:tc>
          <w:tcPr>
            <w:tcW w:w="4788" w:type="dxa"/>
            <w:tcBorders>
              <w:right w:val="single" w:sz="4" w:space="0" w:color="auto"/>
            </w:tcBorders>
          </w:tcPr>
          <w:p w:rsidR="00460681" w:rsidRPr="00B800E7" w:rsidRDefault="004C5DE3" w:rsidP="00CF352A">
            <w:pPr>
              <w:rPr>
                <w:sz w:val="28"/>
                <w:szCs w:val="28"/>
              </w:rPr>
            </w:pPr>
            <w:r w:rsidRPr="00B800E7">
              <w:rPr>
                <w:sz w:val="28"/>
                <w:szCs w:val="28"/>
              </w:rPr>
              <w:t>In the Matter of:</w:t>
            </w:r>
          </w:p>
          <w:p w:rsidR="004C5DE3" w:rsidRPr="00B800E7" w:rsidRDefault="004C5DE3" w:rsidP="00CF352A">
            <w:pPr>
              <w:rPr>
                <w:sz w:val="28"/>
                <w:szCs w:val="28"/>
              </w:rPr>
            </w:pPr>
          </w:p>
          <w:p w:rsidR="004C5DE3" w:rsidRPr="00B800E7" w:rsidRDefault="000C787D" w:rsidP="00CF352A">
            <w:pPr>
              <w:rPr>
                <w:sz w:val="28"/>
                <w:szCs w:val="28"/>
              </w:rPr>
            </w:pPr>
            <w:r>
              <w:rPr>
                <w:sz w:val="28"/>
                <w:szCs w:val="28"/>
              </w:rPr>
              <w:t>Petition to Amend Rule</w:t>
            </w:r>
            <w:r w:rsidR="00201912">
              <w:rPr>
                <w:sz w:val="28"/>
                <w:szCs w:val="28"/>
              </w:rPr>
              <w:t>s</w:t>
            </w:r>
            <w:r>
              <w:rPr>
                <w:sz w:val="28"/>
                <w:szCs w:val="28"/>
              </w:rPr>
              <w:t xml:space="preserve"> </w:t>
            </w:r>
            <w:r w:rsidR="00201912">
              <w:rPr>
                <w:sz w:val="28"/>
                <w:szCs w:val="28"/>
              </w:rPr>
              <w:t xml:space="preserve">10.2, 15.1, </w:t>
            </w:r>
            <w:r w:rsidR="00284E72">
              <w:rPr>
                <w:sz w:val="28"/>
                <w:szCs w:val="28"/>
              </w:rPr>
              <w:t>16.6</w:t>
            </w:r>
            <w:r w:rsidR="004C5DE3" w:rsidRPr="00B800E7">
              <w:rPr>
                <w:sz w:val="28"/>
                <w:szCs w:val="28"/>
              </w:rPr>
              <w:t xml:space="preserve"> of</w:t>
            </w:r>
            <w:r w:rsidR="00201912">
              <w:rPr>
                <w:sz w:val="28"/>
                <w:szCs w:val="28"/>
              </w:rPr>
              <w:t xml:space="preserve"> t</w:t>
            </w:r>
            <w:r w:rsidR="004C5DE3" w:rsidRPr="00B800E7">
              <w:rPr>
                <w:sz w:val="28"/>
                <w:szCs w:val="28"/>
              </w:rPr>
              <w:t xml:space="preserve">he Arizona Rules of Criminal </w:t>
            </w:r>
          </w:p>
          <w:p w:rsidR="004C5DE3" w:rsidRPr="00B800E7" w:rsidRDefault="004C5DE3" w:rsidP="00CF352A">
            <w:pPr>
              <w:rPr>
                <w:sz w:val="28"/>
                <w:szCs w:val="28"/>
              </w:rPr>
            </w:pPr>
            <w:r w:rsidRPr="00B800E7">
              <w:rPr>
                <w:sz w:val="28"/>
                <w:szCs w:val="28"/>
              </w:rPr>
              <w:t>Procedure</w:t>
            </w:r>
          </w:p>
        </w:tc>
        <w:tc>
          <w:tcPr>
            <w:tcW w:w="4788" w:type="dxa"/>
            <w:tcBorders>
              <w:left w:val="single" w:sz="4" w:space="0" w:color="auto"/>
            </w:tcBorders>
          </w:tcPr>
          <w:p w:rsidR="004C5DE3" w:rsidRPr="00B800E7" w:rsidRDefault="004C5DE3" w:rsidP="00CF352A">
            <w:pPr>
              <w:ind w:left="446" w:hanging="446"/>
              <w:rPr>
                <w:sz w:val="28"/>
                <w:szCs w:val="28"/>
              </w:rPr>
            </w:pPr>
          </w:p>
          <w:p w:rsidR="00460681" w:rsidRPr="00B800E7" w:rsidRDefault="000C787D" w:rsidP="00CF352A">
            <w:pPr>
              <w:ind w:left="446" w:hanging="446"/>
              <w:rPr>
                <w:sz w:val="28"/>
                <w:szCs w:val="28"/>
              </w:rPr>
            </w:pPr>
            <w:r>
              <w:rPr>
                <w:sz w:val="28"/>
                <w:szCs w:val="28"/>
              </w:rPr>
              <w:t>Supreme Court No. R-17</w:t>
            </w:r>
            <w:r w:rsidR="004C5DE3" w:rsidRPr="00B800E7">
              <w:rPr>
                <w:sz w:val="28"/>
                <w:szCs w:val="28"/>
              </w:rPr>
              <w:t xml:space="preserve"> ____________</w:t>
            </w:r>
            <w:r w:rsidR="00460681" w:rsidRPr="00B800E7">
              <w:rPr>
                <w:sz w:val="28"/>
                <w:szCs w:val="28"/>
              </w:rPr>
              <w:t xml:space="preserve"> </w:t>
            </w:r>
            <w:bookmarkStart w:id="1" w:name="OLE_LINK1"/>
            <w:bookmarkStart w:id="2" w:name="OLE_LINK2"/>
            <w:r w:rsidR="00226B72" w:rsidRPr="00B800E7">
              <w:rPr>
                <w:sz w:val="28"/>
                <w:szCs w:val="28"/>
              </w:rPr>
              <w:fldChar w:fldCharType="begin"/>
            </w:r>
            <w:r w:rsidR="00226B72" w:rsidRPr="00B800E7">
              <w:rPr>
                <w:sz w:val="28"/>
                <w:szCs w:val="28"/>
              </w:rPr>
              <w:instrText xml:space="preserve"> DOCVARIABLE  CaseNo  \* MERGEFORMAT </w:instrText>
            </w:r>
            <w:r w:rsidR="00226B72" w:rsidRPr="00B800E7">
              <w:rPr>
                <w:sz w:val="28"/>
                <w:szCs w:val="28"/>
              </w:rPr>
              <w:fldChar w:fldCharType="separate"/>
            </w:r>
            <w:r w:rsidR="004C5DE3" w:rsidRPr="00B800E7">
              <w:rPr>
                <w:sz w:val="28"/>
                <w:szCs w:val="28"/>
              </w:rPr>
              <w:t xml:space="preserve"> </w:t>
            </w:r>
            <w:r w:rsidR="00226B72" w:rsidRPr="00B800E7">
              <w:rPr>
                <w:sz w:val="28"/>
                <w:szCs w:val="28"/>
              </w:rPr>
              <w:fldChar w:fldCharType="end"/>
            </w:r>
            <w:bookmarkEnd w:id="1"/>
            <w:bookmarkEnd w:id="2"/>
          </w:p>
          <w:p w:rsidR="002E4D27" w:rsidRPr="00B800E7" w:rsidRDefault="002E4D27" w:rsidP="00CF352A">
            <w:pPr>
              <w:ind w:left="446" w:hanging="446"/>
              <w:rPr>
                <w:sz w:val="28"/>
                <w:szCs w:val="28"/>
              </w:rPr>
            </w:pPr>
          </w:p>
        </w:tc>
      </w:tr>
      <w:tr w:rsidR="008B2962" w:rsidRPr="00B800E7" w:rsidTr="00846293">
        <w:trPr>
          <w:trHeight w:val="673"/>
        </w:trPr>
        <w:tc>
          <w:tcPr>
            <w:tcW w:w="4788" w:type="dxa"/>
            <w:tcBorders>
              <w:right w:val="single" w:sz="4" w:space="0" w:color="auto"/>
            </w:tcBorders>
            <w:vAlign w:val="center"/>
          </w:tcPr>
          <w:p w:rsidR="008B2962" w:rsidRPr="00B800E7" w:rsidRDefault="008B2962" w:rsidP="00CF352A">
            <w:pPr>
              <w:jc w:val="center"/>
              <w:rPr>
                <w:sz w:val="28"/>
                <w:szCs w:val="28"/>
              </w:rPr>
            </w:pPr>
          </w:p>
        </w:tc>
        <w:tc>
          <w:tcPr>
            <w:tcW w:w="4788" w:type="dxa"/>
            <w:tcBorders>
              <w:left w:val="single" w:sz="4" w:space="0" w:color="auto"/>
            </w:tcBorders>
            <w:vAlign w:val="center"/>
          </w:tcPr>
          <w:p w:rsidR="00A2674D" w:rsidRPr="00B800E7" w:rsidRDefault="00833210" w:rsidP="00CF352A">
            <w:pPr>
              <w:rPr>
                <w:sz w:val="28"/>
                <w:szCs w:val="28"/>
              </w:rPr>
            </w:pPr>
            <w:r w:rsidRPr="00B800E7">
              <w:rPr>
                <w:sz w:val="28"/>
                <w:szCs w:val="28"/>
              </w:rPr>
              <w:fldChar w:fldCharType="begin"/>
            </w:r>
            <w:r w:rsidR="00934E79" w:rsidRPr="00B800E7">
              <w:rPr>
                <w:sz w:val="28"/>
                <w:szCs w:val="28"/>
              </w:rPr>
              <w:instrText xml:space="preserve"> DOCVARIABLE  Title</w:instrText>
            </w:r>
            <w:r w:rsidRPr="00B800E7">
              <w:rPr>
                <w:sz w:val="28"/>
                <w:szCs w:val="28"/>
              </w:rPr>
              <w:instrText xml:space="preserve">Motion  \* MERGEFORMAT </w:instrText>
            </w:r>
            <w:r w:rsidRPr="00B800E7">
              <w:rPr>
                <w:sz w:val="28"/>
                <w:szCs w:val="28"/>
              </w:rPr>
              <w:fldChar w:fldCharType="separate"/>
            </w:r>
            <w:r w:rsidR="004C5DE3" w:rsidRPr="00B800E7">
              <w:rPr>
                <w:sz w:val="28"/>
                <w:szCs w:val="28"/>
              </w:rPr>
              <w:t xml:space="preserve"> </w:t>
            </w:r>
            <w:r w:rsidRPr="00B800E7">
              <w:rPr>
                <w:sz w:val="28"/>
                <w:szCs w:val="28"/>
              </w:rPr>
              <w:fldChar w:fldCharType="end"/>
            </w:r>
          </w:p>
        </w:tc>
      </w:tr>
      <w:tr w:rsidR="008B2962" w:rsidRPr="00B800E7" w:rsidTr="00846293">
        <w:tc>
          <w:tcPr>
            <w:tcW w:w="4788" w:type="dxa"/>
            <w:tcBorders>
              <w:bottom w:val="single" w:sz="4" w:space="0" w:color="auto"/>
              <w:right w:val="single" w:sz="4" w:space="0" w:color="auto"/>
            </w:tcBorders>
          </w:tcPr>
          <w:p w:rsidR="008B2962" w:rsidRPr="00B800E7" w:rsidRDefault="008B2962" w:rsidP="00CF352A">
            <w:pPr>
              <w:tabs>
                <w:tab w:val="left" w:pos="2144"/>
              </w:tabs>
              <w:rPr>
                <w:sz w:val="28"/>
                <w:szCs w:val="28"/>
              </w:rPr>
            </w:pPr>
          </w:p>
        </w:tc>
        <w:tc>
          <w:tcPr>
            <w:tcW w:w="4788" w:type="dxa"/>
            <w:tcBorders>
              <w:left w:val="single" w:sz="4" w:space="0" w:color="auto"/>
            </w:tcBorders>
          </w:tcPr>
          <w:p w:rsidR="008B2962" w:rsidRPr="00B800E7" w:rsidRDefault="008B2962" w:rsidP="00CF352A">
            <w:pPr>
              <w:rPr>
                <w:sz w:val="28"/>
                <w:szCs w:val="28"/>
              </w:rPr>
            </w:pPr>
          </w:p>
        </w:tc>
      </w:tr>
    </w:tbl>
    <w:p w:rsidR="00460681" w:rsidRPr="00B800E7" w:rsidRDefault="00460681" w:rsidP="00CF352A">
      <w:pPr>
        <w:rPr>
          <w:sz w:val="28"/>
          <w:szCs w:val="28"/>
        </w:rPr>
      </w:pPr>
    </w:p>
    <w:p w:rsidR="00F133D1" w:rsidRPr="00B800E7" w:rsidRDefault="004C5DE3" w:rsidP="00CF352A">
      <w:pPr>
        <w:spacing w:line="480" w:lineRule="auto"/>
        <w:ind w:firstLine="720"/>
        <w:jc w:val="both"/>
        <w:rPr>
          <w:sz w:val="28"/>
          <w:szCs w:val="28"/>
        </w:rPr>
      </w:pPr>
      <w:r w:rsidRPr="00B800E7">
        <w:rPr>
          <w:sz w:val="28"/>
          <w:szCs w:val="28"/>
        </w:rPr>
        <w:t xml:space="preserve">Pursuant to Rule 28 of the Rules of the Arizona Supreme Court, </w:t>
      </w:r>
      <w:r w:rsidRPr="00B800E7">
        <w:rPr>
          <w:sz w:val="28"/>
          <w:szCs w:val="28"/>
          <w:highlight w:val="white"/>
        </w:rPr>
        <w:t xml:space="preserve">the </w:t>
      </w:r>
      <w:r w:rsidR="00A20185">
        <w:rPr>
          <w:sz w:val="28"/>
          <w:szCs w:val="28"/>
        </w:rPr>
        <w:t>Arizona Attorneys for Criminal Justice</w:t>
      </w:r>
      <w:r w:rsidR="006976B0">
        <w:rPr>
          <w:sz w:val="28"/>
          <w:szCs w:val="28"/>
        </w:rPr>
        <w:t xml:space="preserve"> </w:t>
      </w:r>
      <w:r w:rsidR="00A20185">
        <w:rPr>
          <w:sz w:val="28"/>
          <w:szCs w:val="28"/>
        </w:rPr>
        <w:t>respectfully petition</w:t>
      </w:r>
      <w:r w:rsidRPr="00B800E7">
        <w:rPr>
          <w:sz w:val="28"/>
          <w:szCs w:val="28"/>
        </w:rPr>
        <w:t xml:space="preserve"> this Court to adopt the attached proposed amendment to Rule</w:t>
      </w:r>
      <w:r w:rsidR="00201912">
        <w:rPr>
          <w:sz w:val="28"/>
          <w:szCs w:val="28"/>
        </w:rPr>
        <w:t>s 10.2, 15.1, and</w:t>
      </w:r>
      <w:r w:rsidRPr="00B800E7">
        <w:rPr>
          <w:sz w:val="28"/>
          <w:szCs w:val="28"/>
        </w:rPr>
        <w:t xml:space="preserve"> </w:t>
      </w:r>
      <w:r w:rsidR="00284E72">
        <w:rPr>
          <w:sz w:val="28"/>
          <w:szCs w:val="28"/>
        </w:rPr>
        <w:t>16.6</w:t>
      </w:r>
      <w:r w:rsidRPr="00B800E7">
        <w:rPr>
          <w:sz w:val="28"/>
          <w:szCs w:val="28"/>
        </w:rPr>
        <w:t xml:space="preserve"> of the Rules of Criminal Procedure. The text of the proposed amendment is set out in the accompanying Appendix A.</w:t>
      </w:r>
    </w:p>
    <w:p w:rsidR="008067D0" w:rsidRDefault="008067D0" w:rsidP="00CF352A">
      <w:pPr>
        <w:pStyle w:val="BodyText"/>
        <w:spacing w:line="480" w:lineRule="auto"/>
        <w:ind w:firstLine="720"/>
      </w:pPr>
      <w:r>
        <w:t xml:space="preserve">The power to dismiss a case and refile charges is one uniquely held by the government. A defendant cannot dismiss and refile charges; a defendant is only permitted to move to dismiss a case if the indictment is insufficient. The prosecution, on the other hand, can dismiss a case for good cause. </w:t>
      </w:r>
    </w:p>
    <w:p w:rsidR="008067D0" w:rsidRDefault="008067D0" w:rsidP="00CF352A">
      <w:pPr>
        <w:pStyle w:val="BodyText"/>
        <w:spacing w:line="480" w:lineRule="auto"/>
        <w:ind w:firstLine="720"/>
      </w:pPr>
      <w:r>
        <w:lastRenderedPageBreak/>
        <w:t xml:space="preserve">This ability to dismiss and reindict creates a tremendous disparity between the government and the defendant. In practice, the dismiss-and-refile process has been used to permit the state to engage in judicial shopping and even restart the deadline for notices of intent to seek the death penalty. But the defendant is left with no coordinating power—she cannot refile charges against herself to shop for a more beneficial court or start a deadline anew. </w:t>
      </w:r>
    </w:p>
    <w:p w:rsidR="008067D0" w:rsidRPr="00781989" w:rsidRDefault="008067D0" w:rsidP="00CF352A">
      <w:pPr>
        <w:pStyle w:val="BodyText"/>
        <w:spacing w:line="480" w:lineRule="auto"/>
        <w:ind w:firstLine="720"/>
      </w:pPr>
      <w:r>
        <w:t>This proposal simply seeks to level the playing field; to ensure that the government does not have the authority to change the rules of the game.</w:t>
      </w:r>
      <w:r w:rsidRPr="00504F5F">
        <w:rPr>
          <w:szCs w:val="28"/>
        </w:rPr>
        <w:t xml:space="preserve"> </w:t>
      </w:r>
      <w:r w:rsidRPr="00B800E7">
        <w:rPr>
          <w:szCs w:val="28"/>
        </w:rPr>
        <w:t xml:space="preserve">If adopted, the </w:t>
      </w:r>
      <w:r>
        <w:rPr>
          <w:szCs w:val="28"/>
        </w:rPr>
        <w:t xml:space="preserve">state would merely be forbidden from unilaterally using its power to dismiss and refile cases in order to notice a previously appointed judge or restart the deadline to file a notice of intent to seek death. </w:t>
      </w:r>
    </w:p>
    <w:p w:rsidR="00AE6C21" w:rsidRPr="008067D0" w:rsidRDefault="00AE6C21" w:rsidP="00CF352A">
      <w:pPr>
        <w:pStyle w:val="BodyText"/>
        <w:numPr>
          <w:ilvl w:val="0"/>
          <w:numId w:val="8"/>
        </w:numPr>
      </w:pPr>
      <w:r>
        <w:rPr>
          <w:b/>
          <w:szCs w:val="28"/>
        </w:rPr>
        <w:t xml:space="preserve">The Current Case Law permits the state to circumvent </w:t>
      </w:r>
      <w:r w:rsidR="00BF2D59">
        <w:rPr>
          <w:b/>
          <w:szCs w:val="28"/>
        </w:rPr>
        <w:t>various unfavorable rulings by dismissing and refiling charges.</w:t>
      </w:r>
      <w:r w:rsidR="008067D0">
        <w:rPr>
          <w:b/>
          <w:szCs w:val="28"/>
        </w:rPr>
        <w:t xml:space="preserve"> </w:t>
      </w:r>
    </w:p>
    <w:p w:rsidR="008067D0" w:rsidRPr="00BF2D59" w:rsidRDefault="008067D0" w:rsidP="00CF352A">
      <w:pPr>
        <w:pStyle w:val="BodyText"/>
        <w:ind w:left="1080"/>
      </w:pPr>
    </w:p>
    <w:p w:rsidR="00BF2D59" w:rsidRPr="00BF2D59" w:rsidRDefault="00BF2D59" w:rsidP="00CF352A">
      <w:pPr>
        <w:spacing w:line="480" w:lineRule="auto"/>
        <w:jc w:val="both"/>
        <w:rPr>
          <w:sz w:val="28"/>
          <w:szCs w:val="28"/>
        </w:rPr>
      </w:pPr>
      <w:r w:rsidRPr="00BF2D59">
        <w:rPr>
          <w:b/>
          <w:sz w:val="28"/>
          <w:szCs w:val="28"/>
        </w:rPr>
        <w:tab/>
      </w:r>
      <w:r w:rsidRPr="00BF2D59">
        <w:rPr>
          <w:sz w:val="28"/>
          <w:szCs w:val="28"/>
        </w:rPr>
        <w:t>This court has recognized that the state</w:t>
      </w:r>
      <w:r w:rsidR="00CF352A">
        <w:rPr>
          <w:sz w:val="28"/>
          <w:szCs w:val="28"/>
        </w:rPr>
        <w:t>’</w:t>
      </w:r>
      <w:r w:rsidRPr="00BF2D59">
        <w:rPr>
          <w:sz w:val="28"/>
          <w:szCs w:val="28"/>
        </w:rPr>
        <w:t>s dismissal and refiling of a case</w:t>
      </w:r>
      <w:r w:rsidR="004E11C4">
        <w:rPr>
          <w:sz w:val="28"/>
          <w:szCs w:val="28"/>
        </w:rPr>
        <w:t xml:space="preserve"> begins a separate matter:</w:t>
      </w:r>
      <w:r w:rsidR="008067D0">
        <w:rPr>
          <w:sz w:val="28"/>
          <w:szCs w:val="28"/>
        </w:rPr>
        <w:t xml:space="preserve"> </w:t>
      </w:r>
    </w:p>
    <w:p w:rsidR="00BF2D59" w:rsidRPr="00BF2D59" w:rsidRDefault="00BF2D59" w:rsidP="00CF352A">
      <w:pPr>
        <w:ind w:left="720" w:right="720"/>
        <w:jc w:val="both"/>
        <w:rPr>
          <w:sz w:val="28"/>
          <w:szCs w:val="28"/>
        </w:rPr>
      </w:pPr>
      <w:r w:rsidRPr="00BF2D59">
        <w:rPr>
          <w:sz w:val="28"/>
          <w:szCs w:val="28"/>
        </w:rPr>
        <w:t>When a case is dismissed without prejudice, the state</w:t>
      </w:r>
      <w:r w:rsidR="00CF352A">
        <w:rPr>
          <w:sz w:val="28"/>
          <w:szCs w:val="28"/>
        </w:rPr>
        <w:t>’</w:t>
      </w:r>
      <w:r w:rsidRPr="00BF2D59">
        <w:rPr>
          <w:sz w:val="28"/>
          <w:szCs w:val="28"/>
        </w:rPr>
        <w:t xml:space="preserve">s filing of a new indictment generally begins a separate matter. </w:t>
      </w:r>
      <w:r w:rsidRPr="00BF2D59">
        <w:rPr>
          <w:i/>
          <w:iCs/>
          <w:sz w:val="28"/>
          <w:szCs w:val="28"/>
        </w:rPr>
        <w:t>See Godoy v. Hantman</w:t>
      </w:r>
      <w:r w:rsidRPr="00BF2D59">
        <w:rPr>
          <w:sz w:val="28"/>
          <w:szCs w:val="28"/>
        </w:rPr>
        <w:t xml:space="preserve">, 205 Ariz. 104, 105 ¶ 1, 106 ¶ 8, 67 P.3d 700, 701–02 (2003); </w:t>
      </w:r>
      <w:r w:rsidRPr="00BF2D59">
        <w:rPr>
          <w:i/>
          <w:iCs/>
          <w:sz w:val="28"/>
          <w:szCs w:val="28"/>
        </w:rPr>
        <w:t>State v. Rose</w:t>
      </w:r>
      <w:r w:rsidRPr="00BF2D59">
        <w:rPr>
          <w:sz w:val="28"/>
          <w:szCs w:val="28"/>
        </w:rPr>
        <w:t xml:space="preserve">, 121 Ariz. 131, 137, 589 P.2d 5, 11 (1978). Time limits under the rules begin anew for the separate matter </w:t>
      </w:r>
      <w:r w:rsidR="00CF352A">
        <w:rPr>
          <w:sz w:val="28"/>
          <w:szCs w:val="28"/>
        </w:rPr>
        <w:t>“</w:t>
      </w:r>
      <w:r w:rsidRPr="00BF2D59">
        <w:rPr>
          <w:sz w:val="28"/>
          <w:szCs w:val="28"/>
        </w:rPr>
        <w:t>absent a showing of bad faith on the part of the prosecution or prejudice to the accused.</w:t>
      </w:r>
      <w:r w:rsidR="00CF352A">
        <w:rPr>
          <w:sz w:val="28"/>
          <w:szCs w:val="28"/>
        </w:rPr>
        <w:t>”</w:t>
      </w:r>
      <w:r w:rsidRPr="00BF2D59">
        <w:rPr>
          <w:sz w:val="28"/>
          <w:szCs w:val="28"/>
        </w:rPr>
        <w:t xml:space="preserve"> </w:t>
      </w:r>
      <w:r w:rsidRPr="00BF2D59">
        <w:rPr>
          <w:i/>
          <w:iCs/>
          <w:sz w:val="28"/>
          <w:szCs w:val="28"/>
        </w:rPr>
        <w:t>Rose</w:t>
      </w:r>
      <w:r w:rsidRPr="00BF2D59">
        <w:rPr>
          <w:sz w:val="28"/>
          <w:szCs w:val="28"/>
        </w:rPr>
        <w:t xml:space="preserve">, 121 Ariz. at 137, 589 P.2d at 11 (restarting speedy trial time limits); </w:t>
      </w:r>
      <w:r w:rsidRPr="00BF2D59">
        <w:rPr>
          <w:i/>
          <w:iCs/>
          <w:sz w:val="28"/>
          <w:szCs w:val="28"/>
        </w:rPr>
        <w:t>see also Godoy</w:t>
      </w:r>
      <w:r w:rsidRPr="00BF2D59">
        <w:rPr>
          <w:sz w:val="28"/>
          <w:szCs w:val="28"/>
        </w:rPr>
        <w:t>, 205 Ariz. at 106 ¶ 7, 67 P.3d at 702 (restarting change-of-judge time limits).</w:t>
      </w:r>
    </w:p>
    <w:p w:rsidR="00BF2D59" w:rsidRDefault="00BF2D59" w:rsidP="00CF352A">
      <w:pPr>
        <w:jc w:val="both"/>
        <w:rPr>
          <w:sz w:val="28"/>
          <w:szCs w:val="28"/>
        </w:rPr>
      </w:pPr>
      <w:r w:rsidRPr="00BF2D59">
        <w:rPr>
          <w:i/>
          <w:iCs/>
          <w:sz w:val="28"/>
          <w:szCs w:val="28"/>
        </w:rPr>
        <w:t>Mesa v. Granville</w:t>
      </w:r>
      <w:r w:rsidRPr="00BF2D59">
        <w:rPr>
          <w:sz w:val="28"/>
          <w:szCs w:val="28"/>
        </w:rPr>
        <w:t xml:space="preserve">, </w:t>
      </w:r>
      <w:r>
        <w:rPr>
          <w:sz w:val="28"/>
          <w:szCs w:val="28"/>
        </w:rPr>
        <w:t xml:space="preserve">___ P.3d. ___, </w:t>
      </w:r>
      <w:r w:rsidRPr="00BF2D59">
        <w:rPr>
          <w:sz w:val="28"/>
          <w:szCs w:val="28"/>
        </w:rPr>
        <w:t>2016 WL 7387134, at ¶</w:t>
      </w:r>
      <w:r>
        <w:rPr>
          <w:sz w:val="28"/>
          <w:szCs w:val="28"/>
        </w:rPr>
        <w:t>2 (</w:t>
      </w:r>
      <w:r w:rsidRPr="00BF2D59">
        <w:rPr>
          <w:sz w:val="28"/>
          <w:szCs w:val="28"/>
        </w:rPr>
        <w:t>2016)</w:t>
      </w:r>
      <w:r>
        <w:rPr>
          <w:sz w:val="28"/>
          <w:szCs w:val="28"/>
        </w:rPr>
        <w:t>.</w:t>
      </w:r>
    </w:p>
    <w:p w:rsidR="00BF2D59" w:rsidRDefault="00BF2D59" w:rsidP="00CF352A">
      <w:pPr>
        <w:jc w:val="both"/>
        <w:rPr>
          <w:sz w:val="28"/>
          <w:szCs w:val="28"/>
        </w:rPr>
      </w:pPr>
    </w:p>
    <w:p w:rsidR="00BF2D59" w:rsidRDefault="00BF2D59" w:rsidP="00CF352A">
      <w:pPr>
        <w:spacing w:line="480" w:lineRule="auto"/>
        <w:jc w:val="both"/>
        <w:rPr>
          <w:sz w:val="28"/>
          <w:szCs w:val="28"/>
        </w:rPr>
      </w:pPr>
      <w:r>
        <w:rPr>
          <w:sz w:val="28"/>
          <w:szCs w:val="28"/>
        </w:rPr>
        <w:lastRenderedPageBreak/>
        <w:tab/>
        <w:t xml:space="preserve">In </w:t>
      </w:r>
      <w:r>
        <w:rPr>
          <w:i/>
          <w:sz w:val="28"/>
          <w:szCs w:val="28"/>
        </w:rPr>
        <w:t>Godoy</w:t>
      </w:r>
      <w:r>
        <w:rPr>
          <w:sz w:val="28"/>
          <w:szCs w:val="28"/>
        </w:rPr>
        <w:t>, a case was ordered remanded by the court, and dismissed when a new indictment was not filed in a timely fashion.</w:t>
      </w:r>
      <w:r w:rsidR="008067D0">
        <w:rPr>
          <w:sz w:val="28"/>
          <w:szCs w:val="28"/>
        </w:rPr>
        <w:t xml:space="preserve"> </w:t>
      </w:r>
      <w:r>
        <w:rPr>
          <w:sz w:val="28"/>
          <w:szCs w:val="28"/>
        </w:rPr>
        <w:t>The state then brought a new cause of action, and additionally filed a notice of change of judge pursuant to Rule 10.2 .</w:t>
      </w:r>
      <w:r w:rsidR="008067D0">
        <w:rPr>
          <w:sz w:val="28"/>
          <w:szCs w:val="28"/>
        </w:rPr>
        <w:t xml:space="preserve"> </w:t>
      </w:r>
      <w:r>
        <w:rPr>
          <w:i/>
          <w:sz w:val="28"/>
          <w:szCs w:val="28"/>
        </w:rPr>
        <w:t>Godoy</w:t>
      </w:r>
      <w:r w:rsidR="004E11C4">
        <w:rPr>
          <w:sz w:val="28"/>
          <w:szCs w:val="28"/>
        </w:rPr>
        <w:t xml:space="preserve">, </w:t>
      </w:r>
      <w:r w:rsidR="004E11C4" w:rsidRPr="00BF2D59">
        <w:rPr>
          <w:sz w:val="28"/>
          <w:szCs w:val="28"/>
        </w:rPr>
        <w:t>205 Ariz. 104</w:t>
      </w:r>
      <w:r w:rsidR="004E11C4">
        <w:rPr>
          <w:sz w:val="28"/>
          <w:szCs w:val="28"/>
        </w:rPr>
        <w:t>,</w:t>
      </w:r>
      <w:r>
        <w:rPr>
          <w:sz w:val="28"/>
          <w:szCs w:val="28"/>
        </w:rPr>
        <w:t xml:space="preserve"> </w:t>
      </w:r>
      <w:r w:rsidRPr="00BF2D59">
        <w:rPr>
          <w:sz w:val="28"/>
          <w:szCs w:val="28"/>
        </w:rPr>
        <w:t>¶¶</w:t>
      </w:r>
      <w:r>
        <w:rPr>
          <w:sz w:val="28"/>
          <w:szCs w:val="28"/>
        </w:rPr>
        <w:t>3-4.</w:t>
      </w:r>
      <w:r w:rsidR="008067D0">
        <w:rPr>
          <w:sz w:val="28"/>
          <w:szCs w:val="28"/>
        </w:rPr>
        <w:t xml:space="preserve"> </w:t>
      </w:r>
      <w:r>
        <w:rPr>
          <w:sz w:val="28"/>
          <w:szCs w:val="28"/>
        </w:rPr>
        <w:t>The state had not filed a previous change of judge against this judicial officer, and it is clear that without the new indictment, such a notice would have been untimely.</w:t>
      </w:r>
      <w:r w:rsidR="008067D0">
        <w:rPr>
          <w:sz w:val="28"/>
          <w:szCs w:val="28"/>
        </w:rPr>
        <w:t xml:space="preserve"> </w:t>
      </w:r>
      <w:r w:rsidR="004E11C4">
        <w:rPr>
          <w:i/>
          <w:sz w:val="28"/>
          <w:szCs w:val="28"/>
        </w:rPr>
        <w:t>Id.</w:t>
      </w:r>
      <w:r>
        <w:rPr>
          <w:sz w:val="28"/>
          <w:szCs w:val="28"/>
        </w:rPr>
        <w:t xml:space="preserve"> at </w:t>
      </w:r>
      <w:r w:rsidRPr="00BF2D59">
        <w:rPr>
          <w:sz w:val="28"/>
          <w:szCs w:val="28"/>
        </w:rPr>
        <w:t>¶</w:t>
      </w:r>
      <w:r>
        <w:rPr>
          <w:sz w:val="28"/>
          <w:szCs w:val="28"/>
        </w:rPr>
        <w:t>6.</w:t>
      </w:r>
      <w:r w:rsidR="008067D0">
        <w:rPr>
          <w:sz w:val="28"/>
          <w:szCs w:val="28"/>
        </w:rPr>
        <w:t xml:space="preserve"> </w:t>
      </w:r>
      <w:r>
        <w:rPr>
          <w:sz w:val="28"/>
          <w:szCs w:val="28"/>
        </w:rPr>
        <w:t xml:space="preserve">Although this case was ordered dismissed by the court, rather than moved for dismissal by the state, the court in </w:t>
      </w:r>
      <w:r>
        <w:rPr>
          <w:i/>
          <w:sz w:val="28"/>
          <w:szCs w:val="28"/>
        </w:rPr>
        <w:t>Godoy</w:t>
      </w:r>
      <w:r>
        <w:rPr>
          <w:sz w:val="28"/>
          <w:szCs w:val="28"/>
        </w:rPr>
        <w:t xml:space="preserve"> placed no proscription on strategic dismissals in order to generate a new case number and thus a new deadline.</w:t>
      </w:r>
      <w:r w:rsidR="008067D0">
        <w:rPr>
          <w:sz w:val="28"/>
          <w:szCs w:val="28"/>
        </w:rPr>
        <w:t xml:space="preserve"> </w:t>
      </w:r>
    </w:p>
    <w:p w:rsidR="002429BB" w:rsidRDefault="007C67D1" w:rsidP="00CF352A">
      <w:pPr>
        <w:spacing w:line="480" w:lineRule="auto"/>
        <w:jc w:val="both"/>
        <w:rPr>
          <w:sz w:val="28"/>
          <w:szCs w:val="28"/>
        </w:rPr>
      </w:pPr>
      <w:r>
        <w:rPr>
          <w:sz w:val="28"/>
          <w:szCs w:val="28"/>
        </w:rPr>
        <w:tab/>
        <w:t>In</w:t>
      </w:r>
      <w:r w:rsidR="008067D0">
        <w:rPr>
          <w:sz w:val="28"/>
          <w:szCs w:val="28"/>
        </w:rPr>
        <w:t xml:space="preserve"> two trial-level cases at the Maricopa County Superior Court—</w:t>
      </w:r>
      <w:r w:rsidRPr="004E11C4">
        <w:rPr>
          <w:i/>
          <w:sz w:val="28"/>
          <w:szCs w:val="28"/>
        </w:rPr>
        <w:t>State</w:t>
      </w:r>
      <w:r w:rsidR="008067D0">
        <w:rPr>
          <w:i/>
          <w:sz w:val="28"/>
          <w:szCs w:val="28"/>
        </w:rPr>
        <w:t xml:space="preserve"> </w:t>
      </w:r>
      <w:r w:rsidRPr="004E11C4">
        <w:rPr>
          <w:i/>
          <w:sz w:val="28"/>
          <w:szCs w:val="28"/>
        </w:rPr>
        <w:t>v. Mena-Cobian</w:t>
      </w:r>
      <w:r w:rsidR="008067D0">
        <w:rPr>
          <w:sz w:val="28"/>
          <w:szCs w:val="28"/>
        </w:rPr>
        <w:t>, Maricopa County Superior Court No. CR 2008-007780-001,</w:t>
      </w:r>
      <w:r>
        <w:rPr>
          <w:sz w:val="28"/>
          <w:szCs w:val="28"/>
        </w:rPr>
        <w:t xml:space="preserve"> and </w:t>
      </w:r>
      <w:r w:rsidRPr="004E11C4">
        <w:rPr>
          <w:i/>
          <w:sz w:val="28"/>
          <w:szCs w:val="28"/>
        </w:rPr>
        <w:t>State v. Martinson</w:t>
      </w:r>
      <w:r>
        <w:rPr>
          <w:sz w:val="28"/>
          <w:szCs w:val="28"/>
        </w:rPr>
        <w:t>,</w:t>
      </w:r>
      <w:r w:rsidR="008067D0">
        <w:rPr>
          <w:sz w:val="28"/>
          <w:szCs w:val="28"/>
        </w:rPr>
        <w:t xml:space="preserve"> Maricopa County Superior Court No. CR 2004-124662-001—</w:t>
      </w:r>
      <w:r>
        <w:rPr>
          <w:sz w:val="28"/>
          <w:szCs w:val="28"/>
        </w:rPr>
        <w:t>prosecutors</w:t>
      </w:r>
      <w:r w:rsidR="008067D0">
        <w:rPr>
          <w:sz w:val="28"/>
          <w:szCs w:val="28"/>
        </w:rPr>
        <w:t xml:space="preserve"> </w:t>
      </w:r>
      <w:r>
        <w:rPr>
          <w:sz w:val="28"/>
          <w:szCs w:val="28"/>
        </w:rPr>
        <w:t>notably dismissed and refiled their cause numbers to generate new deadlines and to circumvent substantive rulings of the court.</w:t>
      </w:r>
      <w:r w:rsidR="008067D0">
        <w:rPr>
          <w:sz w:val="28"/>
          <w:szCs w:val="28"/>
        </w:rPr>
        <w:t xml:space="preserve"> </w:t>
      </w:r>
    </w:p>
    <w:p w:rsidR="002429BB" w:rsidRDefault="002429BB" w:rsidP="00CF352A">
      <w:pPr>
        <w:spacing w:line="480" w:lineRule="auto"/>
        <w:jc w:val="both"/>
        <w:rPr>
          <w:sz w:val="28"/>
          <w:szCs w:val="28"/>
        </w:rPr>
      </w:pPr>
      <w:r>
        <w:rPr>
          <w:sz w:val="28"/>
          <w:szCs w:val="28"/>
        </w:rPr>
        <w:tab/>
        <w:t xml:space="preserve">In </w:t>
      </w:r>
      <w:r w:rsidRPr="00EF5A0D">
        <w:rPr>
          <w:i/>
          <w:sz w:val="28"/>
          <w:szCs w:val="28"/>
        </w:rPr>
        <w:t>State v. Mena-Cobian</w:t>
      </w:r>
      <w:r>
        <w:rPr>
          <w:sz w:val="28"/>
          <w:szCs w:val="28"/>
        </w:rPr>
        <w:t xml:space="preserve">, </w:t>
      </w:r>
      <w:r w:rsidR="00C37CF4">
        <w:rPr>
          <w:sz w:val="28"/>
          <w:szCs w:val="28"/>
        </w:rPr>
        <w:t>after the court repeatedly ordered the state to present exculpatory evidence to the grand jury, the state dismissed the case and refiled under a new cause number, then attempted to use this new cause number to file a notice against the trial judge.</w:t>
      </w:r>
      <w:r w:rsidR="008067D0">
        <w:rPr>
          <w:sz w:val="28"/>
          <w:szCs w:val="28"/>
        </w:rPr>
        <w:t xml:space="preserve"> </w:t>
      </w:r>
      <w:r w:rsidR="00C37CF4">
        <w:rPr>
          <w:sz w:val="28"/>
          <w:szCs w:val="28"/>
        </w:rPr>
        <w:t>The court denied the state</w:t>
      </w:r>
      <w:r w:rsidR="00CF352A">
        <w:rPr>
          <w:sz w:val="28"/>
          <w:szCs w:val="28"/>
        </w:rPr>
        <w:t>’</w:t>
      </w:r>
      <w:r w:rsidR="00C37CF4">
        <w:rPr>
          <w:sz w:val="28"/>
          <w:szCs w:val="28"/>
        </w:rPr>
        <w:t>s Notice of Change of Judge under Rule 10.2 as untimely</w:t>
      </w:r>
      <w:r w:rsidR="00210700">
        <w:rPr>
          <w:sz w:val="28"/>
          <w:szCs w:val="28"/>
        </w:rPr>
        <w:t>, but the issue was moot as the case had been administratively reassigned</w:t>
      </w:r>
      <w:r w:rsidR="00C37CF4">
        <w:rPr>
          <w:sz w:val="28"/>
          <w:szCs w:val="28"/>
        </w:rPr>
        <w:t>.</w:t>
      </w:r>
      <w:r w:rsidR="008067D0">
        <w:rPr>
          <w:sz w:val="28"/>
          <w:szCs w:val="28"/>
        </w:rPr>
        <w:t xml:space="preserve"> </w:t>
      </w:r>
      <w:r w:rsidR="00C37CF4" w:rsidRPr="008067D0">
        <w:rPr>
          <w:i/>
          <w:sz w:val="28"/>
          <w:szCs w:val="28"/>
        </w:rPr>
        <w:t>State v. Mena-Cobian</w:t>
      </w:r>
      <w:r w:rsidR="00C37CF4">
        <w:rPr>
          <w:sz w:val="28"/>
          <w:szCs w:val="28"/>
        </w:rPr>
        <w:t>, CR2008-007780-001</w:t>
      </w:r>
      <w:r w:rsidR="00210700">
        <w:rPr>
          <w:sz w:val="28"/>
          <w:szCs w:val="28"/>
        </w:rPr>
        <w:t xml:space="preserve">, ME </w:t>
      </w:r>
      <w:r w:rsidR="00210700">
        <w:rPr>
          <w:sz w:val="28"/>
          <w:szCs w:val="28"/>
        </w:rPr>
        <w:lastRenderedPageBreak/>
        <w:t>dated October 7, 2008</w:t>
      </w:r>
      <w:r w:rsidR="00883925">
        <w:rPr>
          <w:sz w:val="28"/>
          <w:szCs w:val="28"/>
        </w:rPr>
        <w:t xml:space="preserve"> (Appendix B)</w:t>
      </w:r>
      <w:r w:rsidR="00C37CF4">
        <w:rPr>
          <w:sz w:val="28"/>
          <w:szCs w:val="28"/>
        </w:rPr>
        <w:t>.</w:t>
      </w:r>
      <w:r w:rsidR="008067D0">
        <w:rPr>
          <w:sz w:val="28"/>
          <w:szCs w:val="28"/>
        </w:rPr>
        <w:t xml:space="preserve"> </w:t>
      </w:r>
      <w:r w:rsidR="00C37CF4">
        <w:rPr>
          <w:sz w:val="28"/>
          <w:szCs w:val="28"/>
        </w:rPr>
        <w:t>T</w:t>
      </w:r>
      <w:r>
        <w:rPr>
          <w:sz w:val="28"/>
          <w:szCs w:val="28"/>
        </w:rPr>
        <w:t xml:space="preserve">he </w:t>
      </w:r>
      <w:r w:rsidR="00210700">
        <w:rPr>
          <w:sz w:val="28"/>
          <w:szCs w:val="28"/>
        </w:rPr>
        <w:t xml:space="preserve">new trial </w:t>
      </w:r>
      <w:r>
        <w:rPr>
          <w:sz w:val="28"/>
          <w:szCs w:val="28"/>
        </w:rPr>
        <w:t xml:space="preserve">court found that the state had engaged in repeated misconduct and ordered the case </w:t>
      </w:r>
      <w:r w:rsidR="00EF5A0D">
        <w:rPr>
          <w:sz w:val="28"/>
          <w:szCs w:val="28"/>
        </w:rPr>
        <w:t>dismissed without prejudice.</w:t>
      </w:r>
      <w:r w:rsidR="008067D0">
        <w:rPr>
          <w:sz w:val="28"/>
          <w:szCs w:val="28"/>
        </w:rPr>
        <w:t xml:space="preserve"> </w:t>
      </w:r>
      <w:hyperlink r:id="rId10" w:history="1">
        <w:r w:rsidR="00C37CF4" w:rsidRPr="00ED773A">
          <w:rPr>
            <w:rStyle w:val="Hyperlink"/>
            <w:sz w:val="28"/>
            <w:szCs w:val="28"/>
          </w:rPr>
          <w:t>http://archive.azcentral.com/news/arizona/articles/20131027wintory-prosecutor-conduct-day-2.html</w:t>
        </w:r>
      </w:hyperlink>
    </w:p>
    <w:p w:rsidR="002429BB" w:rsidRDefault="00FA65CE" w:rsidP="00CF352A">
      <w:pPr>
        <w:spacing w:line="480" w:lineRule="auto"/>
        <w:jc w:val="both"/>
        <w:rPr>
          <w:sz w:val="28"/>
          <w:szCs w:val="28"/>
        </w:rPr>
      </w:pPr>
      <w:r>
        <w:rPr>
          <w:sz w:val="28"/>
          <w:szCs w:val="28"/>
        </w:rPr>
        <w:tab/>
      </w:r>
      <w:r w:rsidR="00F60F15">
        <w:rPr>
          <w:sz w:val="28"/>
          <w:szCs w:val="28"/>
        </w:rPr>
        <w:t xml:space="preserve">In </w:t>
      </w:r>
      <w:r w:rsidR="00F60F15">
        <w:rPr>
          <w:i/>
          <w:sz w:val="28"/>
          <w:szCs w:val="28"/>
        </w:rPr>
        <w:t>Martinson</w:t>
      </w:r>
      <w:r w:rsidR="00F60F15">
        <w:rPr>
          <w:sz w:val="28"/>
          <w:szCs w:val="28"/>
        </w:rPr>
        <w:t>, the state dismissed and re-filed an eight-year-old indictment in a frustrated effort to remove the defense counsel and the trial judge.</w:t>
      </w:r>
      <w:r w:rsidR="008067D0">
        <w:rPr>
          <w:sz w:val="28"/>
          <w:szCs w:val="28"/>
        </w:rPr>
        <w:t xml:space="preserve"> </w:t>
      </w:r>
      <w:r w:rsidR="00F60F15">
        <w:rPr>
          <w:sz w:val="28"/>
          <w:szCs w:val="28"/>
        </w:rPr>
        <w:t>The trial court held:</w:t>
      </w:r>
      <w:r w:rsidR="002429BB">
        <w:rPr>
          <w:sz w:val="28"/>
          <w:szCs w:val="28"/>
        </w:rPr>
        <w:t xml:space="preserve"> </w:t>
      </w:r>
    </w:p>
    <w:p w:rsidR="00F60F15" w:rsidRDefault="002429BB" w:rsidP="00CF352A">
      <w:pPr>
        <w:ind w:left="720" w:right="720"/>
        <w:jc w:val="both"/>
        <w:rPr>
          <w:sz w:val="28"/>
          <w:szCs w:val="28"/>
        </w:rPr>
      </w:pPr>
      <w:r>
        <w:rPr>
          <w:sz w:val="28"/>
          <w:szCs w:val="28"/>
        </w:rPr>
        <w:t>Following a conviction at trial, the Defendant successfully obtained a mistrial based on other grounds.</w:t>
      </w:r>
      <w:r w:rsidR="008067D0">
        <w:rPr>
          <w:sz w:val="28"/>
          <w:szCs w:val="28"/>
        </w:rPr>
        <w:t xml:space="preserve"> </w:t>
      </w:r>
      <w:r>
        <w:rPr>
          <w:sz w:val="28"/>
          <w:szCs w:val="28"/>
        </w:rPr>
        <w:t>The Prosecutors responded by engaging in even more obvious misconduct.</w:t>
      </w:r>
      <w:r w:rsidR="008067D0">
        <w:rPr>
          <w:sz w:val="28"/>
          <w:szCs w:val="28"/>
        </w:rPr>
        <w:t xml:space="preserve"> </w:t>
      </w:r>
      <w:r>
        <w:rPr>
          <w:sz w:val="28"/>
          <w:szCs w:val="28"/>
        </w:rPr>
        <w:t>What has become clear is that the prosecutors viewed Defense counsels</w:t>
      </w:r>
      <w:r w:rsidR="00CF352A">
        <w:rPr>
          <w:sz w:val="28"/>
          <w:szCs w:val="28"/>
        </w:rPr>
        <w:t>’</w:t>
      </w:r>
      <w:r>
        <w:rPr>
          <w:sz w:val="28"/>
          <w:szCs w:val="28"/>
        </w:rPr>
        <w:t xml:space="preserve"> vigorous representation as a roadblock to conviction.</w:t>
      </w:r>
      <w:r w:rsidR="008067D0">
        <w:rPr>
          <w:sz w:val="28"/>
          <w:szCs w:val="28"/>
        </w:rPr>
        <w:t xml:space="preserve"> </w:t>
      </w:r>
      <w:r>
        <w:rPr>
          <w:sz w:val="28"/>
          <w:szCs w:val="28"/>
        </w:rPr>
        <w:t>They similarly viewed this Court</w:t>
      </w:r>
      <w:r w:rsidR="00CF352A">
        <w:rPr>
          <w:sz w:val="28"/>
          <w:szCs w:val="28"/>
        </w:rPr>
        <w:t>’</w:t>
      </w:r>
      <w:r>
        <w:rPr>
          <w:sz w:val="28"/>
          <w:szCs w:val="28"/>
        </w:rPr>
        <w:t>s rulings about the uncharged intentional-murder theory as a roadblock.</w:t>
      </w:r>
      <w:r w:rsidR="008067D0">
        <w:rPr>
          <w:sz w:val="28"/>
          <w:szCs w:val="28"/>
        </w:rPr>
        <w:t xml:space="preserve"> </w:t>
      </w:r>
      <w:r>
        <w:rPr>
          <w:sz w:val="28"/>
          <w:szCs w:val="28"/>
        </w:rPr>
        <w:t>Accordingly, the Prosecutors relentlessly sought to remove defense counsel and the assigned judicial officer specifically to avoid the risk of acquittal during any retrial.</w:t>
      </w:r>
      <w:r w:rsidR="008067D0">
        <w:rPr>
          <w:sz w:val="28"/>
          <w:szCs w:val="28"/>
        </w:rPr>
        <w:t xml:space="preserve"> </w:t>
      </w:r>
      <w:r>
        <w:rPr>
          <w:sz w:val="28"/>
          <w:szCs w:val="28"/>
        </w:rPr>
        <w:t>The Court views this post-trial misconduct as part of the totality of the circumstances that support the Court</w:t>
      </w:r>
      <w:r w:rsidR="00CF352A">
        <w:rPr>
          <w:sz w:val="28"/>
          <w:szCs w:val="28"/>
        </w:rPr>
        <w:t>’</w:t>
      </w:r>
      <w:r>
        <w:rPr>
          <w:sz w:val="28"/>
          <w:szCs w:val="28"/>
        </w:rPr>
        <w:t>s findings of prosecutorial misconduct and bad faith.</w:t>
      </w:r>
      <w:r w:rsidR="008067D0">
        <w:rPr>
          <w:sz w:val="28"/>
          <w:szCs w:val="28"/>
        </w:rPr>
        <w:t xml:space="preserve"> </w:t>
      </w:r>
    </w:p>
    <w:p w:rsidR="00F60F15" w:rsidRDefault="00F60F15" w:rsidP="002D502A">
      <w:pPr>
        <w:jc w:val="both"/>
        <w:rPr>
          <w:sz w:val="28"/>
          <w:szCs w:val="28"/>
        </w:rPr>
      </w:pPr>
    </w:p>
    <w:p w:rsidR="008067D0" w:rsidRDefault="00F60F15" w:rsidP="00CF352A">
      <w:pPr>
        <w:spacing w:line="480" w:lineRule="auto"/>
        <w:jc w:val="both"/>
        <w:rPr>
          <w:sz w:val="28"/>
          <w:szCs w:val="28"/>
        </w:rPr>
      </w:pPr>
      <w:r w:rsidRPr="008067D0">
        <w:rPr>
          <w:i/>
          <w:sz w:val="28"/>
          <w:szCs w:val="28"/>
        </w:rPr>
        <w:t>State v. Martinson</w:t>
      </w:r>
      <w:r>
        <w:rPr>
          <w:sz w:val="28"/>
          <w:szCs w:val="28"/>
        </w:rPr>
        <w:t>, CR 2004-124662-001, ME dated 11/19/2013, page 5</w:t>
      </w:r>
      <w:r w:rsidR="00883925">
        <w:rPr>
          <w:sz w:val="28"/>
          <w:szCs w:val="28"/>
        </w:rPr>
        <w:t xml:space="preserve"> (Appendix B)</w:t>
      </w:r>
      <w:r>
        <w:rPr>
          <w:sz w:val="28"/>
          <w:szCs w:val="28"/>
        </w:rPr>
        <w:t>.</w:t>
      </w:r>
      <w:r w:rsidR="008067D0">
        <w:rPr>
          <w:sz w:val="28"/>
          <w:szCs w:val="28"/>
        </w:rPr>
        <w:t xml:space="preserve"> </w:t>
      </w:r>
      <w:r>
        <w:rPr>
          <w:sz w:val="28"/>
          <w:szCs w:val="28"/>
        </w:rPr>
        <w:t xml:space="preserve">The court detailed its factual and legal findings on this subject in pages 20-25 of the same Minute Entry. </w:t>
      </w:r>
    </w:p>
    <w:p w:rsidR="00F60F15" w:rsidRPr="00F60F15" w:rsidRDefault="00F60F15" w:rsidP="00CF352A">
      <w:pPr>
        <w:spacing w:line="480" w:lineRule="auto"/>
        <w:ind w:firstLine="720"/>
        <w:jc w:val="both"/>
        <w:rPr>
          <w:sz w:val="28"/>
          <w:szCs w:val="28"/>
        </w:rPr>
      </w:pPr>
      <w:r>
        <w:rPr>
          <w:sz w:val="28"/>
          <w:szCs w:val="28"/>
        </w:rPr>
        <w:t>The Arizona Court of Appeals overturned the court</w:t>
      </w:r>
      <w:r w:rsidR="00CF352A">
        <w:rPr>
          <w:sz w:val="28"/>
          <w:szCs w:val="28"/>
        </w:rPr>
        <w:t>’</w:t>
      </w:r>
      <w:r>
        <w:rPr>
          <w:sz w:val="28"/>
          <w:szCs w:val="28"/>
        </w:rPr>
        <w:t xml:space="preserve">s dismissal of the case, predicated on its theory that the court had made an </w:t>
      </w:r>
      <w:r w:rsidRPr="00F60F15">
        <w:rPr>
          <w:sz w:val="28"/>
          <w:szCs w:val="28"/>
        </w:rPr>
        <w:t>inappropriate legal ruling.</w:t>
      </w:r>
      <w:r w:rsidR="008067D0">
        <w:rPr>
          <w:sz w:val="28"/>
          <w:szCs w:val="28"/>
        </w:rPr>
        <w:t xml:space="preserve"> </w:t>
      </w:r>
      <w:r w:rsidRPr="00F60F15">
        <w:rPr>
          <w:sz w:val="28"/>
          <w:szCs w:val="28"/>
        </w:rPr>
        <w:t>It only briefly addressed the state</w:t>
      </w:r>
      <w:r w:rsidR="00CF352A">
        <w:rPr>
          <w:sz w:val="28"/>
          <w:szCs w:val="28"/>
        </w:rPr>
        <w:t>’</w:t>
      </w:r>
      <w:r w:rsidRPr="00F60F15">
        <w:rPr>
          <w:sz w:val="28"/>
          <w:szCs w:val="28"/>
        </w:rPr>
        <w:t xml:space="preserve">s post-trial misconduct in a footnote, stating: </w:t>
      </w:r>
    </w:p>
    <w:p w:rsidR="00F60F15" w:rsidRPr="00FF3274" w:rsidRDefault="00F60F15" w:rsidP="00CF352A">
      <w:pPr>
        <w:ind w:left="720" w:right="720"/>
        <w:jc w:val="both"/>
        <w:rPr>
          <w:sz w:val="28"/>
          <w:szCs w:val="28"/>
        </w:rPr>
      </w:pPr>
      <w:r w:rsidRPr="00FF3274">
        <w:rPr>
          <w:sz w:val="28"/>
          <w:szCs w:val="28"/>
        </w:rPr>
        <w:t xml:space="preserve">The superior court found additional instances of prosecutorial misconduct. As we discuss </w:t>
      </w:r>
      <w:r w:rsidRPr="00F60F15">
        <w:rPr>
          <w:i/>
          <w:iCs/>
          <w:sz w:val="28"/>
          <w:szCs w:val="28"/>
        </w:rPr>
        <w:t>infra</w:t>
      </w:r>
      <w:r w:rsidRPr="00FF3274">
        <w:rPr>
          <w:sz w:val="28"/>
          <w:szCs w:val="28"/>
        </w:rPr>
        <w:t xml:space="preserve">, though, the primary impetus for its </w:t>
      </w:r>
      <w:r w:rsidRPr="00FF3274">
        <w:rPr>
          <w:sz w:val="28"/>
          <w:szCs w:val="28"/>
        </w:rPr>
        <w:lastRenderedPageBreak/>
        <w:t xml:space="preserve">dismissal with prejudice order was the purported violation of </w:t>
      </w:r>
      <w:r w:rsidRPr="00F60F15">
        <w:rPr>
          <w:i/>
          <w:iCs/>
          <w:sz w:val="28"/>
          <w:szCs w:val="28"/>
        </w:rPr>
        <w:t>Styers</w:t>
      </w:r>
      <w:r w:rsidRPr="00FF3274">
        <w:rPr>
          <w:sz w:val="28"/>
          <w:szCs w:val="28"/>
        </w:rPr>
        <w:t xml:space="preserve"> and the </w:t>
      </w:r>
      <w:r w:rsidRPr="00F60F15">
        <w:rPr>
          <w:i/>
          <w:iCs/>
          <w:sz w:val="28"/>
          <w:szCs w:val="28"/>
        </w:rPr>
        <w:t>Styers</w:t>
      </w:r>
      <w:r w:rsidRPr="00FF3274">
        <w:rPr>
          <w:sz w:val="28"/>
          <w:szCs w:val="28"/>
        </w:rPr>
        <w:t xml:space="preserve">-based ruling. Most of the post-trial conduct the court categorized as misconduct stems from its conclusion that prosecutors viewed the </w:t>
      </w:r>
      <w:r w:rsidR="00CF352A">
        <w:rPr>
          <w:sz w:val="28"/>
          <w:szCs w:val="28"/>
        </w:rPr>
        <w:t>“</w:t>
      </w:r>
      <w:r w:rsidRPr="00FF3274">
        <w:rPr>
          <w:sz w:val="28"/>
          <w:szCs w:val="28"/>
        </w:rPr>
        <w:t>rulings about the uncharged intentional-murder theory as a roadblock</w:t>
      </w:r>
      <w:r w:rsidR="00CF352A">
        <w:rPr>
          <w:sz w:val="28"/>
          <w:szCs w:val="28"/>
        </w:rPr>
        <w:t>”</w:t>
      </w:r>
      <w:r w:rsidRPr="00FF3274">
        <w:rPr>
          <w:sz w:val="28"/>
          <w:szCs w:val="28"/>
        </w:rPr>
        <w:t xml:space="preserve"> and </w:t>
      </w:r>
      <w:r w:rsidR="00CF352A">
        <w:rPr>
          <w:sz w:val="28"/>
          <w:szCs w:val="28"/>
        </w:rPr>
        <w:t>“</w:t>
      </w:r>
      <w:r w:rsidRPr="00FF3274">
        <w:rPr>
          <w:sz w:val="28"/>
          <w:szCs w:val="28"/>
        </w:rPr>
        <w:t>used every opportunity to challenge the Court</w:t>
      </w:r>
      <w:r w:rsidR="00CF352A">
        <w:rPr>
          <w:sz w:val="28"/>
          <w:szCs w:val="28"/>
        </w:rPr>
        <w:t>’</w:t>
      </w:r>
      <w:r w:rsidRPr="00FF3274">
        <w:rPr>
          <w:sz w:val="28"/>
          <w:szCs w:val="28"/>
        </w:rPr>
        <w:t xml:space="preserve">s </w:t>
      </w:r>
      <w:r w:rsidRPr="00F60F15">
        <w:rPr>
          <w:i/>
          <w:iCs/>
          <w:sz w:val="28"/>
          <w:szCs w:val="28"/>
        </w:rPr>
        <w:t>Styers</w:t>
      </w:r>
      <w:r w:rsidRPr="00FF3274">
        <w:rPr>
          <w:sz w:val="28"/>
          <w:szCs w:val="28"/>
        </w:rPr>
        <w:t xml:space="preserve"> ruling and present evidence of intent to kill.</w:t>
      </w:r>
      <w:r w:rsidR="00CF352A">
        <w:rPr>
          <w:sz w:val="28"/>
          <w:szCs w:val="28"/>
        </w:rPr>
        <w:t>”</w:t>
      </w:r>
    </w:p>
    <w:p w:rsidR="00F60F15" w:rsidRPr="00FF3274" w:rsidRDefault="00F60F15" w:rsidP="00CF352A">
      <w:pPr>
        <w:jc w:val="both"/>
        <w:rPr>
          <w:sz w:val="28"/>
          <w:szCs w:val="28"/>
        </w:rPr>
      </w:pPr>
    </w:p>
    <w:p w:rsidR="00FA65CE" w:rsidRPr="00F60F15" w:rsidRDefault="00F60F15" w:rsidP="00CF352A">
      <w:pPr>
        <w:spacing w:line="480" w:lineRule="auto"/>
        <w:jc w:val="both"/>
        <w:rPr>
          <w:sz w:val="28"/>
          <w:szCs w:val="28"/>
        </w:rPr>
      </w:pPr>
      <w:r w:rsidRPr="00FF3274">
        <w:rPr>
          <w:i/>
          <w:iCs/>
          <w:sz w:val="28"/>
          <w:szCs w:val="28"/>
        </w:rPr>
        <w:t>State v. Martinson</w:t>
      </w:r>
      <w:r w:rsidRPr="00FF3274">
        <w:rPr>
          <w:sz w:val="28"/>
          <w:szCs w:val="28"/>
        </w:rPr>
        <w:t>, 241 Ariz. 93,</w:t>
      </w:r>
      <w:r w:rsidR="002429BB">
        <w:rPr>
          <w:sz w:val="28"/>
          <w:szCs w:val="28"/>
        </w:rPr>
        <w:t xml:space="preserve"> </w:t>
      </w:r>
      <w:r w:rsidR="002429BB" w:rsidRPr="002429BB">
        <w:rPr>
          <w:sz w:val="28"/>
          <w:szCs w:val="28"/>
        </w:rPr>
        <w:t>¶</w:t>
      </w:r>
      <w:r w:rsidR="002D502A">
        <w:rPr>
          <w:sz w:val="28"/>
          <w:szCs w:val="28"/>
        </w:rPr>
        <w:t xml:space="preserve"> </w:t>
      </w:r>
      <w:r w:rsidR="002429BB">
        <w:rPr>
          <w:sz w:val="28"/>
          <w:szCs w:val="28"/>
        </w:rPr>
        <w:t>14 fn.</w:t>
      </w:r>
      <w:r w:rsidRPr="00F60F15">
        <w:rPr>
          <w:sz w:val="28"/>
          <w:szCs w:val="28"/>
        </w:rPr>
        <w:t>3,</w:t>
      </w:r>
      <w:r w:rsidR="002429BB">
        <w:rPr>
          <w:sz w:val="28"/>
          <w:szCs w:val="28"/>
        </w:rPr>
        <w:t xml:space="preserve"> 384 P.3d 307, </w:t>
      </w:r>
      <w:r w:rsidR="002429BB" w:rsidRPr="002429BB">
        <w:rPr>
          <w:sz w:val="28"/>
          <w:szCs w:val="28"/>
        </w:rPr>
        <w:t>¶</w:t>
      </w:r>
      <w:r w:rsidR="002D502A">
        <w:rPr>
          <w:sz w:val="28"/>
          <w:szCs w:val="28"/>
        </w:rPr>
        <w:t xml:space="preserve"> </w:t>
      </w:r>
      <w:r w:rsidR="002429BB">
        <w:rPr>
          <w:sz w:val="28"/>
          <w:szCs w:val="28"/>
        </w:rPr>
        <w:t>14 fn.3</w:t>
      </w:r>
      <w:r w:rsidRPr="00FF3274">
        <w:rPr>
          <w:sz w:val="28"/>
          <w:szCs w:val="28"/>
        </w:rPr>
        <w:t xml:space="preserve"> (App. 2016)</w:t>
      </w:r>
      <w:r w:rsidRPr="00F60F15">
        <w:rPr>
          <w:sz w:val="28"/>
          <w:szCs w:val="28"/>
        </w:rPr>
        <w:t>.</w:t>
      </w:r>
      <w:r w:rsidR="008067D0">
        <w:rPr>
          <w:sz w:val="28"/>
          <w:szCs w:val="28"/>
        </w:rPr>
        <w:t xml:space="preserve"> </w:t>
      </w:r>
      <w:r w:rsidRPr="00F60F15">
        <w:rPr>
          <w:sz w:val="28"/>
          <w:szCs w:val="28"/>
        </w:rPr>
        <w:t>This case is pending a petition for</w:t>
      </w:r>
      <w:r w:rsidR="008067D0">
        <w:rPr>
          <w:sz w:val="28"/>
          <w:szCs w:val="28"/>
        </w:rPr>
        <w:t xml:space="preserve"> review to the Arizona Supreme C</w:t>
      </w:r>
      <w:r w:rsidRPr="00F60F15">
        <w:rPr>
          <w:sz w:val="28"/>
          <w:szCs w:val="28"/>
        </w:rPr>
        <w:t>ourt.</w:t>
      </w:r>
      <w:r w:rsidR="008067D0">
        <w:rPr>
          <w:sz w:val="28"/>
          <w:szCs w:val="28"/>
        </w:rPr>
        <w:t xml:space="preserve"> </w:t>
      </w:r>
      <w:r w:rsidR="002429BB">
        <w:rPr>
          <w:sz w:val="28"/>
          <w:szCs w:val="28"/>
        </w:rPr>
        <w:t>Even if the Court does not find that the state</w:t>
      </w:r>
      <w:r w:rsidR="00CF352A">
        <w:rPr>
          <w:sz w:val="28"/>
          <w:szCs w:val="28"/>
        </w:rPr>
        <w:t>’</w:t>
      </w:r>
      <w:r w:rsidR="002429BB">
        <w:rPr>
          <w:sz w:val="28"/>
          <w:szCs w:val="28"/>
        </w:rPr>
        <w:t>s conduct rose to a level warranting the dismissal with prejudice of a murder case, the conduct is still undesirable conduct and should be avoided.</w:t>
      </w:r>
      <w:r w:rsidR="008067D0">
        <w:rPr>
          <w:sz w:val="28"/>
          <w:szCs w:val="28"/>
        </w:rPr>
        <w:t xml:space="preserve"> </w:t>
      </w:r>
    </w:p>
    <w:p w:rsidR="00AE6C21" w:rsidRPr="008067D0" w:rsidRDefault="00AE6C21" w:rsidP="00CF352A">
      <w:pPr>
        <w:pStyle w:val="BodyText"/>
        <w:numPr>
          <w:ilvl w:val="0"/>
          <w:numId w:val="8"/>
        </w:numPr>
        <w:rPr>
          <w:szCs w:val="28"/>
        </w:rPr>
      </w:pPr>
      <w:r>
        <w:rPr>
          <w:b/>
          <w:szCs w:val="28"/>
        </w:rPr>
        <w:t xml:space="preserve">The defense has no corresponding power and ability to dismiss and </w:t>
      </w:r>
      <w:r w:rsidRPr="00AE6C21">
        <w:rPr>
          <w:b/>
          <w:szCs w:val="28"/>
        </w:rPr>
        <w:t>refile a case in order to gain a tactical advantage.</w:t>
      </w:r>
    </w:p>
    <w:p w:rsidR="008067D0" w:rsidRPr="00AE6C21" w:rsidRDefault="008067D0" w:rsidP="00CF352A">
      <w:pPr>
        <w:pStyle w:val="BodyText"/>
        <w:ind w:left="1080"/>
        <w:rPr>
          <w:szCs w:val="28"/>
        </w:rPr>
      </w:pPr>
    </w:p>
    <w:p w:rsidR="00CF352A" w:rsidRPr="00BF2D59" w:rsidRDefault="00CF352A" w:rsidP="00CF352A">
      <w:pPr>
        <w:spacing w:line="480" w:lineRule="auto"/>
        <w:ind w:firstLine="720"/>
        <w:jc w:val="both"/>
        <w:rPr>
          <w:sz w:val="28"/>
          <w:szCs w:val="28"/>
        </w:rPr>
      </w:pPr>
      <w:r w:rsidRPr="00F60F15">
        <w:rPr>
          <w:sz w:val="28"/>
          <w:szCs w:val="28"/>
        </w:rPr>
        <w:t>Under Rule 16.6 (a), the state may move to dismiss a case</w:t>
      </w:r>
      <w:r>
        <w:rPr>
          <w:sz w:val="28"/>
          <w:szCs w:val="28"/>
        </w:rPr>
        <w:t xml:space="preserve"> for good cause. However, under Rule 16.6 (b), the defense may move to dismiss only under a theory that the charging document is insufficient. Generally, courts have held that a new indictment is sufficient to constitute good cause. Of course, the defense has no ability to re-charge a case to generate a new cause number. </w:t>
      </w:r>
    </w:p>
    <w:p w:rsidR="00AE6C21" w:rsidRPr="007C67D1" w:rsidRDefault="00AE6C21" w:rsidP="00CF352A">
      <w:pPr>
        <w:spacing w:line="480" w:lineRule="auto"/>
        <w:ind w:firstLine="720"/>
        <w:jc w:val="both"/>
        <w:rPr>
          <w:sz w:val="28"/>
          <w:szCs w:val="28"/>
        </w:rPr>
      </w:pPr>
      <w:r w:rsidRPr="00AE6C21">
        <w:rPr>
          <w:sz w:val="28"/>
          <w:szCs w:val="28"/>
        </w:rPr>
        <w:t>In fact, the defense has not even been able to use its limited ability in a corresponding fashion.</w:t>
      </w:r>
      <w:r w:rsidR="008067D0">
        <w:rPr>
          <w:sz w:val="28"/>
          <w:szCs w:val="28"/>
        </w:rPr>
        <w:t xml:space="preserve"> </w:t>
      </w:r>
      <w:r w:rsidRPr="00AE6C21">
        <w:rPr>
          <w:sz w:val="28"/>
          <w:szCs w:val="28"/>
        </w:rPr>
        <w:t xml:space="preserve">In </w:t>
      </w:r>
      <w:r w:rsidRPr="00AE6C21">
        <w:rPr>
          <w:i/>
          <w:iCs/>
          <w:sz w:val="28"/>
          <w:szCs w:val="28"/>
        </w:rPr>
        <w:t>Woodington v. Browning</w:t>
      </w:r>
      <w:r w:rsidRPr="00AE6C21">
        <w:rPr>
          <w:sz w:val="28"/>
          <w:szCs w:val="28"/>
        </w:rPr>
        <w:t>, th</w:t>
      </w:r>
      <w:r>
        <w:rPr>
          <w:sz w:val="28"/>
          <w:szCs w:val="28"/>
        </w:rPr>
        <w:t>e defendant attempted to use a second 10.2 notice after his case had been remanded and then reindicted.</w:t>
      </w:r>
      <w:r w:rsidR="008067D0">
        <w:rPr>
          <w:sz w:val="28"/>
          <w:szCs w:val="28"/>
        </w:rPr>
        <w:t xml:space="preserve"> </w:t>
      </w:r>
      <w:r w:rsidRPr="00AE6C21">
        <w:rPr>
          <w:sz w:val="28"/>
          <w:szCs w:val="28"/>
        </w:rPr>
        <w:t xml:space="preserve">240 Ariz. 289, ¶ 10, 378 P.3d 731, 734 (App. 2016), </w:t>
      </w:r>
      <w:r w:rsidRPr="00AE6C21">
        <w:rPr>
          <w:i/>
          <w:iCs/>
          <w:sz w:val="28"/>
          <w:szCs w:val="28"/>
        </w:rPr>
        <w:t>review denied</w:t>
      </w:r>
      <w:r w:rsidRPr="00AE6C21">
        <w:rPr>
          <w:sz w:val="28"/>
          <w:szCs w:val="28"/>
        </w:rPr>
        <w:t xml:space="preserve"> (Nov. 15, 2016).</w:t>
      </w:r>
      <w:r w:rsidR="008067D0">
        <w:rPr>
          <w:sz w:val="28"/>
          <w:szCs w:val="28"/>
        </w:rPr>
        <w:t xml:space="preserve"> </w:t>
      </w:r>
      <w:r>
        <w:rPr>
          <w:sz w:val="28"/>
          <w:szCs w:val="28"/>
        </w:rPr>
        <w:t xml:space="preserve">The trial court held, and the Court of Appeals affirmed, that the reason that Mr. </w:t>
      </w:r>
      <w:r>
        <w:rPr>
          <w:sz w:val="28"/>
          <w:szCs w:val="28"/>
        </w:rPr>
        <w:lastRenderedPageBreak/>
        <w:t xml:space="preserve">Woodington was not entitled to a new 10.2 notice is that </w:t>
      </w:r>
      <w:r w:rsidRPr="004E11C4">
        <w:rPr>
          <w:i/>
          <w:sz w:val="28"/>
          <w:szCs w:val="28"/>
        </w:rPr>
        <w:t>Godoy</w:t>
      </w:r>
      <w:r>
        <w:rPr>
          <w:sz w:val="28"/>
          <w:szCs w:val="28"/>
        </w:rPr>
        <w:t xml:space="preserve"> only applied to a </w:t>
      </w:r>
      <w:r w:rsidR="00CF352A">
        <w:rPr>
          <w:sz w:val="28"/>
          <w:szCs w:val="28"/>
        </w:rPr>
        <w:t>“</w:t>
      </w:r>
      <w:r>
        <w:rPr>
          <w:sz w:val="28"/>
          <w:szCs w:val="28"/>
        </w:rPr>
        <w:t>new criminal case,</w:t>
      </w:r>
      <w:r w:rsidR="00CF352A">
        <w:rPr>
          <w:sz w:val="28"/>
          <w:szCs w:val="28"/>
        </w:rPr>
        <w:t>”</w:t>
      </w:r>
      <w:r>
        <w:rPr>
          <w:sz w:val="28"/>
          <w:szCs w:val="28"/>
        </w:rPr>
        <w:t xml:space="preserve"> a case with a new cause number.</w:t>
      </w:r>
      <w:r w:rsidR="008067D0">
        <w:rPr>
          <w:sz w:val="28"/>
          <w:szCs w:val="28"/>
        </w:rPr>
        <w:t xml:space="preserve"> </w:t>
      </w:r>
      <w:r>
        <w:rPr>
          <w:i/>
          <w:sz w:val="28"/>
          <w:szCs w:val="28"/>
        </w:rPr>
        <w:t>Id.</w:t>
      </w:r>
      <w:r w:rsidR="008067D0">
        <w:rPr>
          <w:i/>
          <w:sz w:val="28"/>
          <w:szCs w:val="28"/>
        </w:rPr>
        <w:t xml:space="preserve"> </w:t>
      </w:r>
      <w:r>
        <w:rPr>
          <w:sz w:val="28"/>
          <w:szCs w:val="28"/>
        </w:rPr>
        <w:t xml:space="preserve">Of course, Mr. Woodington never had the ability to generate a new cause number for his case, </w:t>
      </w:r>
      <w:r w:rsidRPr="007C67D1">
        <w:rPr>
          <w:sz w:val="28"/>
          <w:szCs w:val="28"/>
        </w:rPr>
        <w:t>while this is a power well within the state</w:t>
      </w:r>
      <w:r w:rsidR="00CF352A">
        <w:rPr>
          <w:sz w:val="28"/>
          <w:szCs w:val="28"/>
        </w:rPr>
        <w:t>’</w:t>
      </w:r>
      <w:r w:rsidRPr="007C67D1">
        <w:rPr>
          <w:sz w:val="28"/>
          <w:szCs w:val="28"/>
        </w:rPr>
        <w:t>s ability.</w:t>
      </w:r>
      <w:r w:rsidR="008067D0">
        <w:rPr>
          <w:sz w:val="28"/>
          <w:szCs w:val="28"/>
        </w:rPr>
        <w:t xml:space="preserve"> </w:t>
      </w:r>
    </w:p>
    <w:p w:rsidR="00210700" w:rsidRPr="00CF352A" w:rsidRDefault="00BF2D59" w:rsidP="00CF352A">
      <w:pPr>
        <w:spacing w:line="480" w:lineRule="auto"/>
        <w:ind w:firstLine="720"/>
        <w:jc w:val="both"/>
        <w:rPr>
          <w:sz w:val="28"/>
          <w:szCs w:val="28"/>
        </w:rPr>
      </w:pPr>
      <w:r w:rsidRPr="007C67D1">
        <w:rPr>
          <w:sz w:val="28"/>
          <w:szCs w:val="28"/>
        </w:rPr>
        <w:t xml:space="preserve">In </w:t>
      </w:r>
      <w:r w:rsidRPr="007C67D1">
        <w:rPr>
          <w:i/>
          <w:sz w:val="28"/>
          <w:szCs w:val="28"/>
        </w:rPr>
        <w:t>Mesa v. Granville</w:t>
      </w:r>
      <w:r w:rsidR="007902BE" w:rsidRPr="007C67D1">
        <w:rPr>
          <w:sz w:val="28"/>
          <w:szCs w:val="28"/>
        </w:rPr>
        <w:t>, the state dismissed and refiled a new cause number in order to create a new case,</w:t>
      </w:r>
      <w:r w:rsidR="007C67D1" w:rsidRPr="007C67D1">
        <w:rPr>
          <w:sz w:val="28"/>
          <w:szCs w:val="28"/>
        </w:rPr>
        <w:t xml:space="preserve"> a</w:t>
      </w:r>
      <w:r w:rsidR="007902BE" w:rsidRPr="007C67D1">
        <w:rPr>
          <w:sz w:val="28"/>
          <w:szCs w:val="28"/>
        </w:rPr>
        <w:t>nd thus a new deadline to file a notice of intent to seek the death penalty</w:t>
      </w:r>
      <w:r w:rsidR="007C67D1" w:rsidRPr="007C67D1">
        <w:rPr>
          <w:sz w:val="28"/>
          <w:szCs w:val="28"/>
        </w:rPr>
        <w:t>, over a year after its initial deadline had expired</w:t>
      </w:r>
      <w:r w:rsidR="007902BE" w:rsidRPr="007C67D1">
        <w:rPr>
          <w:sz w:val="28"/>
          <w:szCs w:val="28"/>
        </w:rPr>
        <w:t>.</w:t>
      </w:r>
      <w:r w:rsidR="008067D0">
        <w:rPr>
          <w:sz w:val="28"/>
          <w:szCs w:val="28"/>
        </w:rPr>
        <w:t xml:space="preserve"> </w:t>
      </w:r>
      <w:r w:rsidR="007C67D1" w:rsidRPr="00BF2D59">
        <w:rPr>
          <w:i/>
          <w:iCs/>
          <w:sz w:val="28"/>
          <w:szCs w:val="28"/>
        </w:rPr>
        <w:t>Mesa v. Granville</w:t>
      </w:r>
      <w:r w:rsidR="007C67D1" w:rsidRPr="00BF2D59">
        <w:rPr>
          <w:sz w:val="28"/>
          <w:szCs w:val="28"/>
        </w:rPr>
        <w:t xml:space="preserve">, </w:t>
      </w:r>
      <w:r w:rsidR="007C67D1">
        <w:rPr>
          <w:sz w:val="28"/>
          <w:szCs w:val="28"/>
        </w:rPr>
        <w:t>___ P.3d. ___,</w:t>
      </w:r>
      <w:r w:rsidR="002D502A">
        <w:rPr>
          <w:sz w:val="28"/>
          <w:szCs w:val="28"/>
        </w:rPr>
        <w:t xml:space="preserve"> ¶ 12,</w:t>
      </w:r>
      <w:r w:rsidR="007C67D1">
        <w:rPr>
          <w:sz w:val="28"/>
          <w:szCs w:val="28"/>
        </w:rPr>
        <w:t xml:space="preserve"> </w:t>
      </w:r>
      <w:r w:rsidR="007C67D1" w:rsidRPr="00BF2D59">
        <w:rPr>
          <w:sz w:val="28"/>
          <w:szCs w:val="28"/>
        </w:rPr>
        <w:t>2016 WL 7387134, ¶</w:t>
      </w:r>
      <w:r w:rsidR="002D502A">
        <w:rPr>
          <w:sz w:val="28"/>
          <w:szCs w:val="28"/>
        </w:rPr>
        <w:t xml:space="preserve"> </w:t>
      </w:r>
      <w:r w:rsidR="007C67D1">
        <w:rPr>
          <w:sz w:val="28"/>
          <w:szCs w:val="28"/>
        </w:rPr>
        <w:t>12 (</w:t>
      </w:r>
      <w:r w:rsidR="007C67D1" w:rsidRPr="00BF2D59">
        <w:rPr>
          <w:sz w:val="28"/>
          <w:szCs w:val="28"/>
        </w:rPr>
        <w:t>2016)</w:t>
      </w:r>
      <w:r w:rsidR="007C67D1">
        <w:rPr>
          <w:sz w:val="28"/>
          <w:szCs w:val="28"/>
        </w:rPr>
        <w:t>.</w:t>
      </w:r>
      <w:r w:rsidR="008067D0">
        <w:rPr>
          <w:sz w:val="28"/>
          <w:szCs w:val="28"/>
        </w:rPr>
        <w:t xml:space="preserve"> </w:t>
      </w:r>
      <w:r w:rsidR="007902BE" w:rsidRPr="007C67D1">
        <w:rPr>
          <w:sz w:val="28"/>
          <w:szCs w:val="28"/>
        </w:rPr>
        <w:t xml:space="preserve">This court held that </w:t>
      </w:r>
      <w:r w:rsidR="007C67D1" w:rsidRPr="007C67D1">
        <w:rPr>
          <w:sz w:val="28"/>
          <w:szCs w:val="28"/>
        </w:rPr>
        <w:t>while the state had done this, they had not acted in bad faith because they had done so after learning new information in the course of their investigation.</w:t>
      </w:r>
      <w:r w:rsidR="008067D0">
        <w:rPr>
          <w:sz w:val="28"/>
          <w:szCs w:val="28"/>
        </w:rPr>
        <w:t xml:space="preserve"> </w:t>
      </w:r>
      <w:r w:rsidR="007C67D1">
        <w:rPr>
          <w:i/>
          <w:sz w:val="28"/>
          <w:szCs w:val="28"/>
        </w:rPr>
        <w:t>Id.</w:t>
      </w:r>
      <w:r w:rsidR="008067D0">
        <w:rPr>
          <w:i/>
          <w:sz w:val="28"/>
          <w:szCs w:val="28"/>
        </w:rPr>
        <w:t xml:space="preserve"> </w:t>
      </w:r>
      <w:r w:rsidR="007C67D1">
        <w:rPr>
          <w:sz w:val="28"/>
          <w:szCs w:val="28"/>
        </w:rPr>
        <w:t>This new indictment necessarily required a continuance of the trial date in order to ensure that Mr. Mesa</w:t>
      </w:r>
      <w:r w:rsidR="00CF352A">
        <w:rPr>
          <w:sz w:val="28"/>
          <w:szCs w:val="28"/>
        </w:rPr>
        <w:t>’</w:t>
      </w:r>
      <w:r w:rsidR="007C67D1">
        <w:rPr>
          <w:sz w:val="28"/>
          <w:szCs w:val="28"/>
        </w:rPr>
        <w:t>s defense team had adequate time to prepare.</w:t>
      </w:r>
      <w:r w:rsidR="008067D0">
        <w:rPr>
          <w:sz w:val="28"/>
          <w:szCs w:val="28"/>
        </w:rPr>
        <w:t xml:space="preserve"> </w:t>
      </w:r>
      <w:r w:rsidR="007C67D1">
        <w:rPr>
          <w:i/>
          <w:sz w:val="28"/>
          <w:szCs w:val="28"/>
        </w:rPr>
        <w:t>Id.</w:t>
      </w:r>
      <w:r w:rsidR="008067D0">
        <w:rPr>
          <w:i/>
          <w:sz w:val="28"/>
          <w:szCs w:val="28"/>
        </w:rPr>
        <w:t xml:space="preserve"> </w:t>
      </w:r>
      <w:r w:rsidR="007C67D1">
        <w:rPr>
          <w:sz w:val="28"/>
          <w:szCs w:val="28"/>
        </w:rPr>
        <w:t xml:space="preserve">at </w:t>
      </w:r>
      <w:r w:rsidR="007C67D1" w:rsidRPr="007C67D1">
        <w:rPr>
          <w:sz w:val="28"/>
          <w:szCs w:val="28"/>
        </w:rPr>
        <w:t>¶</w:t>
      </w:r>
      <w:r w:rsidR="007C67D1">
        <w:rPr>
          <w:sz w:val="28"/>
          <w:szCs w:val="28"/>
        </w:rPr>
        <w:t xml:space="preserve"> 6.</w:t>
      </w:r>
      <w:r w:rsidR="008067D0">
        <w:rPr>
          <w:sz w:val="28"/>
          <w:szCs w:val="28"/>
        </w:rPr>
        <w:t xml:space="preserve"> </w:t>
      </w:r>
      <w:r w:rsidR="007C67D1">
        <w:rPr>
          <w:sz w:val="28"/>
          <w:szCs w:val="28"/>
        </w:rPr>
        <w:t>Certainly, if Mr. Mesa</w:t>
      </w:r>
      <w:r w:rsidR="00CF352A">
        <w:rPr>
          <w:sz w:val="28"/>
          <w:szCs w:val="28"/>
        </w:rPr>
        <w:t>’</w:t>
      </w:r>
      <w:r w:rsidR="007C67D1">
        <w:rPr>
          <w:sz w:val="28"/>
          <w:szCs w:val="28"/>
        </w:rPr>
        <w:t xml:space="preserve">s defense team had asked for more time to prepare his case, and had that request denied, they could not have generated their own continuance by dismissing and </w:t>
      </w:r>
      <w:r w:rsidR="007C67D1" w:rsidRPr="00CF352A">
        <w:rPr>
          <w:sz w:val="28"/>
          <w:szCs w:val="28"/>
        </w:rPr>
        <w:t>refiling the indictment.</w:t>
      </w:r>
      <w:r w:rsidR="008067D0" w:rsidRPr="00CF352A">
        <w:rPr>
          <w:sz w:val="28"/>
          <w:szCs w:val="28"/>
        </w:rPr>
        <w:t xml:space="preserve"> </w:t>
      </w:r>
      <w:r w:rsidR="007C67D1" w:rsidRPr="00CF352A">
        <w:rPr>
          <w:sz w:val="28"/>
          <w:szCs w:val="28"/>
        </w:rPr>
        <w:t>The power of the generation of a new cause number only vests in the state.</w:t>
      </w:r>
      <w:r w:rsidR="008067D0" w:rsidRPr="00CF352A">
        <w:rPr>
          <w:sz w:val="28"/>
          <w:szCs w:val="28"/>
        </w:rPr>
        <w:t xml:space="preserve"> </w:t>
      </w:r>
    </w:p>
    <w:p w:rsidR="00CF352A" w:rsidRPr="000B1112" w:rsidRDefault="00CF352A" w:rsidP="00CF352A">
      <w:pPr>
        <w:spacing w:line="480" w:lineRule="auto"/>
        <w:ind w:firstLine="720"/>
        <w:jc w:val="both"/>
        <w:rPr>
          <w:sz w:val="28"/>
          <w:szCs w:val="28"/>
        </w:rPr>
      </w:pPr>
      <w:r w:rsidRPr="00CF352A">
        <w:rPr>
          <w:sz w:val="28"/>
          <w:szCs w:val="28"/>
        </w:rPr>
        <w:t xml:space="preserve">The result of this decision is a tremendous </w:t>
      </w:r>
      <w:r w:rsidR="00210700" w:rsidRPr="00CF352A">
        <w:rPr>
          <w:sz w:val="28"/>
          <w:szCs w:val="28"/>
        </w:rPr>
        <w:t>burden on the defense community to assign capital-qualified counsel to all murder cases.</w:t>
      </w:r>
      <w:r w:rsidRPr="00CF352A">
        <w:rPr>
          <w:sz w:val="28"/>
          <w:szCs w:val="28"/>
        </w:rPr>
        <w:t xml:space="preserve"> Rules 6.8(b)(1)(iii) and (c)(4) provide that attorneys being appointed to represent a defendant at trial, on appeal, or at post-conviction proceedings be </w:t>
      </w:r>
      <w:r>
        <w:rPr>
          <w:sz w:val="28"/>
          <w:szCs w:val="28"/>
        </w:rPr>
        <w:t>“</w:t>
      </w:r>
      <w:r w:rsidRPr="00CF352A">
        <w:rPr>
          <w:sz w:val="28"/>
          <w:szCs w:val="28"/>
        </w:rPr>
        <w:t xml:space="preserve">familiar with and guided by the </w:t>
      </w:r>
      <w:r w:rsidRPr="00CF352A">
        <w:rPr>
          <w:sz w:val="28"/>
          <w:szCs w:val="28"/>
        </w:rPr>
        <w:lastRenderedPageBreak/>
        <w:t xml:space="preserve">performance standards in the 2003 American Bar Association Guidelines for the </w:t>
      </w:r>
      <w:r w:rsidRPr="000B1112">
        <w:rPr>
          <w:sz w:val="28"/>
          <w:szCs w:val="28"/>
        </w:rPr>
        <w:t>Appointment and Performance of Defense Counsel in Death Penalty Cases.” Rule 6.3’s comment references the Guidelines, as does Rule 6.8’s comment, calling it “a compendium of best practices for representation in capital cases.”</w:t>
      </w:r>
      <w:r w:rsidR="008067D0" w:rsidRPr="000B1112">
        <w:rPr>
          <w:sz w:val="28"/>
          <w:szCs w:val="28"/>
        </w:rPr>
        <w:t xml:space="preserve"> </w:t>
      </w:r>
    </w:p>
    <w:p w:rsidR="002D502A" w:rsidRPr="000B1112" w:rsidRDefault="00210700" w:rsidP="00CF352A">
      <w:pPr>
        <w:spacing w:line="480" w:lineRule="auto"/>
        <w:ind w:firstLine="720"/>
        <w:jc w:val="both"/>
        <w:rPr>
          <w:sz w:val="28"/>
          <w:szCs w:val="28"/>
        </w:rPr>
      </w:pPr>
      <w:r w:rsidRPr="000B1112">
        <w:rPr>
          <w:sz w:val="28"/>
          <w:szCs w:val="28"/>
        </w:rPr>
        <w:t>The American Bar Association</w:t>
      </w:r>
      <w:r w:rsidR="00CF352A" w:rsidRPr="000B1112">
        <w:rPr>
          <w:sz w:val="28"/>
          <w:szCs w:val="28"/>
        </w:rPr>
        <w:t>’</w:t>
      </w:r>
      <w:r w:rsidRPr="000B1112">
        <w:rPr>
          <w:sz w:val="28"/>
          <w:szCs w:val="28"/>
        </w:rPr>
        <w:t>s Guidelines for Capital Representation require that a capital-qualified team be appointed as long as the state is legally qualified to seek the death penalty.</w:t>
      </w:r>
      <w:r w:rsidR="008067D0" w:rsidRPr="000B1112">
        <w:rPr>
          <w:sz w:val="28"/>
          <w:szCs w:val="28"/>
        </w:rPr>
        <w:t xml:space="preserve"> </w:t>
      </w:r>
      <w:r w:rsidRPr="000B1112">
        <w:rPr>
          <w:sz w:val="28"/>
          <w:szCs w:val="28"/>
        </w:rPr>
        <w:t>Guidelines 1.1 and 10.2</w:t>
      </w:r>
      <w:r w:rsidR="002D502A" w:rsidRPr="000B1112">
        <w:rPr>
          <w:sz w:val="28"/>
          <w:szCs w:val="28"/>
        </w:rPr>
        <w:t xml:space="preserve">. Guideline 1.1 indicates the guidelines apply “from the moment the client is taken into custody and extend to all stages of every case in which the jurisdiction may be entitled to seek the death penalty.” Guideline 1.1.  The comment to Guideline 1.1 notes that this language was a deliberate choice and a departure from the previous edition, which made the Guidelines applicable to cases where the death penalty was sought.  The intention was to ensure that the defense team treat the case as a capital case even though the prosecutor has not yet decided to seek the death penalty. </w:t>
      </w:r>
      <w:r w:rsidR="002D502A" w:rsidRPr="000B1112">
        <w:rPr>
          <w:i/>
          <w:sz w:val="28"/>
          <w:szCs w:val="28"/>
        </w:rPr>
        <w:t>See</w:t>
      </w:r>
      <w:r w:rsidR="002D502A" w:rsidRPr="000B1112">
        <w:rPr>
          <w:sz w:val="28"/>
          <w:szCs w:val="28"/>
        </w:rPr>
        <w:t xml:space="preserve"> Comment, Guideline 1.1, pg. 921. </w:t>
      </w:r>
    </w:p>
    <w:p w:rsidR="002D502A" w:rsidRPr="000B1112" w:rsidRDefault="002D502A" w:rsidP="00CF352A">
      <w:pPr>
        <w:spacing w:line="480" w:lineRule="auto"/>
        <w:ind w:firstLine="720"/>
        <w:jc w:val="both"/>
        <w:rPr>
          <w:rFonts w:cs="CNPBOL+TimesNewRoman"/>
          <w:color w:val="000000"/>
          <w:sz w:val="28"/>
          <w:szCs w:val="28"/>
        </w:rPr>
      </w:pPr>
      <w:r w:rsidRPr="000B1112">
        <w:rPr>
          <w:rFonts w:cs="CNPBOL+TimesNewRoman"/>
          <w:color w:val="000000"/>
          <w:sz w:val="28"/>
          <w:szCs w:val="28"/>
        </w:rPr>
        <w:t xml:space="preserve">Guideline 10.2 details: “Counsel should provide high quality legal representation in accordance with these Guidelines for so long as the jurisdiction is legally entitled to seek the death penalty.”  The comment to Guideline 10.2 details “early investigation to determine weaknesses in the State’s case and uncover mitigating evidence is a necessity, and should not be put off in the hope that the </w:t>
      </w:r>
      <w:r w:rsidRPr="000B1112">
        <w:rPr>
          <w:rFonts w:cs="CNPBOL+TimesNewRoman"/>
          <w:color w:val="000000"/>
          <w:sz w:val="28"/>
          <w:szCs w:val="28"/>
        </w:rPr>
        <w:lastRenderedPageBreak/>
        <w:t xml:space="preserve">death penalty will not be requested, or that the request will be dropped at a later point.”  Comment, Guideline 10.2, pg. 994.  Thus, even before the state has officially filed a notice of intent to seek the death penalty, capital representation is vital.  </w:t>
      </w:r>
    </w:p>
    <w:p w:rsidR="002D502A" w:rsidRPr="000B1112" w:rsidRDefault="002D502A" w:rsidP="00CF352A">
      <w:pPr>
        <w:spacing w:line="480" w:lineRule="auto"/>
        <w:ind w:firstLine="720"/>
        <w:jc w:val="both"/>
        <w:rPr>
          <w:rFonts w:cs="CNPBOL+TimesNewRoman"/>
          <w:color w:val="000000"/>
          <w:sz w:val="28"/>
          <w:szCs w:val="28"/>
        </w:rPr>
      </w:pPr>
      <w:r w:rsidRPr="000B1112">
        <w:rPr>
          <w:rFonts w:cs="CNPBOL+TimesNewRoman"/>
          <w:color w:val="000000"/>
          <w:sz w:val="28"/>
          <w:szCs w:val="28"/>
        </w:rPr>
        <w:t xml:space="preserve">Finally, counsel must continue to treat the case as capital “until the imposition of death is no longer a legal possibility.” </w:t>
      </w:r>
      <w:r w:rsidRPr="000B1112">
        <w:rPr>
          <w:rFonts w:cs="CNPBOL+TimesNewRoman"/>
          <w:i/>
          <w:color w:val="000000"/>
          <w:sz w:val="28"/>
          <w:szCs w:val="28"/>
        </w:rPr>
        <w:t>Id.</w:t>
      </w:r>
      <w:r w:rsidRPr="000B1112">
        <w:rPr>
          <w:rFonts w:cs="CNPBOL+TimesNewRoman"/>
          <w:color w:val="000000"/>
          <w:sz w:val="28"/>
          <w:szCs w:val="28"/>
        </w:rPr>
        <w:t xml:space="preserve"> In light of this Court’s ruling in </w:t>
      </w:r>
      <w:r w:rsidRPr="000B1112">
        <w:rPr>
          <w:rFonts w:cs="CNPBOL+TimesNewRoman"/>
          <w:i/>
          <w:color w:val="000000"/>
          <w:sz w:val="28"/>
          <w:szCs w:val="28"/>
        </w:rPr>
        <w:t>Mesa</w:t>
      </w:r>
      <w:r w:rsidRPr="000B1112">
        <w:rPr>
          <w:rFonts w:cs="CNPBOL+TimesNewRoman"/>
          <w:color w:val="000000"/>
          <w:sz w:val="28"/>
          <w:szCs w:val="28"/>
        </w:rPr>
        <w:t xml:space="preserve">, even when the government has not timely filed a notice of intent to seek death, death is still a legal possibility. The dismiss-and-refile process gives prosecutors the ability to restart the clock on death notices, and the burden is not inherently high. Rather, this Court’s conclusion in </w:t>
      </w:r>
      <w:r w:rsidRPr="000B1112">
        <w:rPr>
          <w:rFonts w:cs="CNPBOL+TimesNewRoman"/>
          <w:i/>
          <w:color w:val="000000"/>
          <w:sz w:val="28"/>
          <w:szCs w:val="28"/>
        </w:rPr>
        <w:t>Mesa</w:t>
      </w:r>
      <w:r w:rsidRPr="000B1112">
        <w:rPr>
          <w:rFonts w:cs="CNPBOL+TimesNewRoman"/>
          <w:color w:val="000000"/>
          <w:sz w:val="28"/>
          <w:szCs w:val="28"/>
        </w:rPr>
        <w:t xml:space="preserve"> placed the burden upon the defense to argue that refiling was in bad faith. Given this burden, death really only becomes legally impossible once the jury has been sworn.</w:t>
      </w:r>
    </w:p>
    <w:p w:rsidR="000B1112" w:rsidRDefault="000B1112" w:rsidP="000B1112">
      <w:pPr>
        <w:spacing w:line="480" w:lineRule="auto"/>
        <w:ind w:firstLine="720"/>
        <w:jc w:val="both"/>
        <w:rPr>
          <w:rFonts w:cs="CNPBOL+TimesNewRoman"/>
          <w:color w:val="000000"/>
          <w:sz w:val="28"/>
          <w:szCs w:val="28"/>
        </w:rPr>
      </w:pPr>
      <w:r w:rsidRPr="000B1112">
        <w:rPr>
          <w:rFonts w:cs="CNPBOL+TimesNewRoman"/>
          <w:color w:val="000000"/>
          <w:sz w:val="28"/>
          <w:szCs w:val="28"/>
        </w:rPr>
        <w:t>Moreover, p</w:t>
      </w:r>
      <w:r w:rsidR="002D502A" w:rsidRPr="000B1112">
        <w:rPr>
          <w:rFonts w:cs="CNPBOL+TimesNewRoman"/>
          <w:color w:val="000000"/>
          <w:sz w:val="28"/>
          <w:szCs w:val="28"/>
        </w:rPr>
        <w:t xml:space="preserve">rosecutors regularly engage in ongoing investigation into a case and often learn new information. </w:t>
      </w:r>
      <w:r w:rsidRPr="000B1112">
        <w:rPr>
          <w:rFonts w:cs="CNPBOL+TimesNewRoman"/>
          <w:color w:val="000000"/>
          <w:sz w:val="28"/>
          <w:szCs w:val="28"/>
        </w:rPr>
        <w:t xml:space="preserve">This everyday occurrence is precisely what </w:t>
      </w:r>
      <w:r w:rsidR="00A20185">
        <w:rPr>
          <w:rFonts w:cs="CNPBOL+TimesNewRoman"/>
          <w:color w:val="000000"/>
          <w:sz w:val="28"/>
          <w:szCs w:val="28"/>
        </w:rPr>
        <w:t xml:space="preserve">the state claimed </w:t>
      </w:r>
      <w:r w:rsidRPr="000B1112">
        <w:rPr>
          <w:rFonts w:cs="CNPBOL+TimesNewRoman"/>
          <w:color w:val="000000"/>
          <w:sz w:val="28"/>
          <w:szCs w:val="28"/>
        </w:rPr>
        <w:t xml:space="preserve">justified the refile in </w:t>
      </w:r>
      <w:r w:rsidRPr="000B1112">
        <w:rPr>
          <w:rFonts w:cs="CNPBOL+TimesNewRoman"/>
          <w:i/>
          <w:color w:val="000000"/>
          <w:sz w:val="28"/>
          <w:szCs w:val="28"/>
        </w:rPr>
        <w:t>Mesa</w:t>
      </w:r>
      <w:r w:rsidRPr="000B1112">
        <w:rPr>
          <w:rFonts w:cs="CNPBOL+TimesNewRoman"/>
          <w:color w:val="000000"/>
          <w:sz w:val="28"/>
          <w:szCs w:val="28"/>
        </w:rPr>
        <w:t xml:space="preserve">. And because ongoing investigation is not a form of bad faith, the burden upon a defendant will be incredibly weighty. </w:t>
      </w:r>
    </w:p>
    <w:p w:rsidR="007C67D1" w:rsidRDefault="00210700" w:rsidP="000B1112">
      <w:pPr>
        <w:spacing w:line="480" w:lineRule="auto"/>
        <w:ind w:firstLine="720"/>
        <w:jc w:val="both"/>
        <w:rPr>
          <w:rFonts w:cs="CNPBOL+TimesNewRoman"/>
          <w:color w:val="000000"/>
          <w:sz w:val="28"/>
          <w:szCs w:val="28"/>
        </w:rPr>
      </w:pPr>
      <w:r w:rsidRPr="000B1112">
        <w:rPr>
          <w:rFonts w:cs="CNPBOL+TimesNewRoman"/>
          <w:color w:val="000000"/>
          <w:sz w:val="28"/>
          <w:szCs w:val="28"/>
        </w:rPr>
        <w:t>Because the state can now develop its case and at any time decide that it wishes to file a death pe</w:t>
      </w:r>
      <w:r w:rsidR="000B1112" w:rsidRPr="000B1112">
        <w:rPr>
          <w:rFonts w:cs="CNPBOL+TimesNewRoman"/>
          <w:color w:val="000000"/>
          <w:sz w:val="28"/>
          <w:szCs w:val="28"/>
        </w:rPr>
        <w:t>nalty notice, the C</w:t>
      </w:r>
      <w:r w:rsidRPr="000B1112">
        <w:rPr>
          <w:rFonts w:cs="CNPBOL+TimesNewRoman"/>
          <w:color w:val="000000"/>
          <w:sz w:val="28"/>
          <w:szCs w:val="28"/>
        </w:rPr>
        <w:t>ourt</w:t>
      </w:r>
      <w:r w:rsidR="00CF352A" w:rsidRPr="000B1112">
        <w:rPr>
          <w:rFonts w:cs="CNPBOL+TimesNewRoman"/>
          <w:color w:val="000000"/>
          <w:sz w:val="28"/>
          <w:szCs w:val="28"/>
        </w:rPr>
        <w:t>’</w:t>
      </w:r>
      <w:r w:rsidRPr="000B1112">
        <w:rPr>
          <w:rFonts w:cs="CNPBOL+TimesNewRoman"/>
          <w:color w:val="000000"/>
          <w:sz w:val="28"/>
          <w:szCs w:val="28"/>
        </w:rPr>
        <w:t>s ruling will place an enormous strain on defense and court resources.</w:t>
      </w:r>
      <w:r w:rsidR="008067D0" w:rsidRPr="000B1112">
        <w:rPr>
          <w:rFonts w:cs="CNPBOL+TimesNewRoman"/>
          <w:color w:val="000000"/>
          <w:sz w:val="28"/>
          <w:szCs w:val="28"/>
        </w:rPr>
        <w:t xml:space="preserve"> </w:t>
      </w:r>
    </w:p>
    <w:p w:rsidR="000B1112" w:rsidRPr="000B1112" w:rsidRDefault="000B1112" w:rsidP="000B1112">
      <w:pPr>
        <w:spacing w:line="480" w:lineRule="auto"/>
        <w:ind w:firstLine="720"/>
        <w:jc w:val="both"/>
        <w:rPr>
          <w:sz w:val="28"/>
          <w:szCs w:val="28"/>
        </w:rPr>
      </w:pPr>
    </w:p>
    <w:p w:rsidR="00F86EF2" w:rsidRDefault="00AE6C21" w:rsidP="00CF352A">
      <w:pPr>
        <w:pStyle w:val="BodyText"/>
        <w:numPr>
          <w:ilvl w:val="0"/>
          <w:numId w:val="8"/>
        </w:numPr>
      </w:pPr>
      <w:r>
        <w:rPr>
          <w:b/>
          <w:szCs w:val="28"/>
        </w:rPr>
        <w:lastRenderedPageBreak/>
        <w:t>To preserve equity, the state should also be barred from using this ability for such a purpose.</w:t>
      </w:r>
      <w:r w:rsidR="008067D0">
        <w:rPr>
          <w:b/>
          <w:szCs w:val="28"/>
        </w:rPr>
        <w:t xml:space="preserve"> </w:t>
      </w:r>
    </w:p>
    <w:p w:rsidR="008067D0" w:rsidRPr="006A4DF8" w:rsidRDefault="008067D0" w:rsidP="00CF352A">
      <w:pPr>
        <w:pStyle w:val="BodyText"/>
        <w:ind w:left="1080"/>
      </w:pPr>
    </w:p>
    <w:p w:rsidR="00CF352A" w:rsidRDefault="007C67D1" w:rsidP="00CF352A">
      <w:pPr>
        <w:spacing w:line="480" w:lineRule="auto"/>
        <w:rPr>
          <w:sz w:val="28"/>
          <w:szCs w:val="28"/>
        </w:rPr>
      </w:pPr>
      <w:r>
        <w:rPr>
          <w:sz w:val="28"/>
          <w:szCs w:val="28"/>
        </w:rPr>
        <w:tab/>
      </w:r>
      <w:r w:rsidR="00CF352A">
        <w:rPr>
          <w:sz w:val="28"/>
          <w:szCs w:val="28"/>
        </w:rPr>
        <w:t xml:space="preserve">One side should not have a windfall of strategic benefit. Barring such Constitutional and logical differences such as the presumption of innocence and burden of proof, it is not good practice to create procedural powers that permit the state to have such lopsided control over the course of a case. Thus, the state should not have the unique power to generate continuances, new notice of death deadlines, or new judicial strikes when the defense and the courts are left impotent and at the will of the state. Moreover, the court should not be limited to preventing such inequity only upon findings of bad faith. </w:t>
      </w:r>
      <w:r w:rsidR="00CF352A" w:rsidRPr="00B800E7">
        <w:rPr>
          <w:sz w:val="28"/>
          <w:szCs w:val="28"/>
        </w:rPr>
        <w:t>For these reasons, it is respectfully requested that the Court amend Rule</w:t>
      </w:r>
      <w:r w:rsidR="00CF352A">
        <w:rPr>
          <w:sz w:val="28"/>
          <w:szCs w:val="28"/>
        </w:rPr>
        <w:t>s</w:t>
      </w:r>
      <w:r w:rsidR="00CF352A" w:rsidRPr="00B800E7">
        <w:rPr>
          <w:sz w:val="28"/>
          <w:szCs w:val="28"/>
        </w:rPr>
        <w:t xml:space="preserve"> </w:t>
      </w:r>
      <w:r w:rsidR="00CF352A">
        <w:rPr>
          <w:sz w:val="28"/>
          <w:szCs w:val="28"/>
        </w:rPr>
        <w:t xml:space="preserve">10.2, 15.1, and 16.6 </w:t>
      </w:r>
      <w:r w:rsidR="00CF352A" w:rsidRPr="00B800E7">
        <w:rPr>
          <w:sz w:val="28"/>
          <w:szCs w:val="28"/>
        </w:rPr>
        <w:t>as proposed in the Appendix.</w:t>
      </w:r>
    </w:p>
    <w:p w:rsidR="006A4DF8" w:rsidRDefault="006A4DF8" w:rsidP="00CF352A">
      <w:pPr>
        <w:spacing w:line="480" w:lineRule="auto"/>
        <w:jc w:val="both"/>
        <w:rPr>
          <w:sz w:val="28"/>
          <w:szCs w:val="28"/>
        </w:rPr>
      </w:pPr>
    </w:p>
    <w:p w:rsidR="00F26509" w:rsidRDefault="00F26509" w:rsidP="00CF352A">
      <w:pPr>
        <w:rPr>
          <w:sz w:val="28"/>
          <w:szCs w:val="28"/>
        </w:rPr>
      </w:pPr>
      <w:r w:rsidRPr="00B800E7">
        <w:rPr>
          <w:sz w:val="28"/>
          <w:szCs w:val="28"/>
        </w:rPr>
        <w:tab/>
      </w:r>
      <w:r w:rsidR="00205382">
        <w:rPr>
          <w:sz w:val="28"/>
          <w:szCs w:val="28"/>
        </w:rPr>
        <w:tab/>
      </w:r>
      <w:r w:rsidRPr="00B800E7">
        <w:rPr>
          <w:sz w:val="28"/>
          <w:szCs w:val="28"/>
        </w:rPr>
        <w:t xml:space="preserve">Dated this </w:t>
      </w:r>
      <w:r w:rsidR="002D502A">
        <w:rPr>
          <w:sz w:val="28"/>
          <w:szCs w:val="28"/>
        </w:rPr>
        <w:t>10th</w:t>
      </w:r>
      <w:r w:rsidR="003C17F8">
        <w:rPr>
          <w:sz w:val="28"/>
          <w:szCs w:val="28"/>
        </w:rPr>
        <w:t xml:space="preserve"> d</w:t>
      </w:r>
      <w:r w:rsidRPr="00B800E7">
        <w:rPr>
          <w:sz w:val="28"/>
          <w:szCs w:val="28"/>
        </w:rPr>
        <w:t xml:space="preserve">ay of </w:t>
      </w:r>
      <w:r w:rsidR="000C787D">
        <w:rPr>
          <w:sz w:val="28"/>
          <w:szCs w:val="28"/>
        </w:rPr>
        <w:t>January, 2017</w:t>
      </w:r>
      <w:r w:rsidR="00EB2226">
        <w:rPr>
          <w:sz w:val="28"/>
          <w:szCs w:val="28"/>
        </w:rPr>
        <w:t>.</w:t>
      </w:r>
    </w:p>
    <w:p w:rsidR="00AD3F25" w:rsidRPr="00B800E7" w:rsidRDefault="00AD3F25" w:rsidP="00CF352A">
      <w:pPr>
        <w:rPr>
          <w:sz w:val="28"/>
          <w:szCs w:val="28"/>
        </w:rPr>
      </w:pPr>
    </w:p>
    <w:p w:rsidR="00F26509" w:rsidRPr="00B800E7" w:rsidRDefault="00F26509" w:rsidP="00CF352A">
      <w:pPr>
        <w:tabs>
          <w:tab w:val="left" w:pos="3553"/>
        </w:tabs>
        <w:rPr>
          <w:sz w:val="28"/>
          <w:szCs w:val="28"/>
        </w:rPr>
      </w:pPr>
    </w:p>
    <w:p w:rsidR="00CF352A" w:rsidRPr="00B800E7" w:rsidRDefault="00CF352A" w:rsidP="00CF352A">
      <w:pPr>
        <w:tabs>
          <w:tab w:val="left" w:pos="3553"/>
        </w:tabs>
        <w:rPr>
          <w:sz w:val="28"/>
          <w:szCs w:val="28"/>
        </w:rPr>
      </w:pPr>
      <w:r w:rsidRPr="00B800E7">
        <w:rPr>
          <w:sz w:val="28"/>
          <w:szCs w:val="28"/>
        </w:rPr>
        <w:tab/>
      </w:r>
      <w:r>
        <w:rPr>
          <w:sz w:val="28"/>
          <w:szCs w:val="28"/>
        </w:rPr>
        <w:t>AMY KALMAN</w:t>
      </w:r>
    </w:p>
    <w:p w:rsidR="00CF352A" w:rsidRPr="00B800E7" w:rsidRDefault="00CF352A" w:rsidP="00CF352A">
      <w:pPr>
        <w:tabs>
          <w:tab w:val="left" w:pos="3553"/>
        </w:tabs>
        <w:rPr>
          <w:sz w:val="28"/>
          <w:szCs w:val="28"/>
        </w:rPr>
      </w:pPr>
      <w:r w:rsidRPr="00B800E7">
        <w:rPr>
          <w:sz w:val="28"/>
          <w:szCs w:val="28"/>
        </w:rPr>
        <w:tab/>
      </w:r>
      <w:r w:rsidRPr="00B800E7">
        <w:rPr>
          <w:sz w:val="28"/>
          <w:szCs w:val="28"/>
        </w:rPr>
        <w:tab/>
        <w:t>By</w:t>
      </w:r>
      <w:r>
        <w:rPr>
          <w:sz w:val="28"/>
          <w:szCs w:val="28"/>
        </w:rPr>
        <w:t xml:space="preserve"> /s/ Amy Kalman</w:t>
      </w:r>
    </w:p>
    <w:p w:rsidR="00CF352A" w:rsidRDefault="00CF352A" w:rsidP="00CF352A">
      <w:pPr>
        <w:tabs>
          <w:tab w:val="left" w:pos="3927"/>
        </w:tabs>
        <w:rPr>
          <w:sz w:val="28"/>
          <w:szCs w:val="28"/>
        </w:rPr>
      </w:pPr>
      <w:r w:rsidRPr="00B800E7">
        <w:rPr>
          <w:noProof/>
          <w:sz w:val="28"/>
          <w:szCs w:val="28"/>
        </w:rPr>
        <mc:AlternateContent>
          <mc:Choice Requires="wps">
            <w:drawing>
              <wp:anchor distT="0" distB="0" distL="114300" distR="114300" simplePos="0" relativeHeight="251659264" behindDoc="0" locked="0" layoutInCell="1" allowOverlap="1" wp14:anchorId="0CEBC341" wp14:editId="4BAE4218">
                <wp:simplePos x="0" y="0"/>
                <wp:positionH relativeFrom="column">
                  <wp:posOffset>2493645</wp:posOffset>
                </wp:positionH>
                <wp:positionV relativeFrom="paragraph">
                  <wp:posOffset>24130</wp:posOffset>
                </wp:positionV>
                <wp:extent cx="30873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E406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9pt" to="43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gi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"/>
            </w:pict>
          </mc:Fallback>
        </mc:AlternateContent>
      </w:r>
      <w:r w:rsidRPr="00B800E7">
        <w:rPr>
          <w:sz w:val="28"/>
          <w:szCs w:val="28"/>
        </w:rPr>
        <w:tab/>
      </w:r>
      <w:r>
        <w:rPr>
          <w:sz w:val="28"/>
          <w:szCs w:val="28"/>
        </w:rPr>
        <w:t>Amy Kalman</w:t>
      </w:r>
    </w:p>
    <w:p w:rsidR="00CF352A" w:rsidRPr="00B800E7" w:rsidRDefault="00CF352A" w:rsidP="00CF352A">
      <w:pPr>
        <w:tabs>
          <w:tab w:val="left" w:pos="3927"/>
        </w:tabs>
        <w:rPr>
          <w:sz w:val="28"/>
          <w:szCs w:val="28"/>
        </w:rPr>
      </w:pPr>
    </w:p>
    <w:p w:rsidR="00CF352A" w:rsidRPr="00B800E7" w:rsidRDefault="00CF352A" w:rsidP="00CF352A">
      <w:pPr>
        <w:tabs>
          <w:tab w:val="left" w:pos="3553"/>
        </w:tabs>
        <w:rPr>
          <w:sz w:val="28"/>
          <w:szCs w:val="28"/>
        </w:rPr>
      </w:pPr>
      <w:r w:rsidRPr="00B800E7">
        <w:rPr>
          <w:sz w:val="28"/>
          <w:szCs w:val="28"/>
        </w:rPr>
        <w:tab/>
      </w:r>
      <w:r>
        <w:rPr>
          <w:sz w:val="28"/>
          <w:szCs w:val="28"/>
        </w:rPr>
        <w:t>MIKEL STEINFELD</w:t>
      </w:r>
    </w:p>
    <w:p w:rsidR="00CF352A" w:rsidRPr="00B800E7" w:rsidRDefault="00CF352A" w:rsidP="00CF352A">
      <w:pPr>
        <w:tabs>
          <w:tab w:val="left" w:pos="3553"/>
        </w:tabs>
        <w:rPr>
          <w:sz w:val="28"/>
          <w:szCs w:val="28"/>
        </w:rPr>
      </w:pPr>
      <w:r w:rsidRPr="00B800E7">
        <w:rPr>
          <w:sz w:val="28"/>
          <w:szCs w:val="28"/>
        </w:rPr>
        <w:tab/>
      </w:r>
      <w:r w:rsidRPr="00B800E7">
        <w:rPr>
          <w:sz w:val="28"/>
          <w:szCs w:val="28"/>
        </w:rPr>
        <w:tab/>
        <w:t>By</w:t>
      </w:r>
      <w:r>
        <w:rPr>
          <w:sz w:val="28"/>
          <w:szCs w:val="28"/>
        </w:rPr>
        <w:t xml:space="preserve"> /s/ Mikel Steinfeld</w:t>
      </w:r>
    </w:p>
    <w:p w:rsidR="00CF352A" w:rsidRDefault="00CF352A" w:rsidP="00CF352A">
      <w:pPr>
        <w:tabs>
          <w:tab w:val="left" w:pos="3927"/>
        </w:tabs>
        <w:rPr>
          <w:sz w:val="28"/>
          <w:szCs w:val="28"/>
        </w:rPr>
      </w:pPr>
      <w:r w:rsidRPr="00B800E7">
        <w:rPr>
          <w:noProof/>
          <w:sz w:val="28"/>
          <w:szCs w:val="28"/>
        </w:rPr>
        <mc:AlternateContent>
          <mc:Choice Requires="wps">
            <w:drawing>
              <wp:anchor distT="0" distB="0" distL="114300" distR="114300" simplePos="0" relativeHeight="251661312" behindDoc="0" locked="0" layoutInCell="1" allowOverlap="1" wp14:anchorId="0CEBC341" wp14:editId="4BAE4218">
                <wp:simplePos x="0" y="0"/>
                <wp:positionH relativeFrom="column">
                  <wp:posOffset>2493645</wp:posOffset>
                </wp:positionH>
                <wp:positionV relativeFrom="paragraph">
                  <wp:posOffset>24130</wp:posOffset>
                </wp:positionV>
                <wp:extent cx="308737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1137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9pt" to="43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cR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"/>
            </w:pict>
          </mc:Fallback>
        </mc:AlternateContent>
      </w:r>
      <w:r w:rsidRPr="00B800E7">
        <w:rPr>
          <w:sz w:val="28"/>
          <w:szCs w:val="28"/>
        </w:rPr>
        <w:tab/>
      </w:r>
      <w:r>
        <w:rPr>
          <w:sz w:val="28"/>
          <w:szCs w:val="28"/>
        </w:rPr>
        <w:t>Mikel Steinfeld</w:t>
      </w:r>
    </w:p>
    <w:p w:rsidR="00CF352A" w:rsidRDefault="00CF352A" w:rsidP="00CF352A">
      <w:pPr>
        <w:tabs>
          <w:tab w:val="left" w:pos="3927"/>
        </w:tabs>
        <w:rPr>
          <w:sz w:val="28"/>
          <w:szCs w:val="28"/>
        </w:rPr>
      </w:pPr>
    </w:p>
    <w:p w:rsidR="00CF352A" w:rsidRPr="00B800E7" w:rsidRDefault="00CF352A" w:rsidP="00CF352A">
      <w:pPr>
        <w:tabs>
          <w:tab w:val="left" w:pos="3927"/>
        </w:tabs>
        <w:rPr>
          <w:sz w:val="28"/>
          <w:szCs w:val="28"/>
        </w:rPr>
      </w:pPr>
      <w:r>
        <w:rPr>
          <w:sz w:val="28"/>
          <w:szCs w:val="28"/>
        </w:rPr>
        <w:tab/>
        <w:t>Arizona Attorneys for Criminal Justice</w:t>
      </w:r>
    </w:p>
    <w:p w:rsidR="00C3561D" w:rsidRPr="00B800E7" w:rsidRDefault="00294152" w:rsidP="00CF352A">
      <w:pPr>
        <w:tabs>
          <w:tab w:val="left" w:pos="3927"/>
        </w:tabs>
        <w:rPr>
          <w:sz w:val="28"/>
          <w:szCs w:val="28"/>
        </w:rPr>
      </w:pPr>
      <w:r w:rsidRPr="00B800E7">
        <w:rPr>
          <w:sz w:val="28"/>
          <w:szCs w:val="28"/>
        </w:rPr>
        <w:tab/>
      </w:r>
    </w:p>
    <w:p w:rsidR="00C35DCA" w:rsidRDefault="00C35DCA" w:rsidP="00CF352A">
      <w:pPr>
        <w:rPr>
          <w:sz w:val="28"/>
          <w:szCs w:val="28"/>
        </w:rPr>
      </w:pPr>
    </w:p>
    <w:p w:rsidR="00AB1C85" w:rsidRDefault="00AB1C85" w:rsidP="00CF352A">
      <w:pPr>
        <w:rPr>
          <w:sz w:val="28"/>
          <w:szCs w:val="28"/>
        </w:rPr>
      </w:pPr>
    </w:p>
    <w:p w:rsidR="00AB1C85" w:rsidRDefault="00AB1C85" w:rsidP="00CF352A">
      <w:pPr>
        <w:rPr>
          <w:sz w:val="28"/>
          <w:szCs w:val="28"/>
        </w:rPr>
      </w:pPr>
      <w:r>
        <w:rPr>
          <w:sz w:val="28"/>
          <w:szCs w:val="28"/>
        </w:rPr>
        <w:lastRenderedPageBreak/>
        <w:t xml:space="preserve">Electronic copy filed with the </w:t>
      </w:r>
    </w:p>
    <w:p w:rsidR="00AB1C85" w:rsidRDefault="00AB1C85" w:rsidP="00CF352A">
      <w:pPr>
        <w:rPr>
          <w:sz w:val="28"/>
          <w:szCs w:val="28"/>
        </w:rPr>
      </w:pPr>
      <w:r>
        <w:rPr>
          <w:sz w:val="28"/>
          <w:szCs w:val="28"/>
        </w:rPr>
        <w:t>Clerk of the Supreme Court of</w:t>
      </w:r>
    </w:p>
    <w:p w:rsidR="00AB1C85" w:rsidRDefault="00AB1C85" w:rsidP="00CF352A">
      <w:pPr>
        <w:rPr>
          <w:sz w:val="28"/>
          <w:szCs w:val="28"/>
        </w:rPr>
      </w:pPr>
      <w:r>
        <w:rPr>
          <w:sz w:val="28"/>
          <w:szCs w:val="28"/>
        </w:rPr>
        <w:t xml:space="preserve">Arizona this </w:t>
      </w:r>
      <w:r w:rsidR="002D502A">
        <w:rPr>
          <w:sz w:val="28"/>
          <w:szCs w:val="28"/>
        </w:rPr>
        <w:t>10th</w:t>
      </w:r>
      <w:r>
        <w:rPr>
          <w:sz w:val="28"/>
          <w:szCs w:val="28"/>
        </w:rPr>
        <w:t xml:space="preserve"> day of </w:t>
      </w:r>
      <w:r w:rsidR="002D502A">
        <w:rPr>
          <w:sz w:val="28"/>
          <w:szCs w:val="28"/>
        </w:rPr>
        <w:t>Jaunary</w:t>
      </w:r>
      <w:r>
        <w:rPr>
          <w:sz w:val="28"/>
          <w:szCs w:val="28"/>
        </w:rPr>
        <w:t>,</w:t>
      </w:r>
    </w:p>
    <w:p w:rsidR="00AB1C85" w:rsidRDefault="002D502A" w:rsidP="00CF352A">
      <w:pPr>
        <w:rPr>
          <w:sz w:val="28"/>
          <w:szCs w:val="28"/>
        </w:rPr>
      </w:pPr>
      <w:r>
        <w:rPr>
          <w:sz w:val="28"/>
          <w:szCs w:val="28"/>
        </w:rPr>
        <w:t>2017</w:t>
      </w:r>
      <w:r w:rsidR="00AB1C85">
        <w:rPr>
          <w:sz w:val="28"/>
          <w:szCs w:val="28"/>
        </w:rPr>
        <w:t>.</w:t>
      </w:r>
    </w:p>
    <w:p w:rsidR="00AB1C85" w:rsidRDefault="00AB1C85" w:rsidP="00CF352A">
      <w:pPr>
        <w:rPr>
          <w:sz w:val="28"/>
          <w:szCs w:val="28"/>
        </w:rPr>
      </w:pPr>
    </w:p>
    <w:p w:rsidR="00AB1C85" w:rsidRDefault="00AB1C85" w:rsidP="00CF352A">
      <w:pPr>
        <w:rPr>
          <w:sz w:val="28"/>
          <w:szCs w:val="28"/>
        </w:rPr>
      </w:pPr>
    </w:p>
    <w:p w:rsidR="00AB1C85" w:rsidRPr="00B800E7" w:rsidRDefault="00AB1C85" w:rsidP="00CF352A">
      <w:pPr>
        <w:rPr>
          <w:sz w:val="28"/>
          <w:szCs w:val="28"/>
        </w:rPr>
        <w:sectPr w:rsidR="00AB1C85" w:rsidRPr="00B800E7" w:rsidSect="00B9142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254"/>
        </w:sectPr>
      </w:pPr>
      <w:r>
        <w:rPr>
          <w:sz w:val="28"/>
          <w:szCs w:val="28"/>
        </w:rPr>
        <w:t>By:</w:t>
      </w:r>
      <w:r w:rsidR="008067D0">
        <w:rPr>
          <w:sz w:val="28"/>
          <w:szCs w:val="28"/>
        </w:rPr>
        <w:t xml:space="preserve"> </w:t>
      </w:r>
      <w:r w:rsidR="000C787D">
        <w:rPr>
          <w:sz w:val="28"/>
          <w:szCs w:val="28"/>
        </w:rPr>
        <w:t>Amy Kalman</w:t>
      </w:r>
    </w:p>
    <w:p w:rsidR="002D502A" w:rsidRPr="00B800E7" w:rsidRDefault="002D502A" w:rsidP="002D502A">
      <w:pPr>
        <w:tabs>
          <w:tab w:val="left" w:pos="3553"/>
        </w:tabs>
        <w:jc w:val="center"/>
        <w:rPr>
          <w:sz w:val="28"/>
          <w:szCs w:val="28"/>
        </w:rPr>
      </w:pPr>
      <w:r w:rsidRPr="00B800E7">
        <w:rPr>
          <w:sz w:val="28"/>
          <w:szCs w:val="28"/>
        </w:rPr>
        <w:lastRenderedPageBreak/>
        <w:t>APPENDIX A</w:t>
      </w:r>
    </w:p>
    <w:p w:rsidR="002D502A" w:rsidRPr="00B800E7" w:rsidRDefault="002D502A" w:rsidP="002D502A">
      <w:pPr>
        <w:tabs>
          <w:tab w:val="left" w:pos="3553"/>
        </w:tabs>
        <w:jc w:val="center"/>
        <w:rPr>
          <w:sz w:val="28"/>
          <w:szCs w:val="28"/>
        </w:rPr>
      </w:pPr>
    </w:p>
    <w:p w:rsidR="002D502A" w:rsidRPr="00B800E7" w:rsidRDefault="002D502A" w:rsidP="002D502A">
      <w:pPr>
        <w:spacing w:after="200"/>
        <w:jc w:val="center"/>
        <w:rPr>
          <w:b/>
          <w:sz w:val="28"/>
          <w:szCs w:val="28"/>
        </w:rPr>
      </w:pPr>
      <w:r w:rsidRPr="00B800E7">
        <w:rPr>
          <w:b/>
          <w:sz w:val="28"/>
          <w:szCs w:val="28"/>
        </w:rPr>
        <w:t>Proposed Rules Changes</w:t>
      </w:r>
    </w:p>
    <w:p w:rsidR="002D502A" w:rsidRPr="00B800E7" w:rsidRDefault="002D502A" w:rsidP="002D502A">
      <w:pPr>
        <w:spacing w:after="200"/>
        <w:jc w:val="both"/>
        <w:rPr>
          <w:sz w:val="28"/>
          <w:szCs w:val="28"/>
        </w:rPr>
      </w:pPr>
      <w:r w:rsidRPr="00B800E7">
        <w:rPr>
          <w:sz w:val="28"/>
          <w:szCs w:val="28"/>
        </w:rPr>
        <w:t xml:space="preserve">(Proposed deletions are shown with </w:t>
      </w:r>
      <w:r w:rsidRPr="00B800E7">
        <w:rPr>
          <w:strike/>
          <w:sz w:val="28"/>
          <w:szCs w:val="28"/>
        </w:rPr>
        <w:t>strikethrough</w:t>
      </w:r>
      <w:r w:rsidRPr="00B800E7">
        <w:rPr>
          <w:sz w:val="28"/>
          <w:szCs w:val="28"/>
        </w:rPr>
        <w:t xml:space="preserve">, new language is shown with </w:t>
      </w:r>
      <w:r w:rsidRPr="00B800E7">
        <w:rPr>
          <w:sz w:val="28"/>
          <w:szCs w:val="28"/>
          <w:u w:val="single"/>
        </w:rPr>
        <w:t>underscoring</w:t>
      </w:r>
      <w:r w:rsidRPr="00B800E7">
        <w:rPr>
          <w:sz w:val="28"/>
          <w:szCs w:val="28"/>
        </w:rPr>
        <w:t>)</w:t>
      </w:r>
    </w:p>
    <w:p w:rsidR="002D502A" w:rsidRPr="00B800E7" w:rsidRDefault="002D502A" w:rsidP="002D502A">
      <w:pPr>
        <w:contextualSpacing/>
        <w:jc w:val="both"/>
        <w:rPr>
          <w:b/>
          <w:sz w:val="28"/>
          <w:szCs w:val="28"/>
        </w:rPr>
      </w:pPr>
    </w:p>
    <w:p w:rsidR="002D502A" w:rsidRPr="00B800E7" w:rsidRDefault="002D502A" w:rsidP="002D502A">
      <w:pPr>
        <w:contextualSpacing/>
        <w:jc w:val="both"/>
        <w:rPr>
          <w:sz w:val="28"/>
          <w:szCs w:val="28"/>
        </w:rPr>
      </w:pPr>
      <w:r w:rsidRPr="00B800E7">
        <w:rPr>
          <w:sz w:val="28"/>
          <w:szCs w:val="28"/>
        </w:rPr>
        <w:t>Arizona Rules of Criminal Procedure</w:t>
      </w:r>
      <w:r w:rsidRPr="00B800E7" w:rsidDel="00037F24">
        <w:rPr>
          <w:sz w:val="28"/>
          <w:szCs w:val="28"/>
        </w:rPr>
        <w:t xml:space="preserve"> </w:t>
      </w:r>
      <w:bookmarkStart w:id="3" w:name="I63E8C7A06E0311DD8D01E5EE9CA55CBC"/>
      <w:bookmarkStart w:id="4" w:name="IFEF92FF026E711E1B858C5A34CA682E6"/>
      <w:bookmarkStart w:id="5" w:name="IFEF86CA226E711E1B858C5A34CA682E6"/>
      <w:bookmarkEnd w:id="3"/>
      <w:bookmarkEnd w:id="4"/>
      <w:bookmarkEnd w:id="5"/>
      <w:r w:rsidRPr="00B800E7">
        <w:rPr>
          <w:sz w:val="28"/>
          <w:szCs w:val="28"/>
        </w:rPr>
        <w:t xml:space="preserve"> </w:t>
      </w:r>
    </w:p>
    <w:p w:rsidR="002D502A" w:rsidRPr="00B800E7" w:rsidRDefault="002D502A" w:rsidP="002D502A">
      <w:pPr>
        <w:contextualSpacing/>
        <w:jc w:val="both"/>
        <w:rPr>
          <w:sz w:val="28"/>
          <w:szCs w:val="28"/>
        </w:rPr>
      </w:pPr>
    </w:p>
    <w:p w:rsidR="002D502A" w:rsidRDefault="002D502A" w:rsidP="002D502A">
      <w:pPr>
        <w:contextualSpacing/>
        <w:jc w:val="both"/>
        <w:rPr>
          <w:sz w:val="28"/>
          <w:szCs w:val="28"/>
        </w:rPr>
      </w:pPr>
      <w:r>
        <w:rPr>
          <w:sz w:val="28"/>
          <w:szCs w:val="28"/>
        </w:rPr>
        <w:t>Rule 10.2</w:t>
      </w:r>
    </w:p>
    <w:p w:rsidR="002D502A" w:rsidRDefault="002D502A" w:rsidP="002D502A">
      <w:pPr>
        <w:pStyle w:val="ListParagraph"/>
        <w:numPr>
          <w:ilvl w:val="0"/>
          <w:numId w:val="9"/>
        </w:numPr>
        <w:jc w:val="both"/>
        <w:rPr>
          <w:sz w:val="28"/>
          <w:szCs w:val="28"/>
        </w:rPr>
      </w:pPr>
      <w:r>
        <w:rPr>
          <w:sz w:val="28"/>
          <w:szCs w:val="28"/>
        </w:rPr>
        <w:t xml:space="preserve">Entitlement. In any criminal case, each side is entitled as a matter of right to a change of judge. Each case, whether single or consolidated, shall be treated as having only two sides; except that whenever two or more parties on a side have adverse or hostile interests, the presiding judge or that judge’s designee may allow additional changes of judge as a matter of right. Notwithstanding the foregoing provision, the right to a change of judge </w:t>
      </w:r>
      <w:r w:rsidRPr="00D5662F">
        <w:rPr>
          <w:sz w:val="28"/>
          <w:szCs w:val="28"/>
          <w:u w:val="single"/>
        </w:rPr>
        <w:t>by right</w:t>
      </w:r>
      <w:r>
        <w:rPr>
          <w:sz w:val="28"/>
          <w:szCs w:val="28"/>
        </w:rPr>
        <w:t xml:space="preserve"> shall be inapplicable to </w:t>
      </w:r>
      <w:r>
        <w:rPr>
          <w:sz w:val="28"/>
          <w:szCs w:val="28"/>
          <w:u w:val="single"/>
        </w:rPr>
        <w:t>cases refiled under a subsequent indictment,</w:t>
      </w:r>
      <w:r>
        <w:rPr>
          <w:sz w:val="28"/>
          <w:szCs w:val="28"/>
        </w:rPr>
        <w:t xml:space="preserve"> Rule 32 petitions for post-conviction relief</w:t>
      </w:r>
      <w:r>
        <w:rPr>
          <w:sz w:val="28"/>
          <w:szCs w:val="28"/>
          <w:u w:val="single"/>
        </w:rPr>
        <w:t>,</w:t>
      </w:r>
      <w:r>
        <w:rPr>
          <w:sz w:val="28"/>
          <w:szCs w:val="28"/>
        </w:rPr>
        <w:t xml:space="preserve"> or remands for resentencing.</w:t>
      </w:r>
    </w:p>
    <w:p w:rsidR="002D502A" w:rsidRDefault="002D502A" w:rsidP="002D502A">
      <w:pPr>
        <w:pStyle w:val="ListParagraph"/>
        <w:numPr>
          <w:ilvl w:val="0"/>
          <w:numId w:val="9"/>
        </w:numPr>
        <w:jc w:val="both"/>
        <w:rPr>
          <w:sz w:val="28"/>
          <w:szCs w:val="28"/>
        </w:rPr>
      </w:pPr>
      <w:r>
        <w:rPr>
          <w:sz w:val="28"/>
          <w:szCs w:val="28"/>
        </w:rPr>
        <w:t>No change</w:t>
      </w:r>
    </w:p>
    <w:p w:rsidR="002D502A" w:rsidRDefault="002D502A" w:rsidP="002D502A">
      <w:pPr>
        <w:pStyle w:val="ListParagraph"/>
        <w:numPr>
          <w:ilvl w:val="0"/>
          <w:numId w:val="9"/>
        </w:numPr>
        <w:jc w:val="both"/>
        <w:rPr>
          <w:sz w:val="28"/>
          <w:szCs w:val="28"/>
        </w:rPr>
      </w:pPr>
      <w:r>
        <w:rPr>
          <w:sz w:val="28"/>
          <w:szCs w:val="28"/>
        </w:rPr>
        <w:t>No change</w:t>
      </w:r>
    </w:p>
    <w:p w:rsidR="002D502A" w:rsidRDefault="002D502A" w:rsidP="002D502A">
      <w:pPr>
        <w:pStyle w:val="ListParagraph"/>
        <w:numPr>
          <w:ilvl w:val="0"/>
          <w:numId w:val="9"/>
        </w:numPr>
        <w:jc w:val="both"/>
        <w:rPr>
          <w:sz w:val="28"/>
          <w:szCs w:val="28"/>
        </w:rPr>
      </w:pPr>
      <w:r>
        <w:rPr>
          <w:sz w:val="28"/>
          <w:szCs w:val="28"/>
        </w:rPr>
        <w:t>No change</w:t>
      </w:r>
    </w:p>
    <w:p w:rsidR="002D502A" w:rsidRDefault="002D502A" w:rsidP="002D502A">
      <w:pPr>
        <w:jc w:val="both"/>
        <w:rPr>
          <w:sz w:val="28"/>
          <w:szCs w:val="28"/>
        </w:rPr>
      </w:pPr>
    </w:p>
    <w:p w:rsidR="002D502A" w:rsidRDefault="002D502A" w:rsidP="002D502A">
      <w:pPr>
        <w:jc w:val="both"/>
        <w:rPr>
          <w:sz w:val="28"/>
          <w:szCs w:val="28"/>
        </w:rPr>
      </w:pPr>
      <w:r>
        <w:rPr>
          <w:sz w:val="28"/>
          <w:szCs w:val="28"/>
        </w:rPr>
        <w:t>Rule 15.1</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Pr>
          <w:sz w:val="28"/>
          <w:szCs w:val="28"/>
        </w:rPr>
        <w:t>Additional Disclosure in Capital Case.</w:t>
      </w:r>
    </w:p>
    <w:p w:rsidR="002D502A" w:rsidRDefault="002D502A" w:rsidP="002D502A">
      <w:pPr>
        <w:pStyle w:val="ListParagraph"/>
        <w:numPr>
          <w:ilvl w:val="0"/>
          <w:numId w:val="11"/>
        </w:numPr>
        <w:jc w:val="both"/>
        <w:rPr>
          <w:sz w:val="28"/>
          <w:szCs w:val="28"/>
        </w:rPr>
      </w:pPr>
      <w:r>
        <w:rPr>
          <w:sz w:val="28"/>
          <w:szCs w:val="28"/>
        </w:rPr>
        <w:t xml:space="preserve">The prosecutor, no later than 60 days after the arraignment in superior court, shall provide to the defendant notice of whether the prosecutor intends to seek the death penalty. This period may be extended up to 60 days upon written stipulation of counsel filed with the court. Once the stipulation is approved by the court, the case shall be considered a capital case for all administrative purposes including, but not limited to, scheduling, appointment of counsel under Rule 6.8, and assignment of a mitigation specialist. Additional extensions may be granted upon </w:t>
      </w:r>
      <w:r>
        <w:rPr>
          <w:sz w:val="28"/>
          <w:szCs w:val="28"/>
        </w:rPr>
        <w:lastRenderedPageBreak/>
        <w:t xml:space="preserve">stipulation of the parties and approval of the court. The prosecutor shall confer with the victim prior to agreeing to an extension of the 60 day deadline or any additional extensions, if the victim has requested notice pursuant to A.R.S. Section 13-4405. </w:t>
      </w:r>
      <w:r>
        <w:rPr>
          <w:sz w:val="28"/>
          <w:szCs w:val="28"/>
          <w:u w:val="single"/>
        </w:rPr>
        <w:t>If a notice of intent to seek the death penalty is not timely made, as provided in this section, the prosecutor may not request the death penalty in this case or any subsequent case or filing involving the same incident and defendant.</w:t>
      </w:r>
    </w:p>
    <w:p w:rsidR="002D502A" w:rsidRDefault="002D502A" w:rsidP="002D502A">
      <w:pPr>
        <w:pStyle w:val="ListParagraph"/>
        <w:numPr>
          <w:ilvl w:val="0"/>
          <w:numId w:val="11"/>
        </w:numPr>
        <w:jc w:val="both"/>
        <w:rPr>
          <w:sz w:val="28"/>
          <w:szCs w:val="28"/>
        </w:rPr>
      </w:pPr>
      <w:r w:rsidRPr="00201912">
        <w:rPr>
          <w:sz w:val="28"/>
          <w:szCs w:val="28"/>
        </w:rPr>
        <w:t>No change</w:t>
      </w:r>
    </w:p>
    <w:p w:rsidR="002D502A" w:rsidRDefault="002D502A" w:rsidP="002D502A">
      <w:pPr>
        <w:pStyle w:val="ListParagraph"/>
        <w:numPr>
          <w:ilvl w:val="0"/>
          <w:numId w:val="11"/>
        </w:numPr>
        <w:jc w:val="both"/>
        <w:rPr>
          <w:sz w:val="28"/>
          <w:szCs w:val="28"/>
        </w:rPr>
      </w:pPr>
      <w:r w:rsidRPr="00201912">
        <w:rPr>
          <w:sz w:val="28"/>
          <w:szCs w:val="28"/>
        </w:rPr>
        <w:t>No change</w:t>
      </w:r>
    </w:p>
    <w:p w:rsidR="002D502A" w:rsidRDefault="002D502A" w:rsidP="002D502A">
      <w:pPr>
        <w:pStyle w:val="ListParagraph"/>
        <w:numPr>
          <w:ilvl w:val="0"/>
          <w:numId w:val="10"/>
        </w:numPr>
        <w:jc w:val="both"/>
        <w:rPr>
          <w:sz w:val="28"/>
          <w:szCs w:val="28"/>
        </w:rPr>
      </w:pPr>
      <w:r w:rsidRPr="00201912">
        <w:rPr>
          <w:sz w:val="28"/>
          <w:szCs w:val="28"/>
        </w:rPr>
        <w:t>No change</w:t>
      </w:r>
    </w:p>
    <w:p w:rsidR="002D502A" w:rsidRPr="00201912" w:rsidRDefault="002D502A" w:rsidP="002D502A">
      <w:pPr>
        <w:pStyle w:val="ListParagraph"/>
        <w:jc w:val="both"/>
        <w:rPr>
          <w:sz w:val="28"/>
          <w:szCs w:val="28"/>
        </w:rPr>
      </w:pPr>
    </w:p>
    <w:p w:rsidR="002D502A" w:rsidRDefault="002D502A" w:rsidP="002D502A">
      <w:pPr>
        <w:contextualSpacing/>
        <w:jc w:val="both"/>
        <w:rPr>
          <w:sz w:val="28"/>
          <w:szCs w:val="28"/>
        </w:rPr>
      </w:pPr>
    </w:p>
    <w:p w:rsidR="002D502A" w:rsidRPr="00BB2126" w:rsidRDefault="002D502A" w:rsidP="002D502A">
      <w:pPr>
        <w:contextualSpacing/>
        <w:jc w:val="both"/>
        <w:rPr>
          <w:sz w:val="28"/>
          <w:szCs w:val="28"/>
        </w:rPr>
      </w:pPr>
      <w:r>
        <w:rPr>
          <w:sz w:val="28"/>
          <w:szCs w:val="28"/>
        </w:rPr>
        <w:t xml:space="preserve">Rule 16.6 </w:t>
      </w:r>
    </w:p>
    <w:p w:rsidR="002D502A" w:rsidRPr="00FA65CE" w:rsidRDefault="002D502A" w:rsidP="002D502A">
      <w:pPr>
        <w:pStyle w:val="ListParagraph"/>
        <w:numPr>
          <w:ilvl w:val="0"/>
          <w:numId w:val="7"/>
        </w:numPr>
        <w:tabs>
          <w:tab w:val="left" w:pos="3553"/>
        </w:tabs>
        <w:jc w:val="both"/>
        <w:rPr>
          <w:sz w:val="28"/>
          <w:szCs w:val="28"/>
        </w:rPr>
      </w:pPr>
      <w:r>
        <w:rPr>
          <w:sz w:val="28"/>
          <w:szCs w:val="28"/>
        </w:rPr>
        <w:t xml:space="preserve">On Prosecutor’s Motion.  The court, on motion of the prosecutor showing good cause therefor, may order that a prosecution be dismissed at any time upon finding that the purpose of the dismissal is not to avoid the provisions of Rule 8, </w:t>
      </w:r>
      <w:r>
        <w:rPr>
          <w:sz w:val="28"/>
          <w:szCs w:val="28"/>
          <w:u w:val="single"/>
        </w:rPr>
        <w:t xml:space="preserve">to generate a new judicial notice under Rule 10.2, to generate a new death notice deadline under Rule 15.1(i)(1), or to circumvent substantive rulings that are the law of the case.   </w:t>
      </w:r>
    </w:p>
    <w:p w:rsidR="002D502A" w:rsidRPr="008F189A" w:rsidRDefault="002D502A" w:rsidP="002D502A">
      <w:pPr>
        <w:pStyle w:val="ListParagraph"/>
        <w:numPr>
          <w:ilvl w:val="0"/>
          <w:numId w:val="7"/>
        </w:numPr>
        <w:tabs>
          <w:tab w:val="left" w:pos="3553"/>
        </w:tabs>
        <w:jc w:val="both"/>
        <w:rPr>
          <w:sz w:val="28"/>
          <w:szCs w:val="28"/>
        </w:rPr>
      </w:pPr>
      <w:r w:rsidRPr="008F189A">
        <w:rPr>
          <w:sz w:val="28"/>
          <w:szCs w:val="28"/>
        </w:rPr>
        <w:t>No change</w:t>
      </w:r>
    </w:p>
    <w:p w:rsidR="002D502A" w:rsidRPr="008F189A" w:rsidRDefault="002D502A" w:rsidP="002D502A">
      <w:pPr>
        <w:pStyle w:val="ListParagraph"/>
        <w:numPr>
          <w:ilvl w:val="0"/>
          <w:numId w:val="7"/>
        </w:numPr>
        <w:tabs>
          <w:tab w:val="left" w:pos="3553"/>
        </w:tabs>
        <w:jc w:val="both"/>
        <w:rPr>
          <w:sz w:val="28"/>
          <w:szCs w:val="28"/>
        </w:rPr>
      </w:pPr>
      <w:r w:rsidRPr="008F189A">
        <w:rPr>
          <w:sz w:val="28"/>
          <w:szCs w:val="28"/>
        </w:rPr>
        <w:t>No change</w:t>
      </w:r>
    </w:p>
    <w:p w:rsidR="002D502A" w:rsidRPr="00FA65CE" w:rsidRDefault="002D502A" w:rsidP="002D502A">
      <w:pPr>
        <w:pStyle w:val="ListParagraph"/>
        <w:numPr>
          <w:ilvl w:val="0"/>
          <w:numId w:val="7"/>
        </w:numPr>
        <w:tabs>
          <w:tab w:val="left" w:pos="3553"/>
        </w:tabs>
        <w:jc w:val="both"/>
        <w:rPr>
          <w:sz w:val="28"/>
          <w:szCs w:val="28"/>
        </w:rPr>
      </w:pPr>
      <w:r w:rsidRPr="00FA65CE">
        <w:rPr>
          <w:sz w:val="28"/>
          <w:szCs w:val="28"/>
        </w:rPr>
        <w:t xml:space="preserve">Dismissal of a prosecution shall be without prejudice to commencement of another prosecution, unless the court order finds that the interests of justice require that the dismissal be without prejudice.  </w:t>
      </w:r>
      <w:r>
        <w:rPr>
          <w:sz w:val="28"/>
          <w:szCs w:val="28"/>
          <w:u w:val="single"/>
        </w:rPr>
        <w:t xml:space="preserve">The dismissal and refile of a prosecution does not, however, generate a new change of judge by right under Rule 10.2 or deadline to file a notice of intent to seek the death penalty under Rule 15.1(i)(1).  </w:t>
      </w:r>
    </w:p>
    <w:p w:rsidR="00883925" w:rsidRDefault="00883925">
      <w:pPr>
        <w:rPr>
          <w:sz w:val="28"/>
          <w:szCs w:val="28"/>
        </w:rPr>
      </w:pPr>
      <w:r>
        <w:rPr>
          <w:sz w:val="28"/>
          <w:szCs w:val="28"/>
        </w:rPr>
        <w:br w:type="page"/>
      </w:r>
    </w:p>
    <w:p w:rsidR="00FA65CE" w:rsidRDefault="00883925" w:rsidP="002D502A">
      <w:pPr>
        <w:tabs>
          <w:tab w:val="left" w:pos="3553"/>
        </w:tabs>
        <w:jc w:val="center"/>
        <w:rPr>
          <w:sz w:val="28"/>
          <w:szCs w:val="28"/>
        </w:rPr>
      </w:pPr>
      <w:r>
        <w:rPr>
          <w:sz w:val="28"/>
          <w:szCs w:val="28"/>
        </w:rPr>
        <w:lastRenderedPageBreak/>
        <w:t>Appendix B</w:t>
      </w:r>
    </w:p>
    <w:p w:rsidR="00883925" w:rsidRPr="00FA65CE" w:rsidRDefault="00883925" w:rsidP="002D502A">
      <w:pPr>
        <w:tabs>
          <w:tab w:val="left" w:pos="3553"/>
        </w:tabs>
        <w:jc w:val="center"/>
        <w:rPr>
          <w:sz w:val="28"/>
          <w:szCs w:val="28"/>
        </w:rPr>
      </w:pPr>
      <w:r>
        <w:rPr>
          <w:sz w:val="28"/>
          <w:szCs w:val="28"/>
        </w:rPr>
        <w:t>Minute Entries</w:t>
      </w:r>
    </w:p>
    <w:sectPr w:rsidR="00883925" w:rsidRPr="00FA65CE" w:rsidSect="00C35DCA">
      <w:pgSz w:w="12240" w:h="15840" w:code="1"/>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0E6" w:rsidRDefault="001A40E6">
      <w:r>
        <w:separator/>
      </w:r>
    </w:p>
  </w:endnote>
  <w:endnote w:type="continuationSeparator" w:id="0">
    <w:p w:rsidR="001A40E6" w:rsidRDefault="001A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NPBO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DE3">
      <w:rPr>
        <w:rStyle w:val="PageNumber"/>
        <w:noProof/>
      </w:rPr>
      <w:t>1</w:t>
    </w:r>
    <w:r>
      <w:rPr>
        <w:rStyle w:val="PageNumber"/>
      </w:rPr>
      <w:fldChar w:fldCharType="end"/>
    </w:r>
  </w:p>
  <w:p w:rsidR="004D512D" w:rsidRDefault="004D5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521">
      <w:rPr>
        <w:rStyle w:val="PageNumber"/>
        <w:noProof/>
      </w:rPr>
      <w:t>2</w:t>
    </w:r>
    <w:r>
      <w:rPr>
        <w:rStyle w:val="PageNumber"/>
      </w:rPr>
      <w:fldChar w:fldCharType="end"/>
    </w:r>
  </w:p>
  <w:p w:rsidR="004D512D" w:rsidRDefault="004D5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F8" w:rsidRDefault="006A4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0E6" w:rsidRDefault="001A40E6">
      <w:r>
        <w:separator/>
      </w:r>
    </w:p>
  </w:footnote>
  <w:footnote w:type="continuationSeparator" w:id="0">
    <w:p w:rsidR="001A40E6" w:rsidRDefault="001A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F8" w:rsidRDefault="006A4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F8" w:rsidRDefault="006A4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F8" w:rsidRDefault="006A4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3DF"/>
    <w:multiLevelType w:val="hybridMultilevel"/>
    <w:tmpl w:val="92A448FA"/>
    <w:lvl w:ilvl="0" w:tplc="092C2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0A7DD1"/>
    <w:multiLevelType w:val="hybridMultilevel"/>
    <w:tmpl w:val="4B0C7364"/>
    <w:lvl w:ilvl="0" w:tplc="1D62B5F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58B4"/>
    <w:multiLevelType w:val="hybridMultilevel"/>
    <w:tmpl w:val="123264CE"/>
    <w:lvl w:ilvl="0" w:tplc="8F506C5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240D2"/>
    <w:multiLevelType w:val="hybridMultilevel"/>
    <w:tmpl w:val="2E3C1756"/>
    <w:lvl w:ilvl="0" w:tplc="022A4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4006F"/>
    <w:multiLevelType w:val="hybridMultilevel"/>
    <w:tmpl w:val="ACB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76A69"/>
    <w:multiLevelType w:val="hybridMultilevel"/>
    <w:tmpl w:val="DAEC0DAA"/>
    <w:lvl w:ilvl="0" w:tplc="14707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736198"/>
    <w:multiLevelType w:val="hybridMultilevel"/>
    <w:tmpl w:val="9ED26F92"/>
    <w:lvl w:ilvl="0" w:tplc="47806A2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C2BD5"/>
    <w:multiLevelType w:val="hybridMultilevel"/>
    <w:tmpl w:val="939E809A"/>
    <w:lvl w:ilvl="0" w:tplc="D96240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63146"/>
    <w:multiLevelType w:val="hybridMultilevel"/>
    <w:tmpl w:val="E5FC7FE4"/>
    <w:lvl w:ilvl="0" w:tplc="0AACB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E07D8"/>
    <w:multiLevelType w:val="hybridMultilevel"/>
    <w:tmpl w:val="0B9CA2B2"/>
    <w:lvl w:ilvl="0" w:tplc="DBAAAE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44EA7"/>
    <w:multiLevelType w:val="hybridMultilevel"/>
    <w:tmpl w:val="393882B8"/>
    <w:lvl w:ilvl="0" w:tplc="944E0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2"/>
  </w:num>
  <w:num w:numId="4">
    <w:abstractNumId w:val="6"/>
  </w:num>
  <w:num w:numId="5">
    <w:abstractNumId w:val="10"/>
  </w:num>
  <w:num w:numId="6">
    <w:abstractNumId w:val="0"/>
  </w:num>
  <w:num w:numId="7">
    <w:abstractNumId w:val="3"/>
  </w:num>
  <w:num w:numId="8">
    <w:abstractNumId w:val="9"/>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y" w:val="Marty Lieberman"/>
    <w:docVar w:name="CA" w:val=" "/>
    <w:docVar w:name="CaseNo" w:val=" "/>
    <w:docVar w:name="CourtStr" w:val=" "/>
    <w:docVar w:name="Defendant" w:val=" "/>
    <w:docVar w:name="FileDate" w:val=" "/>
    <w:docVar w:name="FileDay" w:val=" "/>
    <w:docVar w:name="HrgOff" w:val=" "/>
    <w:docVar w:name="Judge" w:val=" "/>
    <w:docVar w:name="Mailing" w:val=" "/>
    <w:docVar w:name="TitleMotion" w:val=" "/>
  </w:docVars>
  <w:rsids>
    <w:rsidRoot w:val="004C5DE3"/>
    <w:rsid w:val="00000E49"/>
    <w:rsid w:val="00003BB6"/>
    <w:rsid w:val="00010AF9"/>
    <w:rsid w:val="000115DC"/>
    <w:rsid w:val="00030752"/>
    <w:rsid w:val="000371C4"/>
    <w:rsid w:val="00041F0C"/>
    <w:rsid w:val="00063823"/>
    <w:rsid w:val="000A4A71"/>
    <w:rsid w:val="000B1112"/>
    <w:rsid w:val="000C787D"/>
    <w:rsid w:val="000D39F0"/>
    <w:rsid w:val="000D4430"/>
    <w:rsid w:val="000D4B45"/>
    <w:rsid w:val="000D59A5"/>
    <w:rsid w:val="000D76FD"/>
    <w:rsid w:val="0011682C"/>
    <w:rsid w:val="00121EBB"/>
    <w:rsid w:val="00147B98"/>
    <w:rsid w:val="00153921"/>
    <w:rsid w:val="00173D35"/>
    <w:rsid w:val="001801DB"/>
    <w:rsid w:val="00182F8F"/>
    <w:rsid w:val="00191C49"/>
    <w:rsid w:val="001923CD"/>
    <w:rsid w:val="00195DD7"/>
    <w:rsid w:val="001A40E6"/>
    <w:rsid w:val="001B3D32"/>
    <w:rsid w:val="001B6693"/>
    <w:rsid w:val="001E5D5C"/>
    <w:rsid w:val="001F1E18"/>
    <w:rsid w:val="00201912"/>
    <w:rsid w:val="00205382"/>
    <w:rsid w:val="00210700"/>
    <w:rsid w:val="0021418D"/>
    <w:rsid w:val="00217FAC"/>
    <w:rsid w:val="00226B72"/>
    <w:rsid w:val="0023236E"/>
    <w:rsid w:val="002357F1"/>
    <w:rsid w:val="0023705A"/>
    <w:rsid w:val="002429BB"/>
    <w:rsid w:val="00254882"/>
    <w:rsid w:val="00260669"/>
    <w:rsid w:val="00267010"/>
    <w:rsid w:val="002735D0"/>
    <w:rsid w:val="00274599"/>
    <w:rsid w:val="00275523"/>
    <w:rsid w:val="00281FE7"/>
    <w:rsid w:val="00284E72"/>
    <w:rsid w:val="0029156D"/>
    <w:rsid w:val="002915B8"/>
    <w:rsid w:val="00294152"/>
    <w:rsid w:val="002962F5"/>
    <w:rsid w:val="002B0D75"/>
    <w:rsid w:val="002C2D63"/>
    <w:rsid w:val="002C5389"/>
    <w:rsid w:val="002C5CFE"/>
    <w:rsid w:val="002D502A"/>
    <w:rsid w:val="002D6D73"/>
    <w:rsid w:val="002E4D27"/>
    <w:rsid w:val="002F6AF9"/>
    <w:rsid w:val="0030184C"/>
    <w:rsid w:val="00301CEF"/>
    <w:rsid w:val="0030728E"/>
    <w:rsid w:val="0031011F"/>
    <w:rsid w:val="00312CD5"/>
    <w:rsid w:val="003146B5"/>
    <w:rsid w:val="00314D3D"/>
    <w:rsid w:val="00317CCE"/>
    <w:rsid w:val="00325F1F"/>
    <w:rsid w:val="00343FB6"/>
    <w:rsid w:val="003500AF"/>
    <w:rsid w:val="00373C80"/>
    <w:rsid w:val="00374C1B"/>
    <w:rsid w:val="003801C2"/>
    <w:rsid w:val="0039111E"/>
    <w:rsid w:val="00397897"/>
    <w:rsid w:val="003A5161"/>
    <w:rsid w:val="003A5521"/>
    <w:rsid w:val="003B1AB1"/>
    <w:rsid w:val="003B6FC5"/>
    <w:rsid w:val="003C03F9"/>
    <w:rsid w:val="003C17F8"/>
    <w:rsid w:val="003C2FFE"/>
    <w:rsid w:val="003C5A23"/>
    <w:rsid w:val="003E25E8"/>
    <w:rsid w:val="003E609F"/>
    <w:rsid w:val="0041466B"/>
    <w:rsid w:val="00420498"/>
    <w:rsid w:val="00425373"/>
    <w:rsid w:val="00431A4C"/>
    <w:rsid w:val="00433E56"/>
    <w:rsid w:val="00436AC3"/>
    <w:rsid w:val="00460681"/>
    <w:rsid w:val="0046245B"/>
    <w:rsid w:val="00465A13"/>
    <w:rsid w:val="00472B42"/>
    <w:rsid w:val="004737D8"/>
    <w:rsid w:val="00473DAA"/>
    <w:rsid w:val="004927C8"/>
    <w:rsid w:val="004A4D74"/>
    <w:rsid w:val="004A72C4"/>
    <w:rsid w:val="004A74A6"/>
    <w:rsid w:val="004C1D5A"/>
    <w:rsid w:val="004C5DE3"/>
    <w:rsid w:val="004D512D"/>
    <w:rsid w:val="004E11C4"/>
    <w:rsid w:val="004E51AA"/>
    <w:rsid w:val="004E7620"/>
    <w:rsid w:val="004F3FDE"/>
    <w:rsid w:val="004F5144"/>
    <w:rsid w:val="00511C47"/>
    <w:rsid w:val="0053054A"/>
    <w:rsid w:val="005446F2"/>
    <w:rsid w:val="00547C56"/>
    <w:rsid w:val="00552149"/>
    <w:rsid w:val="00575718"/>
    <w:rsid w:val="005814D2"/>
    <w:rsid w:val="005845C4"/>
    <w:rsid w:val="00584BF5"/>
    <w:rsid w:val="00585AE2"/>
    <w:rsid w:val="00590009"/>
    <w:rsid w:val="00591EF7"/>
    <w:rsid w:val="005A3E6C"/>
    <w:rsid w:val="005B3E75"/>
    <w:rsid w:val="005C5D5C"/>
    <w:rsid w:val="005E7772"/>
    <w:rsid w:val="005F2687"/>
    <w:rsid w:val="00600298"/>
    <w:rsid w:val="00620C75"/>
    <w:rsid w:val="006246B5"/>
    <w:rsid w:val="006300DA"/>
    <w:rsid w:val="0068409D"/>
    <w:rsid w:val="006976B0"/>
    <w:rsid w:val="006A4DF8"/>
    <w:rsid w:val="006B1EB5"/>
    <w:rsid w:val="006B5992"/>
    <w:rsid w:val="006D30E8"/>
    <w:rsid w:val="006E711D"/>
    <w:rsid w:val="00730D6F"/>
    <w:rsid w:val="00740795"/>
    <w:rsid w:val="0074727D"/>
    <w:rsid w:val="007512B9"/>
    <w:rsid w:val="00753402"/>
    <w:rsid w:val="00756195"/>
    <w:rsid w:val="007902BE"/>
    <w:rsid w:val="007A055F"/>
    <w:rsid w:val="007C67D1"/>
    <w:rsid w:val="007D34DD"/>
    <w:rsid w:val="007D6A54"/>
    <w:rsid w:val="007F4733"/>
    <w:rsid w:val="007F58C4"/>
    <w:rsid w:val="00805489"/>
    <w:rsid w:val="008067D0"/>
    <w:rsid w:val="00812E73"/>
    <w:rsid w:val="0081759C"/>
    <w:rsid w:val="008206DE"/>
    <w:rsid w:val="00822BCA"/>
    <w:rsid w:val="00832909"/>
    <w:rsid w:val="00833210"/>
    <w:rsid w:val="0084561D"/>
    <w:rsid w:val="00846293"/>
    <w:rsid w:val="008567B3"/>
    <w:rsid w:val="00857253"/>
    <w:rsid w:val="00861102"/>
    <w:rsid w:val="008630C8"/>
    <w:rsid w:val="00871835"/>
    <w:rsid w:val="0087294A"/>
    <w:rsid w:val="00883925"/>
    <w:rsid w:val="008855F7"/>
    <w:rsid w:val="0089116F"/>
    <w:rsid w:val="008A034D"/>
    <w:rsid w:val="008A7484"/>
    <w:rsid w:val="008B2962"/>
    <w:rsid w:val="008D3892"/>
    <w:rsid w:val="008F189A"/>
    <w:rsid w:val="008F271C"/>
    <w:rsid w:val="008F7BDE"/>
    <w:rsid w:val="009204C0"/>
    <w:rsid w:val="00925D7D"/>
    <w:rsid w:val="00933040"/>
    <w:rsid w:val="00934E79"/>
    <w:rsid w:val="00945754"/>
    <w:rsid w:val="00960CF5"/>
    <w:rsid w:val="0096594E"/>
    <w:rsid w:val="00965A41"/>
    <w:rsid w:val="00971AE4"/>
    <w:rsid w:val="0097582B"/>
    <w:rsid w:val="009A18C8"/>
    <w:rsid w:val="009A2AE4"/>
    <w:rsid w:val="009A7375"/>
    <w:rsid w:val="009B6916"/>
    <w:rsid w:val="009C6670"/>
    <w:rsid w:val="009D12AE"/>
    <w:rsid w:val="009E0DE6"/>
    <w:rsid w:val="00A01BDA"/>
    <w:rsid w:val="00A11BC1"/>
    <w:rsid w:val="00A20185"/>
    <w:rsid w:val="00A24A19"/>
    <w:rsid w:val="00A2674D"/>
    <w:rsid w:val="00A420A5"/>
    <w:rsid w:val="00A44EBE"/>
    <w:rsid w:val="00A47CB5"/>
    <w:rsid w:val="00A633F9"/>
    <w:rsid w:val="00A67390"/>
    <w:rsid w:val="00A7175C"/>
    <w:rsid w:val="00A91A0D"/>
    <w:rsid w:val="00A97261"/>
    <w:rsid w:val="00AA56B2"/>
    <w:rsid w:val="00AB1C85"/>
    <w:rsid w:val="00AC2577"/>
    <w:rsid w:val="00AD3032"/>
    <w:rsid w:val="00AD3F25"/>
    <w:rsid w:val="00AE25E5"/>
    <w:rsid w:val="00AE6C21"/>
    <w:rsid w:val="00AF0CE4"/>
    <w:rsid w:val="00AF7FAC"/>
    <w:rsid w:val="00B10AC0"/>
    <w:rsid w:val="00B22F3C"/>
    <w:rsid w:val="00B56570"/>
    <w:rsid w:val="00B57BA1"/>
    <w:rsid w:val="00B653D3"/>
    <w:rsid w:val="00B66FD8"/>
    <w:rsid w:val="00B800E7"/>
    <w:rsid w:val="00B8434E"/>
    <w:rsid w:val="00B85889"/>
    <w:rsid w:val="00B91423"/>
    <w:rsid w:val="00B92484"/>
    <w:rsid w:val="00BB1B76"/>
    <w:rsid w:val="00BB2126"/>
    <w:rsid w:val="00BC25ED"/>
    <w:rsid w:val="00BD2024"/>
    <w:rsid w:val="00BD3062"/>
    <w:rsid w:val="00BF2D59"/>
    <w:rsid w:val="00BF583E"/>
    <w:rsid w:val="00C075AC"/>
    <w:rsid w:val="00C12DFA"/>
    <w:rsid w:val="00C16205"/>
    <w:rsid w:val="00C2235F"/>
    <w:rsid w:val="00C3561D"/>
    <w:rsid w:val="00C35DCA"/>
    <w:rsid w:val="00C37CF4"/>
    <w:rsid w:val="00C473A4"/>
    <w:rsid w:val="00C5489C"/>
    <w:rsid w:val="00C66041"/>
    <w:rsid w:val="00C73CF7"/>
    <w:rsid w:val="00C84969"/>
    <w:rsid w:val="00CA0CA8"/>
    <w:rsid w:val="00CB16AD"/>
    <w:rsid w:val="00CB77DF"/>
    <w:rsid w:val="00CD132C"/>
    <w:rsid w:val="00CE10FC"/>
    <w:rsid w:val="00CE5F1C"/>
    <w:rsid w:val="00CF18F7"/>
    <w:rsid w:val="00CF352A"/>
    <w:rsid w:val="00D01F3E"/>
    <w:rsid w:val="00D046A7"/>
    <w:rsid w:val="00D16AE5"/>
    <w:rsid w:val="00D200FC"/>
    <w:rsid w:val="00D31DE4"/>
    <w:rsid w:val="00D3727F"/>
    <w:rsid w:val="00D4357E"/>
    <w:rsid w:val="00D51FE1"/>
    <w:rsid w:val="00D8505F"/>
    <w:rsid w:val="00D97168"/>
    <w:rsid w:val="00DA68EF"/>
    <w:rsid w:val="00DB32C6"/>
    <w:rsid w:val="00DB499A"/>
    <w:rsid w:val="00DD1641"/>
    <w:rsid w:val="00DE75AF"/>
    <w:rsid w:val="00DF17DB"/>
    <w:rsid w:val="00E04B5B"/>
    <w:rsid w:val="00E1328B"/>
    <w:rsid w:val="00E1336E"/>
    <w:rsid w:val="00E32B60"/>
    <w:rsid w:val="00E42FE7"/>
    <w:rsid w:val="00E459F4"/>
    <w:rsid w:val="00E62067"/>
    <w:rsid w:val="00E648CE"/>
    <w:rsid w:val="00E6550E"/>
    <w:rsid w:val="00E66DA3"/>
    <w:rsid w:val="00E705E3"/>
    <w:rsid w:val="00E7730A"/>
    <w:rsid w:val="00E809E0"/>
    <w:rsid w:val="00E92C7A"/>
    <w:rsid w:val="00E9426C"/>
    <w:rsid w:val="00E9502E"/>
    <w:rsid w:val="00EB2226"/>
    <w:rsid w:val="00EB4CB6"/>
    <w:rsid w:val="00EB7AD7"/>
    <w:rsid w:val="00ED74B7"/>
    <w:rsid w:val="00EE00D0"/>
    <w:rsid w:val="00EE1BDE"/>
    <w:rsid w:val="00EF5A0D"/>
    <w:rsid w:val="00F133D1"/>
    <w:rsid w:val="00F16192"/>
    <w:rsid w:val="00F16EF6"/>
    <w:rsid w:val="00F17873"/>
    <w:rsid w:val="00F204E9"/>
    <w:rsid w:val="00F26509"/>
    <w:rsid w:val="00F27378"/>
    <w:rsid w:val="00F27517"/>
    <w:rsid w:val="00F32FC9"/>
    <w:rsid w:val="00F506D0"/>
    <w:rsid w:val="00F508D9"/>
    <w:rsid w:val="00F534A6"/>
    <w:rsid w:val="00F60F15"/>
    <w:rsid w:val="00F67046"/>
    <w:rsid w:val="00F8051C"/>
    <w:rsid w:val="00F86EF2"/>
    <w:rsid w:val="00FA65CE"/>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9D0FD6-301A-4DD6-A1E7-BCFA0B4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paragraph" w:styleId="Heading1">
    <w:name w:val="heading 1"/>
    <w:basedOn w:val="Normal"/>
    <w:next w:val="Normal"/>
    <w:link w:val="Heading1Char"/>
    <w:qFormat/>
    <w:rsid w:val="004C5DE3"/>
    <w:pPr>
      <w:keepNext/>
      <w:spacing w:line="360" w:lineRule="auto"/>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434E"/>
    <w:rPr>
      <w:rFonts w:ascii="Tahoma" w:hAnsi="Tahoma" w:cs="Tahoma"/>
      <w:sz w:val="16"/>
      <w:szCs w:val="16"/>
    </w:rPr>
  </w:style>
  <w:style w:type="paragraph" w:styleId="Footer">
    <w:name w:val="footer"/>
    <w:basedOn w:val="Normal"/>
    <w:link w:val="FooterChar"/>
    <w:uiPriority w:val="99"/>
    <w:rsid w:val="00B91423"/>
    <w:pPr>
      <w:tabs>
        <w:tab w:val="center" w:pos="4320"/>
        <w:tab w:val="right" w:pos="8640"/>
      </w:tabs>
    </w:pPr>
  </w:style>
  <w:style w:type="character" w:styleId="PageNumber">
    <w:name w:val="page number"/>
    <w:basedOn w:val="DefaultParagraphFont"/>
    <w:rsid w:val="00B91423"/>
  </w:style>
  <w:style w:type="character" w:styleId="Hyperlink">
    <w:name w:val="Hyperlink"/>
    <w:basedOn w:val="DefaultParagraphFont"/>
    <w:rsid w:val="00D97168"/>
    <w:rPr>
      <w:color w:val="0000FF"/>
      <w:u w:val="single"/>
    </w:rPr>
  </w:style>
  <w:style w:type="character" w:customStyle="1" w:styleId="Heading1Char">
    <w:name w:val="Heading 1 Char"/>
    <w:basedOn w:val="DefaultParagraphFont"/>
    <w:link w:val="Heading1"/>
    <w:rsid w:val="004C5DE3"/>
    <w:rPr>
      <w:rFonts w:ascii="Arial" w:hAnsi="Arial"/>
      <w:b/>
      <w:sz w:val="28"/>
    </w:rPr>
  </w:style>
  <w:style w:type="character" w:customStyle="1" w:styleId="FooterChar">
    <w:name w:val="Footer Char"/>
    <w:link w:val="Footer"/>
    <w:uiPriority w:val="99"/>
    <w:rsid w:val="004C5DE3"/>
    <w:rPr>
      <w:sz w:val="26"/>
      <w:szCs w:val="26"/>
    </w:rPr>
  </w:style>
  <w:style w:type="paragraph" w:styleId="BodyText">
    <w:name w:val="Body Text"/>
    <w:basedOn w:val="Normal"/>
    <w:link w:val="BodyTextChar"/>
    <w:unhideWhenUsed/>
    <w:rsid w:val="004C5DE3"/>
    <w:pPr>
      <w:jc w:val="both"/>
    </w:pPr>
    <w:rPr>
      <w:sz w:val="28"/>
      <w:szCs w:val="20"/>
    </w:rPr>
  </w:style>
  <w:style w:type="character" w:customStyle="1" w:styleId="BodyTextChar">
    <w:name w:val="Body Text Char"/>
    <w:basedOn w:val="DefaultParagraphFont"/>
    <w:link w:val="BodyText"/>
    <w:rsid w:val="004C5DE3"/>
    <w:rPr>
      <w:sz w:val="28"/>
    </w:rPr>
  </w:style>
  <w:style w:type="paragraph" w:styleId="FootnoteText">
    <w:name w:val="footnote text"/>
    <w:basedOn w:val="Normal"/>
    <w:link w:val="FootnoteTextChar"/>
    <w:rsid w:val="00D200FC"/>
    <w:rPr>
      <w:sz w:val="20"/>
      <w:szCs w:val="20"/>
    </w:rPr>
  </w:style>
  <w:style w:type="character" w:customStyle="1" w:styleId="FootnoteTextChar">
    <w:name w:val="Footnote Text Char"/>
    <w:basedOn w:val="DefaultParagraphFont"/>
    <w:link w:val="FootnoteText"/>
    <w:rsid w:val="00D200FC"/>
  </w:style>
  <w:style w:type="character" w:styleId="FootnoteReference">
    <w:name w:val="footnote reference"/>
    <w:basedOn w:val="DefaultParagraphFont"/>
    <w:rsid w:val="00D200FC"/>
    <w:rPr>
      <w:vertAlign w:val="superscript"/>
    </w:rPr>
  </w:style>
  <w:style w:type="paragraph" w:styleId="ListParagraph">
    <w:name w:val="List Paragraph"/>
    <w:basedOn w:val="Normal"/>
    <w:uiPriority w:val="34"/>
    <w:qFormat/>
    <w:rsid w:val="00A47CB5"/>
    <w:pPr>
      <w:ind w:left="720"/>
      <w:contextualSpacing/>
    </w:pPr>
  </w:style>
  <w:style w:type="character" w:styleId="FollowedHyperlink">
    <w:name w:val="FollowedHyperlink"/>
    <w:basedOn w:val="DefaultParagraphFont"/>
    <w:rsid w:val="009204C0"/>
    <w:rPr>
      <w:color w:val="800080" w:themeColor="followedHyperlink"/>
      <w:u w:val="single"/>
    </w:rPr>
  </w:style>
  <w:style w:type="paragraph" w:customStyle="1" w:styleId="AttorneyName">
    <w:name w:val="Attorney Name"/>
    <w:basedOn w:val="Normal"/>
    <w:rsid w:val="000C787D"/>
    <w:pPr>
      <w:spacing w:line="254" w:lineRule="exact"/>
    </w:pPr>
    <w:rPr>
      <w:sz w:val="20"/>
      <w:szCs w:val="20"/>
    </w:rPr>
  </w:style>
  <w:style w:type="character" w:customStyle="1" w:styleId="cosearchterm">
    <w:name w:val="co_searchterm"/>
    <w:basedOn w:val="DefaultParagraphFont"/>
    <w:rsid w:val="00BD2024"/>
  </w:style>
  <w:style w:type="character" w:customStyle="1" w:styleId="costarpage">
    <w:name w:val="co_starpage"/>
    <w:basedOn w:val="DefaultParagraphFont"/>
    <w:rsid w:val="00BD2024"/>
  </w:style>
  <w:style w:type="paragraph" w:styleId="Header">
    <w:name w:val="header"/>
    <w:basedOn w:val="Normal"/>
    <w:link w:val="HeaderChar"/>
    <w:rsid w:val="006A4DF8"/>
    <w:pPr>
      <w:tabs>
        <w:tab w:val="center" w:pos="4680"/>
        <w:tab w:val="right" w:pos="9360"/>
      </w:tabs>
    </w:pPr>
  </w:style>
  <w:style w:type="character" w:customStyle="1" w:styleId="HeaderChar">
    <w:name w:val="Header Char"/>
    <w:basedOn w:val="DefaultParagraphFont"/>
    <w:link w:val="Header"/>
    <w:rsid w:val="006A4DF8"/>
    <w:rPr>
      <w:sz w:val="26"/>
      <w:szCs w:val="26"/>
    </w:rPr>
  </w:style>
  <w:style w:type="character" w:styleId="Emphasis">
    <w:name w:val="Emphasis"/>
    <w:basedOn w:val="DefaultParagraphFont"/>
    <w:uiPriority w:val="20"/>
    <w:qFormat/>
    <w:rsid w:val="00AE6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336">
      <w:bodyDiv w:val="1"/>
      <w:marLeft w:val="0"/>
      <w:marRight w:val="0"/>
      <w:marTop w:val="0"/>
      <w:marBottom w:val="0"/>
      <w:divBdr>
        <w:top w:val="none" w:sz="0" w:space="0" w:color="auto"/>
        <w:left w:val="none" w:sz="0" w:space="0" w:color="auto"/>
        <w:bottom w:val="none" w:sz="0" w:space="0" w:color="auto"/>
        <w:right w:val="none" w:sz="0" w:space="0" w:color="auto"/>
      </w:divBdr>
      <w:divsChild>
        <w:div w:id="132986460">
          <w:marLeft w:val="0"/>
          <w:marRight w:val="0"/>
          <w:marTop w:val="0"/>
          <w:marBottom w:val="0"/>
          <w:divBdr>
            <w:top w:val="none" w:sz="0" w:space="0" w:color="auto"/>
            <w:left w:val="none" w:sz="0" w:space="0" w:color="auto"/>
            <w:bottom w:val="none" w:sz="0" w:space="0" w:color="auto"/>
            <w:right w:val="none" w:sz="0" w:space="0" w:color="auto"/>
          </w:divBdr>
          <w:divsChild>
            <w:div w:id="1339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3392">
      <w:bodyDiv w:val="1"/>
      <w:marLeft w:val="0"/>
      <w:marRight w:val="0"/>
      <w:marTop w:val="0"/>
      <w:marBottom w:val="0"/>
      <w:divBdr>
        <w:top w:val="none" w:sz="0" w:space="0" w:color="auto"/>
        <w:left w:val="none" w:sz="0" w:space="0" w:color="auto"/>
        <w:bottom w:val="none" w:sz="0" w:space="0" w:color="auto"/>
        <w:right w:val="none" w:sz="0" w:space="0" w:color="auto"/>
      </w:divBdr>
      <w:divsChild>
        <w:div w:id="522011874">
          <w:marLeft w:val="0"/>
          <w:marRight w:val="0"/>
          <w:marTop w:val="0"/>
          <w:marBottom w:val="0"/>
          <w:divBdr>
            <w:top w:val="none" w:sz="0" w:space="0" w:color="auto"/>
            <w:left w:val="none" w:sz="0" w:space="0" w:color="auto"/>
            <w:bottom w:val="none" w:sz="0" w:space="0" w:color="auto"/>
            <w:right w:val="none" w:sz="0" w:space="0" w:color="auto"/>
          </w:divBdr>
          <w:divsChild>
            <w:div w:id="5199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45862">
      <w:bodyDiv w:val="1"/>
      <w:marLeft w:val="0"/>
      <w:marRight w:val="0"/>
      <w:marTop w:val="0"/>
      <w:marBottom w:val="0"/>
      <w:divBdr>
        <w:top w:val="none" w:sz="0" w:space="0" w:color="auto"/>
        <w:left w:val="none" w:sz="0" w:space="0" w:color="auto"/>
        <w:bottom w:val="none" w:sz="0" w:space="0" w:color="auto"/>
        <w:right w:val="none" w:sz="0" w:space="0" w:color="auto"/>
      </w:divBdr>
      <w:divsChild>
        <w:div w:id="1006597297">
          <w:marLeft w:val="0"/>
          <w:marRight w:val="0"/>
          <w:marTop w:val="0"/>
          <w:marBottom w:val="0"/>
          <w:divBdr>
            <w:top w:val="none" w:sz="0" w:space="0" w:color="auto"/>
            <w:left w:val="none" w:sz="0" w:space="0" w:color="auto"/>
            <w:bottom w:val="none" w:sz="0" w:space="0" w:color="auto"/>
            <w:right w:val="none" w:sz="0" w:space="0" w:color="auto"/>
          </w:divBdr>
          <w:divsChild>
            <w:div w:id="7984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1882">
      <w:bodyDiv w:val="1"/>
      <w:marLeft w:val="0"/>
      <w:marRight w:val="0"/>
      <w:marTop w:val="0"/>
      <w:marBottom w:val="0"/>
      <w:divBdr>
        <w:top w:val="none" w:sz="0" w:space="0" w:color="auto"/>
        <w:left w:val="none" w:sz="0" w:space="0" w:color="auto"/>
        <w:bottom w:val="none" w:sz="0" w:space="0" w:color="auto"/>
        <w:right w:val="none" w:sz="0" w:space="0" w:color="auto"/>
      </w:divBdr>
    </w:div>
    <w:div w:id="1720855878">
      <w:bodyDiv w:val="1"/>
      <w:marLeft w:val="0"/>
      <w:marRight w:val="0"/>
      <w:marTop w:val="0"/>
      <w:marBottom w:val="0"/>
      <w:divBdr>
        <w:top w:val="none" w:sz="0" w:space="0" w:color="auto"/>
        <w:left w:val="none" w:sz="0" w:space="0" w:color="auto"/>
        <w:bottom w:val="none" w:sz="0" w:space="0" w:color="auto"/>
        <w:right w:val="none" w:sz="0" w:space="0" w:color="auto"/>
      </w:divBdr>
      <w:divsChild>
        <w:div w:id="744374636">
          <w:marLeft w:val="0"/>
          <w:marRight w:val="0"/>
          <w:marTop w:val="0"/>
          <w:marBottom w:val="0"/>
          <w:divBdr>
            <w:top w:val="none" w:sz="0" w:space="0" w:color="auto"/>
            <w:left w:val="none" w:sz="0" w:space="0" w:color="auto"/>
            <w:bottom w:val="none" w:sz="0" w:space="0" w:color="auto"/>
            <w:right w:val="none" w:sz="0" w:space="0" w:color="auto"/>
          </w:divBdr>
          <w:divsChild>
            <w:div w:id="677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_Minute_Entries@mail.maricop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rchive.azcentral.com/news/arizona/articles/20131027wintory-prosecutor-conduct-day-2.html" TargetMode="External"/><Relationship Id="rId4" Type="http://schemas.openxmlformats.org/officeDocument/2006/relationships/settings" Target="settings.xml"/><Relationship Id="rId9" Type="http://schemas.openxmlformats.org/officeDocument/2006/relationships/hyperlink" Target="mailto:steinfeldm@mail.marico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CB06A-339D-47E7-A918-09EBC030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2610</Words>
  <Characters>13838</Characters>
  <Application>Microsoft Office Word</Application>
  <DocSecurity>0</DocSecurity>
  <Lines>922</Lines>
  <Paragraphs>456</Paragraphs>
  <ScaleCrop>false</ScaleCrop>
  <HeadingPairs>
    <vt:vector size="2" baseType="variant">
      <vt:variant>
        <vt:lpstr>Title</vt:lpstr>
      </vt:variant>
      <vt:variant>
        <vt:i4>1</vt:i4>
      </vt:variant>
    </vt:vector>
  </HeadingPairs>
  <TitlesOfParts>
    <vt:vector size="1" baseType="lpstr">
      <vt:lpstr>Office of the Legal Defender</vt:lpstr>
    </vt:vector>
  </TitlesOfParts>
  <Company>Maricopa County</Company>
  <LinksUpToDate>false</LinksUpToDate>
  <CharactersWithSpaces>15992</CharactersWithSpaces>
  <SharedDoc>false</SharedDoc>
  <HLinks>
    <vt:vector size="12" baseType="variant">
      <vt:variant>
        <vt:i4>117</vt:i4>
      </vt:variant>
      <vt:variant>
        <vt:i4>47</vt:i4>
      </vt:variant>
      <vt:variant>
        <vt:i4>0</vt:i4>
      </vt:variant>
      <vt:variant>
        <vt:i4>5</vt:i4>
      </vt:variant>
      <vt:variant>
        <vt:lpwstr>mailto:minute@old.maricopa.gov</vt:lpwstr>
      </vt:variant>
      <vt:variant>
        <vt:lpwstr/>
      </vt:variant>
      <vt:variant>
        <vt:i4>117</vt:i4>
      </vt:variant>
      <vt:variant>
        <vt:i4>4</vt:i4>
      </vt:variant>
      <vt:variant>
        <vt:i4>0</vt:i4>
      </vt:variant>
      <vt:variant>
        <vt:i4>5</vt:i4>
      </vt:variant>
      <vt:variant>
        <vt:lpwstr>mailto:minute@old.maricopa.gov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Legal Defender</dc:title>
  <dc:creator>Marty Lieberman - OLDX</dc:creator>
  <cp:lastModifiedBy>Koschney, Linda</cp:lastModifiedBy>
  <cp:revision>2</cp:revision>
  <cp:lastPrinted>2017-01-05T20:56:00Z</cp:lastPrinted>
  <dcterms:created xsi:type="dcterms:W3CDTF">2017-01-10T21:12:00Z</dcterms:created>
  <dcterms:modified xsi:type="dcterms:W3CDTF">2017-01-10T21:12:00Z</dcterms:modified>
</cp:coreProperties>
</file>