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8A51BA" w14:paraId="7B9D2780" w14:textId="77777777" w:rsidTr="006F63FD">
        <w:trPr>
          <w:cantSplit/>
          <w:trHeight w:val="1987"/>
        </w:trPr>
        <w:tc>
          <w:tcPr>
            <w:tcW w:w="4836" w:type="dxa"/>
          </w:tcPr>
          <w:p w14:paraId="1E55A445" w14:textId="01D9A344" w:rsidR="00000C35" w:rsidRPr="008A51BA" w:rsidRDefault="00762365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8A51BA">
              <w:rPr>
                <w:sz w:val="28"/>
                <w:szCs w:val="28"/>
              </w:rPr>
              <w:t>Lisa M. Panahi, Bar No.</w:t>
            </w:r>
            <w:r w:rsidR="00E7099F">
              <w:rPr>
                <w:sz w:val="28"/>
                <w:szCs w:val="28"/>
              </w:rPr>
              <w:t xml:space="preserve"> 023421</w:t>
            </w:r>
            <w:r w:rsidR="00732169" w:rsidRPr="008A51BA">
              <w:rPr>
                <w:sz w:val="28"/>
                <w:szCs w:val="28"/>
              </w:rPr>
              <w:br/>
            </w:r>
            <w:r w:rsidR="00945593">
              <w:rPr>
                <w:sz w:val="28"/>
                <w:szCs w:val="28"/>
              </w:rPr>
              <w:t xml:space="preserve">Acting </w:t>
            </w:r>
            <w:r w:rsidR="006F63FD" w:rsidRPr="008A51BA">
              <w:rPr>
                <w:sz w:val="28"/>
                <w:szCs w:val="28"/>
              </w:rPr>
              <w:t>General Counsel</w:t>
            </w:r>
          </w:p>
          <w:p w14:paraId="568BAA88" w14:textId="77777777" w:rsidR="00494BDF" w:rsidRPr="008A51BA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8A51BA">
              <w:rPr>
                <w:sz w:val="28"/>
                <w:szCs w:val="28"/>
              </w:rPr>
              <w:t>State Bar of Arizona</w:t>
            </w:r>
          </w:p>
          <w:p w14:paraId="4719F77A" w14:textId="77777777" w:rsidR="00357F4D" w:rsidRPr="008A51BA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8A51BA">
              <w:rPr>
                <w:sz w:val="28"/>
                <w:szCs w:val="28"/>
              </w:rPr>
              <w:t>4201 N. 24th Street, Suite 100</w:t>
            </w:r>
          </w:p>
          <w:p w14:paraId="4A37D584" w14:textId="77777777" w:rsidR="00357F4D" w:rsidRPr="008A51BA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8A51BA">
              <w:rPr>
                <w:sz w:val="28"/>
                <w:szCs w:val="28"/>
              </w:rPr>
              <w:t>Phoenix, AZ  85016-6288</w:t>
            </w:r>
          </w:p>
          <w:p w14:paraId="526FA0B8" w14:textId="4E66E7B5" w:rsidR="006F63FD" w:rsidRPr="008A51BA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8A51BA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1F758C89" w14:textId="77777777" w:rsidR="00357F4D" w:rsidRPr="008A51BA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5701617E" w14:textId="77777777" w:rsidR="00357F4D" w:rsidRPr="008A51BA" w:rsidRDefault="00357F4D" w:rsidP="00735659">
      <w:pPr>
        <w:pStyle w:val="Court"/>
        <w:spacing w:line="508" w:lineRule="exact"/>
        <w:jc w:val="left"/>
        <w:rPr>
          <w:b/>
          <w:sz w:val="28"/>
          <w:szCs w:val="28"/>
        </w:rPr>
      </w:pPr>
    </w:p>
    <w:p w14:paraId="6B0612AF" w14:textId="77777777" w:rsidR="000C48A9" w:rsidRPr="008A51BA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8A51BA">
        <w:rPr>
          <w:b/>
          <w:sz w:val="28"/>
          <w:szCs w:val="28"/>
        </w:rPr>
        <w:t>IN THE SUPREME COURT</w:t>
      </w:r>
      <w:r w:rsidRPr="008A51BA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8A51BA" w14:paraId="4C97791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C3B3" w14:textId="77777777" w:rsidR="00357F4D" w:rsidRPr="008A51BA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8A51BA">
              <w:rPr>
                <w:sz w:val="28"/>
                <w:szCs w:val="28"/>
              </w:rPr>
              <w:t>In the Matter of:</w:t>
            </w:r>
          </w:p>
          <w:p w14:paraId="58AF84F8" w14:textId="4961F7A9" w:rsidR="00357F4D" w:rsidRPr="00945593" w:rsidRDefault="00E67511" w:rsidP="00945593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8A51BA">
              <w:rPr>
                <w:b/>
                <w:sz w:val="28"/>
                <w:szCs w:val="28"/>
              </w:rPr>
              <w:t xml:space="preserve">PETITION TO </w:t>
            </w:r>
            <w:r w:rsidR="00126E86" w:rsidRPr="008A51BA">
              <w:rPr>
                <w:b/>
                <w:sz w:val="28"/>
                <w:szCs w:val="28"/>
              </w:rPr>
              <w:t>AMEND RULE 38</w:t>
            </w:r>
            <w:r w:rsidR="007F5ACC" w:rsidRPr="008A51BA">
              <w:rPr>
                <w:b/>
                <w:sz w:val="28"/>
                <w:szCs w:val="28"/>
              </w:rPr>
              <w:t xml:space="preserve">, </w:t>
            </w:r>
            <w:r w:rsidR="00D53120">
              <w:rPr>
                <w:b/>
                <w:sz w:val="28"/>
                <w:szCs w:val="28"/>
              </w:rPr>
              <w:t>ARIZONA RULES OF SUPREME COURT</w:t>
            </w:r>
            <w:r w:rsidR="00945593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08D0A10" w14:textId="15E1EBFC" w:rsidR="00357F4D" w:rsidRPr="008A51BA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8A51BA">
              <w:rPr>
                <w:sz w:val="28"/>
                <w:szCs w:val="28"/>
              </w:rPr>
              <w:t>Supreme Court No. R-</w:t>
            </w:r>
            <w:r w:rsidR="00945593">
              <w:rPr>
                <w:sz w:val="28"/>
                <w:szCs w:val="28"/>
              </w:rPr>
              <w:t>17-</w:t>
            </w:r>
          </w:p>
          <w:p w14:paraId="1DC7FE34" w14:textId="77777777" w:rsidR="00357F4D" w:rsidRPr="008A51BA" w:rsidRDefault="007F5AC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8A51BA">
              <w:rPr>
                <w:b/>
                <w:sz w:val="28"/>
                <w:szCs w:val="28"/>
              </w:rPr>
              <w:t>PETITION</w:t>
            </w:r>
          </w:p>
          <w:p w14:paraId="1C6FC412" w14:textId="77777777" w:rsidR="00357F4D" w:rsidRPr="008A51BA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06C19C57" w14:textId="77777777" w:rsidR="00357F4D" w:rsidRPr="008A51BA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6A0E409F" w14:textId="77777777" w:rsidR="004331B2" w:rsidRPr="008A51BA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FD213F7" w14:textId="77777777" w:rsidR="001F591C" w:rsidRPr="008A51BA" w:rsidRDefault="007F5ACC" w:rsidP="00E311B7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8A51BA">
        <w:rPr>
          <w:sz w:val="28"/>
          <w:szCs w:val="28"/>
        </w:rPr>
        <w:t>Pursuant to Rule 28, Ariz. R. Sup. Ct., the State Bar of Arizona (“State Bar”) peti</w:t>
      </w:r>
      <w:r w:rsidR="00E63289" w:rsidRPr="008A51BA">
        <w:rPr>
          <w:sz w:val="28"/>
          <w:szCs w:val="28"/>
        </w:rPr>
        <w:t>tions the Court to amend Rule 38</w:t>
      </w:r>
      <w:r w:rsidRPr="008A51BA">
        <w:rPr>
          <w:sz w:val="28"/>
          <w:szCs w:val="28"/>
        </w:rPr>
        <w:t xml:space="preserve">, Ariz. R. Sup. Ct. </w:t>
      </w:r>
      <w:r w:rsidR="00CA42B0" w:rsidRPr="008A51BA">
        <w:rPr>
          <w:sz w:val="28"/>
          <w:szCs w:val="28"/>
        </w:rPr>
        <w:t xml:space="preserve"> T</w:t>
      </w:r>
      <w:r w:rsidRPr="008A51BA">
        <w:rPr>
          <w:sz w:val="28"/>
          <w:szCs w:val="28"/>
        </w:rPr>
        <w:t>he proposed amendment</w:t>
      </w:r>
      <w:r w:rsidR="00EE49DF" w:rsidRPr="008A51BA">
        <w:rPr>
          <w:sz w:val="28"/>
          <w:szCs w:val="28"/>
        </w:rPr>
        <w:t xml:space="preserve">s are </w:t>
      </w:r>
      <w:r w:rsidRPr="008A51BA">
        <w:rPr>
          <w:sz w:val="28"/>
          <w:szCs w:val="28"/>
        </w:rPr>
        <w:t>necessary to</w:t>
      </w:r>
      <w:r w:rsidR="00EE49DF" w:rsidRPr="008A51BA">
        <w:rPr>
          <w:sz w:val="28"/>
          <w:szCs w:val="28"/>
        </w:rPr>
        <w:t xml:space="preserve"> </w:t>
      </w:r>
      <w:r w:rsidR="00CA42B0" w:rsidRPr="008A51BA">
        <w:rPr>
          <w:sz w:val="28"/>
          <w:szCs w:val="28"/>
        </w:rPr>
        <w:t xml:space="preserve">correct minor errors in </w:t>
      </w:r>
      <w:r w:rsidR="00EE49DF" w:rsidRPr="008A51BA">
        <w:rPr>
          <w:sz w:val="28"/>
          <w:szCs w:val="28"/>
        </w:rPr>
        <w:t>the current version of the Rule,</w:t>
      </w:r>
      <w:r w:rsidR="00CA42B0" w:rsidRPr="008A51BA">
        <w:rPr>
          <w:sz w:val="28"/>
          <w:szCs w:val="28"/>
        </w:rPr>
        <w:t xml:space="preserve"> and to </w:t>
      </w:r>
      <w:r w:rsidR="00E63289" w:rsidRPr="008A51BA">
        <w:rPr>
          <w:sz w:val="28"/>
          <w:szCs w:val="28"/>
        </w:rPr>
        <w:t>clarify ambiguities in the Rule</w:t>
      </w:r>
      <w:r w:rsidR="00CA42B0" w:rsidRPr="008A51BA">
        <w:rPr>
          <w:sz w:val="28"/>
          <w:szCs w:val="28"/>
        </w:rPr>
        <w:t xml:space="preserve"> pertaining</w:t>
      </w:r>
      <w:r w:rsidR="00400490" w:rsidRPr="008A51BA">
        <w:rPr>
          <w:sz w:val="28"/>
          <w:szCs w:val="28"/>
        </w:rPr>
        <w:t xml:space="preserve"> to</w:t>
      </w:r>
      <w:r w:rsidR="00CA42B0" w:rsidRPr="008A51BA">
        <w:rPr>
          <w:sz w:val="28"/>
          <w:szCs w:val="28"/>
        </w:rPr>
        <w:t xml:space="preserve"> in-house counsel registration with the State Bar. </w:t>
      </w:r>
    </w:p>
    <w:p w14:paraId="7954BC66" w14:textId="77777777" w:rsidR="007F5ACC" w:rsidRPr="008A51BA" w:rsidRDefault="00925DE5" w:rsidP="00E311B7">
      <w:pPr>
        <w:pStyle w:val="Body"/>
        <w:widowControl w:val="0"/>
        <w:spacing w:line="480" w:lineRule="auto"/>
        <w:ind w:firstLine="0"/>
        <w:jc w:val="center"/>
        <w:rPr>
          <w:b/>
          <w:sz w:val="28"/>
          <w:szCs w:val="28"/>
        </w:rPr>
      </w:pPr>
      <w:r w:rsidRPr="008A51BA">
        <w:rPr>
          <w:b/>
          <w:sz w:val="28"/>
          <w:szCs w:val="28"/>
        </w:rPr>
        <w:t>DISCUSSION</w:t>
      </w:r>
    </w:p>
    <w:p w14:paraId="42CC94CF" w14:textId="77777777" w:rsidR="00EA64CA" w:rsidRPr="008A51BA" w:rsidRDefault="00EA64CA" w:rsidP="00EA64CA">
      <w:pPr>
        <w:pStyle w:val="Body"/>
        <w:widowControl w:val="0"/>
        <w:numPr>
          <w:ilvl w:val="0"/>
          <w:numId w:val="17"/>
        </w:numPr>
        <w:spacing w:line="480" w:lineRule="auto"/>
        <w:jc w:val="both"/>
        <w:rPr>
          <w:b/>
          <w:sz w:val="28"/>
          <w:szCs w:val="28"/>
        </w:rPr>
      </w:pPr>
      <w:r w:rsidRPr="008A51BA">
        <w:rPr>
          <w:b/>
          <w:sz w:val="28"/>
          <w:szCs w:val="28"/>
        </w:rPr>
        <w:t>Rule 38(e)</w:t>
      </w:r>
      <w:bookmarkStart w:id="2" w:name="_GoBack"/>
      <w:bookmarkEnd w:id="2"/>
    </w:p>
    <w:p w14:paraId="3D759780" w14:textId="3818B5E9" w:rsidR="00DC28CD" w:rsidRPr="008A51BA" w:rsidRDefault="00EA64CA" w:rsidP="00EA64CA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8A51BA">
        <w:rPr>
          <w:sz w:val="28"/>
          <w:szCs w:val="28"/>
        </w:rPr>
        <w:t>The State Bar has observed</w:t>
      </w:r>
      <w:r w:rsidR="00DC28CD" w:rsidRPr="008A51BA">
        <w:rPr>
          <w:sz w:val="28"/>
          <w:szCs w:val="28"/>
        </w:rPr>
        <w:t xml:space="preserve"> minor errors in the cu</w:t>
      </w:r>
      <w:r w:rsidR="00C54931" w:rsidRPr="008A51BA">
        <w:rPr>
          <w:sz w:val="28"/>
          <w:szCs w:val="28"/>
        </w:rPr>
        <w:t>rrent draft of Rule 38</w:t>
      </w:r>
      <w:r w:rsidRPr="008A51BA">
        <w:rPr>
          <w:sz w:val="28"/>
          <w:szCs w:val="28"/>
        </w:rPr>
        <w:t>(e)</w:t>
      </w:r>
      <w:r w:rsidR="00C54931" w:rsidRPr="008A51BA">
        <w:rPr>
          <w:sz w:val="28"/>
          <w:szCs w:val="28"/>
        </w:rPr>
        <w:t xml:space="preserve"> and takes this opportunity to bring the</w:t>
      </w:r>
      <w:r w:rsidRPr="008A51BA">
        <w:rPr>
          <w:sz w:val="28"/>
          <w:szCs w:val="28"/>
        </w:rPr>
        <w:t>se oversights to the</w:t>
      </w:r>
      <w:r w:rsidR="00C54931" w:rsidRPr="008A51BA">
        <w:rPr>
          <w:sz w:val="28"/>
          <w:szCs w:val="28"/>
        </w:rPr>
        <w:t xml:space="preserve"> Court’s attention for correction</w:t>
      </w:r>
      <w:r w:rsidR="00DC28CD" w:rsidRPr="008A51BA">
        <w:rPr>
          <w:sz w:val="28"/>
          <w:szCs w:val="28"/>
        </w:rPr>
        <w:t xml:space="preserve">. The errors are noted in </w:t>
      </w:r>
      <w:r w:rsidR="00C54931" w:rsidRPr="008A51BA">
        <w:rPr>
          <w:sz w:val="28"/>
          <w:szCs w:val="28"/>
        </w:rPr>
        <w:t>Rule 38(e)(1) and Rule 38(e)(3)(A). The proposed corrections to these errors are refl</w:t>
      </w:r>
      <w:r w:rsidR="008A51BA">
        <w:rPr>
          <w:sz w:val="28"/>
          <w:szCs w:val="28"/>
        </w:rPr>
        <w:t xml:space="preserve">ected in the attached Appendix and consist of </w:t>
      </w:r>
      <w:r w:rsidR="008A51BA">
        <w:rPr>
          <w:sz w:val="28"/>
          <w:szCs w:val="28"/>
        </w:rPr>
        <w:lastRenderedPageBreak/>
        <w:t>simply adding the word “States” following “United” in Rule 38(e)(1), and changing “Rule 38(h)” to “Rule 38(a)” in Rule 38(e)</w:t>
      </w:r>
      <w:r w:rsidR="00D65710">
        <w:rPr>
          <w:sz w:val="28"/>
          <w:szCs w:val="28"/>
        </w:rPr>
        <w:t xml:space="preserve">(3)(A) for correct citation. </w:t>
      </w:r>
    </w:p>
    <w:p w14:paraId="6341DC38" w14:textId="77777777" w:rsidR="00EA64CA" w:rsidRPr="008A51BA" w:rsidRDefault="00EA64CA" w:rsidP="00EA64CA">
      <w:pPr>
        <w:pStyle w:val="Body"/>
        <w:widowControl w:val="0"/>
        <w:numPr>
          <w:ilvl w:val="0"/>
          <w:numId w:val="17"/>
        </w:numPr>
        <w:spacing w:line="480" w:lineRule="auto"/>
        <w:jc w:val="both"/>
        <w:rPr>
          <w:b/>
          <w:sz w:val="28"/>
          <w:szCs w:val="28"/>
        </w:rPr>
      </w:pPr>
      <w:r w:rsidRPr="008A51BA">
        <w:rPr>
          <w:b/>
          <w:sz w:val="28"/>
          <w:szCs w:val="28"/>
        </w:rPr>
        <w:t>Rule 38(h)</w:t>
      </w:r>
    </w:p>
    <w:p w14:paraId="70AA3E90" w14:textId="77777777" w:rsidR="00F5281A" w:rsidRPr="008A51BA" w:rsidRDefault="00C54931" w:rsidP="00945593">
      <w:pPr>
        <w:spacing w:line="480" w:lineRule="auto"/>
        <w:jc w:val="both"/>
        <w:rPr>
          <w:sz w:val="28"/>
          <w:szCs w:val="28"/>
        </w:rPr>
      </w:pPr>
      <w:r w:rsidRPr="008A51BA">
        <w:rPr>
          <w:sz w:val="28"/>
          <w:szCs w:val="28"/>
        </w:rPr>
        <w:tab/>
      </w:r>
      <w:r w:rsidR="00BD39C2" w:rsidRPr="008A51BA">
        <w:rPr>
          <w:sz w:val="28"/>
          <w:szCs w:val="28"/>
        </w:rPr>
        <w:t xml:space="preserve">The State Bar also seeks to amend Rule 38(h), Practice Pending Admission on Motion, to clarify the annual assessment amount owed to the Client Protection Fund </w:t>
      </w:r>
      <w:r w:rsidR="00F5281A" w:rsidRPr="008A51BA">
        <w:rPr>
          <w:sz w:val="28"/>
          <w:szCs w:val="28"/>
        </w:rPr>
        <w:t xml:space="preserve">(the “Fund”) </w:t>
      </w:r>
      <w:r w:rsidR="00BD39C2" w:rsidRPr="008A51BA">
        <w:rPr>
          <w:sz w:val="28"/>
          <w:szCs w:val="28"/>
        </w:rPr>
        <w:t>by an a</w:t>
      </w:r>
      <w:r w:rsidR="00B317BC">
        <w:rPr>
          <w:sz w:val="28"/>
          <w:szCs w:val="28"/>
        </w:rPr>
        <w:t>pplicant</w:t>
      </w:r>
      <w:r w:rsidR="00BD39C2" w:rsidRPr="008A51BA">
        <w:rPr>
          <w:sz w:val="28"/>
          <w:szCs w:val="28"/>
        </w:rPr>
        <w:t xml:space="preserve"> </w:t>
      </w:r>
      <w:r w:rsidR="00EA64CA" w:rsidRPr="008A51BA">
        <w:rPr>
          <w:sz w:val="28"/>
          <w:szCs w:val="28"/>
        </w:rPr>
        <w:t>who intends</w:t>
      </w:r>
      <w:r w:rsidR="00BD39C2" w:rsidRPr="008A51BA">
        <w:rPr>
          <w:sz w:val="28"/>
          <w:szCs w:val="28"/>
        </w:rPr>
        <w:t xml:space="preserve"> to practice pending admissi</w:t>
      </w:r>
      <w:r w:rsidR="00EA64CA" w:rsidRPr="008A51BA">
        <w:rPr>
          <w:sz w:val="28"/>
          <w:szCs w:val="28"/>
        </w:rPr>
        <w:t>on</w:t>
      </w:r>
      <w:r w:rsidR="00BD39C2" w:rsidRPr="008A51BA">
        <w:rPr>
          <w:sz w:val="28"/>
          <w:szCs w:val="28"/>
        </w:rPr>
        <w:t xml:space="preserve">. </w:t>
      </w:r>
      <w:r w:rsidR="00F5281A" w:rsidRPr="008A51BA">
        <w:rPr>
          <w:sz w:val="28"/>
          <w:szCs w:val="28"/>
        </w:rPr>
        <w:t>In</w:t>
      </w:r>
      <w:r w:rsidR="00BD39C2" w:rsidRPr="008A51BA">
        <w:rPr>
          <w:sz w:val="28"/>
          <w:szCs w:val="28"/>
        </w:rPr>
        <w:t xml:space="preserve"> January 2016</w:t>
      </w:r>
      <w:r w:rsidR="00EA64CA" w:rsidRPr="008A51BA">
        <w:rPr>
          <w:sz w:val="28"/>
          <w:szCs w:val="28"/>
        </w:rPr>
        <w:t xml:space="preserve">, </w:t>
      </w:r>
      <w:r w:rsidR="00F5281A" w:rsidRPr="008A51BA">
        <w:rPr>
          <w:sz w:val="28"/>
          <w:szCs w:val="28"/>
        </w:rPr>
        <w:t>this Court ado</w:t>
      </w:r>
      <w:r w:rsidR="008E7AC3" w:rsidRPr="008A51BA">
        <w:rPr>
          <w:sz w:val="28"/>
          <w:szCs w:val="28"/>
        </w:rPr>
        <w:t>pted practice pending admission</w:t>
      </w:r>
      <w:r w:rsidR="00F5281A" w:rsidRPr="008A51BA">
        <w:rPr>
          <w:sz w:val="28"/>
          <w:szCs w:val="28"/>
        </w:rPr>
        <w:t xml:space="preserve"> </w:t>
      </w:r>
      <w:r w:rsidR="00EA64CA" w:rsidRPr="008A51BA">
        <w:rPr>
          <w:sz w:val="28"/>
          <w:szCs w:val="28"/>
        </w:rPr>
        <w:t>conditioned on the terms set forth in Rule 38(h)</w:t>
      </w:r>
      <w:r w:rsidR="00BD39C2" w:rsidRPr="008A51BA">
        <w:rPr>
          <w:sz w:val="28"/>
          <w:szCs w:val="28"/>
        </w:rPr>
        <w:t xml:space="preserve">. One </w:t>
      </w:r>
      <w:r w:rsidR="00F5281A" w:rsidRPr="008A51BA">
        <w:rPr>
          <w:sz w:val="28"/>
          <w:szCs w:val="28"/>
        </w:rPr>
        <w:t xml:space="preserve">of these terms requires an applicant to </w:t>
      </w:r>
      <w:r w:rsidR="00BD39C2" w:rsidRPr="008A51BA">
        <w:rPr>
          <w:sz w:val="28"/>
          <w:szCs w:val="28"/>
        </w:rPr>
        <w:t xml:space="preserve">“[pay] the annual assessment to the Client Protection Fund.” </w:t>
      </w:r>
      <w:r w:rsidR="00F5281A" w:rsidRPr="008A51BA">
        <w:rPr>
          <w:sz w:val="28"/>
          <w:szCs w:val="28"/>
        </w:rPr>
        <w:t xml:space="preserve">Rule 38(h)(1)(H). </w:t>
      </w:r>
      <w:r w:rsidR="00BD39C2" w:rsidRPr="008A51BA">
        <w:rPr>
          <w:sz w:val="28"/>
          <w:szCs w:val="28"/>
        </w:rPr>
        <w:t>Following the adoption of this Rule,</w:t>
      </w:r>
      <w:r w:rsidR="00F5281A" w:rsidRPr="008A51BA">
        <w:rPr>
          <w:sz w:val="28"/>
          <w:szCs w:val="28"/>
        </w:rPr>
        <w:t xml:space="preserve"> applicants seeking to pay the Fund assessment</w:t>
      </w:r>
      <w:r w:rsidR="009238D3">
        <w:rPr>
          <w:sz w:val="28"/>
          <w:szCs w:val="28"/>
        </w:rPr>
        <w:t xml:space="preserve"> have</w:t>
      </w:r>
      <w:r w:rsidR="00F5281A" w:rsidRPr="008A51BA">
        <w:rPr>
          <w:sz w:val="28"/>
          <w:szCs w:val="28"/>
        </w:rPr>
        <w:t xml:space="preserve"> inquired</w:t>
      </w:r>
      <w:r w:rsidR="009238D3">
        <w:rPr>
          <w:sz w:val="28"/>
          <w:szCs w:val="28"/>
        </w:rPr>
        <w:t xml:space="preserve"> to the State Bar</w:t>
      </w:r>
      <w:r w:rsidR="00F5281A" w:rsidRPr="008A51BA">
        <w:rPr>
          <w:sz w:val="28"/>
          <w:szCs w:val="28"/>
        </w:rPr>
        <w:t xml:space="preserve"> about the amount assessed t</w:t>
      </w:r>
      <w:r w:rsidR="008E7AC3" w:rsidRPr="008A51BA">
        <w:rPr>
          <w:sz w:val="28"/>
          <w:szCs w:val="28"/>
        </w:rPr>
        <w:t>o applicants</w:t>
      </w:r>
      <w:r w:rsidR="00F5281A" w:rsidRPr="008A51BA">
        <w:rPr>
          <w:sz w:val="28"/>
          <w:szCs w:val="28"/>
        </w:rPr>
        <w:t xml:space="preserve"> under Rule 38(h). </w:t>
      </w:r>
    </w:p>
    <w:p w14:paraId="4E2EFB92" w14:textId="66033E71" w:rsidR="00EA64CA" w:rsidRPr="008A51BA" w:rsidRDefault="00F5281A" w:rsidP="00945593">
      <w:pPr>
        <w:spacing w:line="480" w:lineRule="auto"/>
        <w:jc w:val="both"/>
        <w:rPr>
          <w:sz w:val="28"/>
          <w:szCs w:val="28"/>
        </w:rPr>
      </w:pPr>
      <w:r w:rsidRPr="008A51BA">
        <w:rPr>
          <w:sz w:val="28"/>
          <w:szCs w:val="28"/>
        </w:rPr>
        <w:tab/>
        <w:t>Rule 32(c)(8)</w:t>
      </w:r>
      <w:r w:rsidR="00B843D8">
        <w:rPr>
          <w:sz w:val="28"/>
          <w:szCs w:val="28"/>
        </w:rPr>
        <w:t xml:space="preserve"> clearly</w:t>
      </w:r>
      <w:r w:rsidRPr="008A51BA">
        <w:rPr>
          <w:sz w:val="28"/>
          <w:szCs w:val="28"/>
        </w:rPr>
        <w:t xml:space="preserve"> sets for</w:t>
      </w:r>
      <w:r w:rsidR="009238D3">
        <w:rPr>
          <w:sz w:val="28"/>
          <w:szCs w:val="28"/>
        </w:rPr>
        <w:t xml:space="preserve">th the amount owed by State Bar </w:t>
      </w:r>
      <w:r w:rsidRPr="008A51BA">
        <w:rPr>
          <w:sz w:val="28"/>
          <w:szCs w:val="28"/>
        </w:rPr>
        <w:t>active and inactive members</w:t>
      </w:r>
      <w:r w:rsidR="009238D3">
        <w:rPr>
          <w:sz w:val="28"/>
          <w:szCs w:val="28"/>
        </w:rPr>
        <w:t xml:space="preserve"> who are not exempt,</w:t>
      </w:r>
      <w:r w:rsidRPr="008A51BA">
        <w:rPr>
          <w:sz w:val="28"/>
          <w:szCs w:val="28"/>
        </w:rPr>
        <w:t xml:space="preserve"> and mandates these members pay the annual assessment to </w:t>
      </w:r>
      <w:r w:rsidR="00850690">
        <w:rPr>
          <w:sz w:val="28"/>
          <w:szCs w:val="28"/>
        </w:rPr>
        <w:t>the Fund as set by the Court. However, n</w:t>
      </w:r>
      <w:r w:rsidRPr="008A51BA">
        <w:rPr>
          <w:sz w:val="28"/>
          <w:szCs w:val="28"/>
        </w:rPr>
        <w:t xml:space="preserve">either Rule 32(c) </w:t>
      </w:r>
      <w:r w:rsidR="00321C14" w:rsidRPr="008A51BA">
        <w:rPr>
          <w:sz w:val="28"/>
          <w:szCs w:val="28"/>
        </w:rPr>
        <w:t>n</w:t>
      </w:r>
      <w:r w:rsidRPr="008A51BA">
        <w:rPr>
          <w:sz w:val="28"/>
          <w:szCs w:val="28"/>
        </w:rPr>
        <w:t xml:space="preserve">or Rule 38(h) is instructive on the amount that applicants intending to practice pending admission must pay to the Fund. </w:t>
      </w:r>
    </w:p>
    <w:p w14:paraId="7B75E12F" w14:textId="77777777" w:rsidR="00F5281A" w:rsidRPr="008A51BA" w:rsidRDefault="00F5281A" w:rsidP="00945593">
      <w:pPr>
        <w:spacing w:line="480" w:lineRule="auto"/>
        <w:jc w:val="both"/>
        <w:rPr>
          <w:sz w:val="28"/>
          <w:szCs w:val="28"/>
        </w:rPr>
      </w:pPr>
      <w:r w:rsidRPr="008A51BA">
        <w:rPr>
          <w:sz w:val="28"/>
          <w:szCs w:val="28"/>
        </w:rPr>
        <w:tab/>
        <w:t xml:space="preserve">Because of this ambiguity, the State Bar seeks to amend Rule 38(h) by adding the language set forth in the Appendix to clarify that applicants </w:t>
      </w:r>
      <w:r w:rsidR="00656B26" w:rsidRPr="008A51BA">
        <w:rPr>
          <w:sz w:val="28"/>
          <w:szCs w:val="28"/>
        </w:rPr>
        <w:t xml:space="preserve">intending to practice under this Rule must pay to the Fund an assessment </w:t>
      </w:r>
      <w:r w:rsidR="00850690">
        <w:rPr>
          <w:sz w:val="28"/>
          <w:szCs w:val="28"/>
        </w:rPr>
        <w:t>in the amount owed by active and inactive members</w:t>
      </w:r>
      <w:r w:rsidR="00656B26" w:rsidRPr="008A51BA">
        <w:rPr>
          <w:sz w:val="28"/>
          <w:szCs w:val="28"/>
        </w:rPr>
        <w:t xml:space="preserve"> for the applicable year. </w:t>
      </w:r>
    </w:p>
    <w:p w14:paraId="744CBD69" w14:textId="77777777" w:rsidR="00321C14" w:rsidRPr="008A51BA" w:rsidRDefault="00321C14" w:rsidP="00321C14">
      <w:pPr>
        <w:pStyle w:val="ListParagraph"/>
        <w:numPr>
          <w:ilvl w:val="0"/>
          <w:numId w:val="17"/>
        </w:numPr>
        <w:spacing w:line="480" w:lineRule="auto"/>
        <w:rPr>
          <w:rStyle w:val="BodyTextChar"/>
          <w:b/>
          <w:sz w:val="28"/>
          <w:szCs w:val="28"/>
        </w:rPr>
      </w:pPr>
      <w:r w:rsidRPr="008A51BA">
        <w:rPr>
          <w:rStyle w:val="BodyTextChar"/>
          <w:b/>
          <w:sz w:val="28"/>
          <w:szCs w:val="28"/>
        </w:rPr>
        <w:lastRenderedPageBreak/>
        <w:t>Rule 38(a) and Rule 38 Comment</w:t>
      </w:r>
    </w:p>
    <w:p w14:paraId="3F0B505E" w14:textId="77777777" w:rsidR="00EA64CA" w:rsidRPr="008A51BA" w:rsidRDefault="00321C14" w:rsidP="00945593">
      <w:pPr>
        <w:spacing w:line="480" w:lineRule="auto"/>
        <w:jc w:val="both"/>
        <w:rPr>
          <w:rStyle w:val="BodyTextChar"/>
          <w:sz w:val="28"/>
          <w:szCs w:val="28"/>
        </w:rPr>
      </w:pPr>
      <w:r w:rsidRPr="008A51BA">
        <w:rPr>
          <w:rStyle w:val="BodyTextChar"/>
          <w:sz w:val="28"/>
          <w:szCs w:val="28"/>
        </w:rPr>
        <w:tab/>
        <w:t>The State Bar has</w:t>
      </w:r>
      <w:r w:rsidR="00640069">
        <w:rPr>
          <w:rStyle w:val="BodyTextChar"/>
          <w:sz w:val="28"/>
          <w:szCs w:val="28"/>
        </w:rPr>
        <w:t xml:space="preserve"> also</w:t>
      </w:r>
      <w:r w:rsidRPr="008A51BA">
        <w:rPr>
          <w:rStyle w:val="BodyTextChar"/>
          <w:sz w:val="28"/>
          <w:szCs w:val="28"/>
        </w:rPr>
        <w:t xml:space="preserve"> received several inquiries reg</w:t>
      </w:r>
      <w:r w:rsidR="00A068F1" w:rsidRPr="008A51BA">
        <w:rPr>
          <w:rStyle w:val="BodyTextChar"/>
          <w:sz w:val="28"/>
          <w:szCs w:val="28"/>
        </w:rPr>
        <w:t>arding the interpretation of Arizona’s</w:t>
      </w:r>
      <w:r w:rsidRPr="008A51BA">
        <w:rPr>
          <w:rStyle w:val="BodyTextChar"/>
          <w:sz w:val="28"/>
          <w:szCs w:val="28"/>
        </w:rPr>
        <w:t xml:space="preserve"> in-house counsel registration rule, Rule 38(a)</w:t>
      </w:r>
      <w:r w:rsidR="00512E98" w:rsidRPr="008A51BA">
        <w:rPr>
          <w:rStyle w:val="BodyTextChar"/>
          <w:sz w:val="28"/>
          <w:szCs w:val="28"/>
        </w:rPr>
        <w:t>,</w:t>
      </w:r>
      <w:r w:rsidR="00A068F1" w:rsidRPr="008A51BA">
        <w:rPr>
          <w:rStyle w:val="BodyTextChar"/>
          <w:sz w:val="28"/>
          <w:szCs w:val="28"/>
        </w:rPr>
        <w:t xml:space="preserve"> and the Comment to Rule 38. These inquiries have resulted in</w:t>
      </w:r>
      <w:r w:rsidRPr="008A51BA">
        <w:rPr>
          <w:rStyle w:val="BodyTextChar"/>
          <w:sz w:val="28"/>
          <w:szCs w:val="28"/>
        </w:rPr>
        <w:t xml:space="preserve"> the</w:t>
      </w:r>
      <w:r w:rsidR="00A068F1" w:rsidRPr="008A51BA">
        <w:rPr>
          <w:rStyle w:val="BodyTextChar"/>
          <w:sz w:val="28"/>
          <w:szCs w:val="28"/>
        </w:rPr>
        <w:t xml:space="preserve"> State Bar taking</w:t>
      </w:r>
      <w:r w:rsidRPr="008A51BA">
        <w:rPr>
          <w:rStyle w:val="BodyTextChar"/>
          <w:sz w:val="28"/>
          <w:szCs w:val="28"/>
        </w:rPr>
        <w:t xml:space="preserve"> notice of obscure provisions in this </w:t>
      </w:r>
      <w:r w:rsidR="00454085" w:rsidRPr="008A51BA">
        <w:rPr>
          <w:rStyle w:val="BodyTextChar"/>
          <w:sz w:val="28"/>
          <w:szCs w:val="28"/>
        </w:rPr>
        <w:t>Rule and the Comment. T</w:t>
      </w:r>
      <w:r w:rsidR="00B62BE5" w:rsidRPr="008A51BA">
        <w:rPr>
          <w:rStyle w:val="BodyTextChar"/>
          <w:sz w:val="28"/>
          <w:szCs w:val="28"/>
        </w:rPr>
        <w:t>his Petition seeks to clarify the obscurities by delineating the application of this Rule</w:t>
      </w:r>
      <w:r w:rsidR="00C772A5">
        <w:rPr>
          <w:rStyle w:val="BodyTextChar"/>
          <w:sz w:val="28"/>
          <w:szCs w:val="28"/>
        </w:rPr>
        <w:t xml:space="preserve"> and clarifying the language in the Comment</w:t>
      </w:r>
      <w:r w:rsidR="00B62BE5" w:rsidRPr="008A51BA">
        <w:rPr>
          <w:rStyle w:val="BodyTextChar"/>
          <w:sz w:val="28"/>
          <w:szCs w:val="28"/>
        </w:rPr>
        <w:t xml:space="preserve">. </w:t>
      </w:r>
    </w:p>
    <w:p w14:paraId="3016FD4B" w14:textId="257F64EC" w:rsidR="001F4F37" w:rsidRPr="008A51BA" w:rsidRDefault="00A13CF2" w:rsidP="00945593">
      <w:pPr>
        <w:spacing w:line="480" w:lineRule="auto"/>
        <w:jc w:val="both"/>
        <w:rPr>
          <w:rStyle w:val="BodyTextChar"/>
          <w:sz w:val="28"/>
          <w:szCs w:val="28"/>
        </w:rPr>
      </w:pPr>
      <w:r w:rsidRPr="008A51BA">
        <w:rPr>
          <w:rStyle w:val="BodyTextChar"/>
          <w:sz w:val="28"/>
          <w:szCs w:val="28"/>
        </w:rPr>
        <w:tab/>
      </w:r>
      <w:r w:rsidR="00D15CA4" w:rsidRPr="008A51BA">
        <w:rPr>
          <w:rStyle w:val="BodyTextChar"/>
          <w:sz w:val="28"/>
          <w:szCs w:val="28"/>
        </w:rPr>
        <w:t xml:space="preserve">The State Bar respectfully requests that Rule 38(a) include the word “single” in reference to the employment upon which the in-house counsel registration is premised. </w:t>
      </w:r>
      <w:r w:rsidR="001F4F37" w:rsidRPr="008A51BA">
        <w:rPr>
          <w:rStyle w:val="BodyTextChar"/>
          <w:sz w:val="28"/>
          <w:szCs w:val="28"/>
        </w:rPr>
        <w:t>After reading Rule 38(a) in totality, one may infer that an Arizona registered in-house counsel may only be employed by one entity, which can include its parent subsi</w:t>
      </w:r>
      <w:r w:rsidR="00B62BE5" w:rsidRPr="008A51BA">
        <w:rPr>
          <w:rStyle w:val="BodyTextChar"/>
          <w:sz w:val="28"/>
          <w:szCs w:val="28"/>
        </w:rPr>
        <w:t>diaries and/or affiliates; however, b</w:t>
      </w:r>
      <w:r w:rsidR="001F4F37" w:rsidRPr="008A51BA">
        <w:rPr>
          <w:rStyle w:val="BodyTextChar"/>
          <w:sz w:val="28"/>
          <w:szCs w:val="28"/>
        </w:rPr>
        <w:t xml:space="preserve">ecause the black letter of the Rule does not explicitly limit the number of employers, there is an element of ambiguity. The State Bar seeks to clarify </w:t>
      </w:r>
      <w:r w:rsidR="00B62BE5" w:rsidRPr="008A51BA">
        <w:rPr>
          <w:rStyle w:val="BodyTextChar"/>
          <w:sz w:val="28"/>
          <w:szCs w:val="28"/>
        </w:rPr>
        <w:t>that in-house counsel registration</w:t>
      </w:r>
      <w:r w:rsidR="001F4F37" w:rsidRPr="008A51BA">
        <w:rPr>
          <w:rStyle w:val="BodyTextChar"/>
          <w:sz w:val="28"/>
          <w:szCs w:val="28"/>
        </w:rPr>
        <w:t xml:space="preserve"> </w:t>
      </w:r>
      <w:r w:rsidR="00522CB6" w:rsidRPr="008A51BA">
        <w:rPr>
          <w:rStyle w:val="BodyTextChar"/>
          <w:sz w:val="28"/>
          <w:szCs w:val="28"/>
        </w:rPr>
        <w:t>is intended to apply to lawyer</w:t>
      </w:r>
      <w:r w:rsidR="001F4F37" w:rsidRPr="008A51BA">
        <w:rPr>
          <w:rStyle w:val="BodyTextChar"/>
          <w:sz w:val="28"/>
          <w:szCs w:val="28"/>
        </w:rPr>
        <w:t>s who</w:t>
      </w:r>
      <w:r w:rsidR="00B62BE5" w:rsidRPr="008A51BA">
        <w:rPr>
          <w:rStyle w:val="BodyTextChar"/>
          <w:sz w:val="28"/>
          <w:szCs w:val="28"/>
        </w:rPr>
        <w:t xml:space="preserve"> otherwise meet the requirements and</w:t>
      </w:r>
      <w:r w:rsidR="001F4F37" w:rsidRPr="008A51BA">
        <w:rPr>
          <w:rStyle w:val="BodyTextChar"/>
          <w:sz w:val="28"/>
          <w:szCs w:val="28"/>
        </w:rPr>
        <w:t xml:space="preserve"> are em</w:t>
      </w:r>
      <w:r w:rsidR="00B62BE5" w:rsidRPr="008A51BA">
        <w:rPr>
          <w:rStyle w:val="BodyTextChar"/>
          <w:sz w:val="28"/>
          <w:szCs w:val="28"/>
        </w:rPr>
        <w:t xml:space="preserve">ployed by </w:t>
      </w:r>
      <w:r w:rsidR="00B62BE5" w:rsidRPr="008A51BA">
        <w:rPr>
          <w:rStyle w:val="BodyTextChar"/>
          <w:sz w:val="28"/>
          <w:szCs w:val="28"/>
          <w:u w:val="single"/>
        </w:rPr>
        <w:t>one</w:t>
      </w:r>
      <w:r w:rsidR="00B62BE5" w:rsidRPr="008A51BA">
        <w:rPr>
          <w:rStyle w:val="BodyTextChar"/>
          <w:sz w:val="28"/>
          <w:szCs w:val="28"/>
        </w:rPr>
        <w:t xml:space="preserve"> employing entity.</w:t>
      </w:r>
      <w:r w:rsidR="001F4F37" w:rsidRPr="008A51BA">
        <w:rPr>
          <w:rStyle w:val="BodyTextChar"/>
          <w:sz w:val="28"/>
          <w:szCs w:val="28"/>
        </w:rPr>
        <w:t xml:space="preserve"> Therefore, we respectfully petition the Court to amend Rule 38(a)</w:t>
      </w:r>
      <w:r w:rsidR="00B62BE5" w:rsidRPr="008A51BA">
        <w:rPr>
          <w:rStyle w:val="BodyTextChar"/>
          <w:sz w:val="28"/>
          <w:szCs w:val="28"/>
        </w:rPr>
        <w:t xml:space="preserve"> to include the word “single</w:t>
      </w:r>
      <w:r w:rsidR="001F4F37" w:rsidRPr="008A51BA">
        <w:rPr>
          <w:rStyle w:val="BodyTextChar"/>
          <w:sz w:val="28"/>
          <w:szCs w:val="28"/>
        </w:rPr>
        <w:t>,</w:t>
      </w:r>
      <w:r w:rsidR="00B62BE5" w:rsidRPr="008A51BA">
        <w:rPr>
          <w:rStyle w:val="BodyTextChar"/>
          <w:sz w:val="28"/>
          <w:szCs w:val="28"/>
        </w:rPr>
        <w:t>”</w:t>
      </w:r>
      <w:r w:rsidR="001F4F37" w:rsidRPr="008A51BA">
        <w:rPr>
          <w:rStyle w:val="BodyTextChar"/>
          <w:sz w:val="28"/>
          <w:szCs w:val="28"/>
        </w:rPr>
        <w:t xml:space="preserve"> as reflected in the Appendix. </w:t>
      </w:r>
    </w:p>
    <w:p w14:paraId="7CFFE33C" w14:textId="77777777" w:rsidR="001F4F37" w:rsidRPr="008A51BA" w:rsidRDefault="00B62BE5" w:rsidP="00945593">
      <w:pPr>
        <w:spacing w:line="480" w:lineRule="auto"/>
        <w:jc w:val="both"/>
        <w:rPr>
          <w:rStyle w:val="BodyTextChar"/>
          <w:sz w:val="28"/>
          <w:szCs w:val="28"/>
        </w:rPr>
      </w:pPr>
      <w:r w:rsidRPr="008A51BA">
        <w:rPr>
          <w:rStyle w:val="BodyTextChar"/>
          <w:sz w:val="28"/>
          <w:szCs w:val="28"/>
        </w:rPr>
        <w:tab/>
        <w:t xml:space="preserve">The State Bar also petitions to replace the current Comment to Rule 38 with the proposed Comment in the Appendix. </w:t>
      </w:r>
      <w:r w:rsidR="00C772A5">
        <w:rPr>
          <w:rStyle w:val="BodyTextChar"/>
          <w:sz w:val="28"/>
          <w:szCs w:val="28"/>
        </w:rPr>
        <w:t xml:space="preserve">Rule 38’s only </w:t>
      </w:r>
      <w:r w:rsidR="00B7584D" w:rsidRPr="008A51BA">
        <w:rPr>
          <w:rStyle w:val="BodyTextChar"/>
          <w:sz w:val="28"/>
          <w:szCs w:val="28"/>
        </w:rPr>
        <w:t xml:space="preserve">Comment provides further </w:t>
      </w:r>
      <w:r w:rsidR="00B7584D" w:rsidRPr="008A51BA">
        <w:rPr>
          <w:rStyle w:val="BodyTextChar"/>
          <w:sz w:val="28"/>
          <w:szCs w:val="28"/>
        </w:rPr>
        <w:lastRenderedPageBreak/>
        <w:t>guidance on the application of the in-house counsel rule. A portion of the Comment reads:</w:t>
      </w:r>
    </w:p>
    <w:p w14:paraId="7FBD6F73" w14:textId="77777777" w:rsidR="00B7584D" w:rsidRPr="008A51BA" w:rsidRDefault="00B7584D" w:rsidP="00B7584D">
      <w:pPr>
        <w:spacing w:after="160" w:line="259" w:lineRule="auto"/>
        <w:ind w:left="720" w:right="720"/>
        <w:jc w:val="both"/>
        <w:rPr>
          <w:rFonts w:eastAsiaTheme="minorHAnsi"/>
          <w:sz w:val="28"/>
          <w:szCs w:val="28"/>
        </w:rPr>
      </w:pPr>
      <w:r w:rsidRPr="008A51BA">
        <w:rPr>
          <w:rFonts w:eastAsiaTheme="minorHAnsi"/>
          <w:sz w:val="28"/>
          <w:szCs w:val="28"/>
        </w:rPr>
        <w:t xml:space="preserve">The rule's registration requirement is only intended to apply to those lawyers who are employed in that capacity by an entity conducting activities within the State, </w:t>
      </w:r>
      <w:r w:rsidR="007E7A4C" w:rsidRPr="008A51BA">
        <w:rPr>
          <w:rFonts w:eastAsiaTheme="minorHAnsi"/>
          <w:i/>
          <w:sz w:val="28"/>
          <w:szCs w:val="28"/>
        </w:rPr>
        <w:t>and</w:t>
      </w:r>
      <w:r w:rsidR="00E66C1D" w:rsidRPr="008A51BA">
        <w:rPr>
          <w:rFonts w:eastAsiaTheme="minorHAnsi"/>
          <w:i/>
          <w:sz w:val="28"/>
          <w:szCs w:val="28"/>
        </w:rPr>
        <w:t xml:space="preserve"> </w:t>
      </w:r>
      <w:r w:rsidRPr="008A51BA">
        <w:rPr>
          <w:rFonts w:eastAsiaTheme="minorHAnsi"/>
          <w:i/>
          <w:sz w:val="28"/>
          <w:szCs w:val="28"/>
          <w:u w:val="single"/>
        </w:rPr>
        <w:t>whose</w:t>
      </w:r>
      <w:r w:rsidRPr="008A51BA">
        <w:rPr>
          <w:rFonts w:eastAsiaTheme="minorHAnsi"/>
          <w:i/>
          <w:sz w:val="28"/>
          <w:szCs w:val="28"/>
        </w:rPr>
        <w:t xml:space="preserve"> principal office is located within the physical boundaries of the State.</w:t>
      </w:r>
      <w:r w:rsidRPr="008A51BA">
        <w:rPr>
          <w:rFonts w:eastAsiaTheme="minorHAnsi"/>
          <w:sz w:val="28"/>
          <w:szCs w:val="28"/>
        </w:rPr>
        <w:t xml:space="preserve"> It is not intended to apply to those employed in such a capacity whose physical presence in the State is temporary or sporadic.</w:t>
      </w:r>
      <w:r w:rsidR="00957126" w:rsidRPr="008A51BA">
        <w:rPr>
          <w:rFonts w:eastAsiaTheme="minorHAnsi"/>
          <w:sz w:val="28"/>
          <w:szCs w:val="28"/>
        </w:rPr>
        <w:t xml:space="preserve"> (Emphasis added.) </w:t>
      </w:r>
    </w:p>
    <w:p w14:paraId="21699C52" w14:textId="297375CA" w:rsidR="00B7584D" w:rsidRPr="008A51BA" w:rsidRDefault="00B7584D" w:rsidP="00C03B94">
      <w:pPr>
        <w:spacing w:after="160" w:line="480" w:lineRule="auto"/>
        <w:jc w:val="both"/>
        <w:rPr>
          <w:rFonts w:eastAsiaTheme="minorHAnsi"/>
          <w:sz w:val="28"/>
          <w:szCs w:val="28"/>
        </w:rPr>
      </w:pPr>
      <w:r w:rsidRPr="008A51BA">
        <w:rPr>
          <w:rFonts w:eastAsiaTheme="minorHAnsi"/>
          <w:sz w:val="28"/>
          <w:szCs w:val="28"/>
        </w:rPr>
        <w:t xml:space="preserve">This particular provision has been construed to mean two different things: 1. </w:t>
      </w:r>
      <w:r w:rsidR="00E66C1D" w:rsidRPr="008A51BA">
        <w:rPr>
          <w:rFonts w:eastAsiaTheme="minorHAnsi"/>
          <w:sz w:val="28"/>
          <w:szCs w:val="28"/>
        </w:rPr>
        <w:t>that</w:t>
      </w:r>
      <w:r w:rsidR="00C03B94" w:rsidRPr="008A51BA">
        <w:rPr>
          <w:rFonts w:eastAsiaTheme="minorHAnsi"/>
          <w:sz w:val="28"/>
          <w:szCs w:val="28"/>
        </w:rPr>
        <w:t xml:space="preserve"> the</w:t>
      </w:r>
      <w:r w:rsidR="00E66C1D" w:rsidRPr="008A51BA">
        <w:rPr>
          <w:rFonts w:eastAsiaTheme="minorHAnsi"/>
          <w:sz w:val="28"/>
          <w:szCs w:val="28"/>
        </w:rPr>
        <w:t xml:space="preserve"> pronoun</w:t>
      </w:r>
      <w:r w:rsidR="00C03B94" w:rsidRPr="008A51BA">
        <w:rPr>
          <w:rFonts w:eastAsiaTheme="minorHAnsi"/>
          <w:sz w:val="28"/>
          <w:szCs w:val="28"/>
        </w:rPr>
        <w:t xml:space="preserve"> “</w:t>
      </w:r>
      <w:r w:rsidR="007E7A4C" w:rsidRPr="008A51BA">
        <w:rPr>
          <w:rFonts w:eastAsiaTheme="minorHAnsi"/>
          <w:sz w:val="28"/>
          <w:szCs w:val="28"/>
        </w:rPr>
        <w:t>w</w:t>
      </w:r>
      <w:r w:rsidR="00C03B94" w:rsidRPr="008A51BA">
        <w:rPr>
          <w:rFonts w:eastAsiaTheme="minorHAnsi"/>
          <w:sz w:val="28"/>
          <w:szCs w:val="28"/>
        </w:rPr>
        <w:t>hose”</w:t>
      </w:r>
      <w:r w:rsidR="00E66C1D" w:rsidRPr="008A51BA">
        <w:rPr>
          <w:rFonts w:eastAsiaTheme="minorHAnsi"/>
          <w:sz w:val="28"/>
          <w:szCs w:val="28"/>
        </w:rPr>
        <w:t xml:space="preserve"> refers to the lawyer, who must have a principal office located within the physical boundaries of the State; or 2. that</w:t>
      </w:r>
      <w:r w:rsidR="00C03B94" w:rsidRPr="008A51BA">
        <w:rPr>
          <w:rFonts w:eastAsiaTheme="minorHAnsi"/>
          <w:sz w:val="28"/>
          <w:szCs w:val="28"/>
        </w:rPr>
        <w:t xml:space="preserve"> the</w:t>
      </w:r>
      <w:r w:rsidR="00E66C1D" w:rsidRPr="008A51BA">
        <w:rPr>
          <w:rFonts w:eastAsiaTheme="minorHAnsi"/>
          <w:sz w:val="28"/>
          <w:szCs w:val="28"/>
        </w:rPr>
        <w:t xml:space="preserve"> pronoun </w:t>
      </w:r>
      <w:r w:rsidR="00C03B94" w:rsidRPr="008A51BA">
        <w:rPr>
          <w:rFonts w:eastAsiaTheme="minorHAnsi"/>
          <w:sz w:val="28"/>
          <w:szCs w:val="28"/>
        </w:rPr>
        <w:t>“</w:t>
      </w:r>
      <w:r w:rsidR="007E7A4C" w:rsidRPr="008A51BA">
        <w:rPr>
          <w:rFonts w:eastAsiaTheme="minorHAnsi"/>
          <w:sz w:val="28"/>
          <w:szCs w:val="28"/>
        </w:rPr>
        <w:t>w</w:t>
      </w:r>
      <w:r w:rsidR="00C03B94" w:rsidRPr="008A51BA">
        <w:rPr>
          <w:rFonts w:eastAsiaTheme="minorHAnsi"/>
          <w:sz w:val="28"/>
          <w:szCs w:val="28"/>
        </w:rPr>
        <w:t xml:space="preserve">hose” </w:t>
      </w:r>
      <w:r w:rsidR="00E66C1D" w:rsidRPr="008A51BA">
        <w:rPr>
          <w:rFonts w:eastAsiaTheme="minorHAnsi"/>
          <w:sz w:val="28"/>
          <w:szCs w:val="28"/>
        </w:rPr>
        <w:t>refers to the entity, who must have a principal office located within the physical boundaries of the State. It is not clear if “</w:t>
      </w:r>
      <w:r w:rsidR="007E7A4C" w:rsidRPr="008A51BA">
        <w:rPr>
          <w:rFonts w:eastAsiaTheme="minorHAnsi"/>
          <w:sz w:val="28"/>
          <w:szCs w:val="28"/>
        </w:rPr>
        <w:t>w</w:t>
      </w:r>
      <w:r w:rsidR="00E66C1D" w:rsidRPr="008A51BA">
        <w:rPr>
          <w:rFonts w:eastAsiaTheme="minorHAnsi"/>
          <w:sz w:val="28"/>
          <w:szCs w:val="28"/>
        </w:rPr>
        <w:t xml:space="preserve">hose” applies to the antecedent lawyer or antecedent entity. </w:t>
      </w:r>
      <w:r w:rsidR="00C03B94" w:rsidRPr="008A51BA">
        <w:rPr>
          <w:rFonts w:eastAsiaTheme="minorHAnsi"/>
          <w:sz w:val="28"/>
          <w:szCs w:val="28"/>
        </w:rPr>
        <w:t>T</w:t>
      </w:r>
      <w:r w:rsidR="007E7A4C" w:rsidRPr="008A51BA">
        <w:rPr>
          <w:rFonts w:eastAsiaTheme="minorHAnsi"/>
          <w:sz w:val="28"/>
          <w:szCs w:val="28"/>
        </w:rPr>
        <w:t>he State Bar has taken the</w:t>
      </w:r>
      <w:r w:rsidR="00C03B94" w:rsidRPr="008A51BA">
        <w:rPr>
          <w:rFonts w:eastAsiaTheme="minorHAnsi"/>
          <w:sz w:val="28"/>
          <w:szCs w:val="28"/>
        </w:rPr>
        <w:t xml:space="preserve"> position that this clause applies to the lawyer’</w:t>
      </w:r>
      <w:r w:rsidR="00F60C47" w:rsidRPr="008A51BA">
        <w:rPr>
          <w:rFonts w:eastAsiaTheme="minorHAnsi"/>
          <w:sz w:val="28"/>
          <w:szCs w:val="28"/>
        </w:rPr>
        <w:t>s principal office</w:t>
      </w:r>
      <w:r w:rsidR="00C03B94" w:rsidRPr="008A51BA">
        <w:rPr>
          <w:rFonts w:eastAsiaTheme="minorHAnsi"/>
          <w:sz w:val="28"/>
          <w:szCs w:val="28"/>
        </w:rPr>
        <w:t>, and not that of the entity</w:t>
      </w:r>
      <w:r w:rsidR="00D85F9B">
        <w:rPr>
          <w:rFonts w:eastAsiaTheme="minorHAnsi"/>
          <w:sz w:val="28"/>
          <w:szCs w:val="28"/>
        </w:rPr>
        <w:t>, but this interpretation is not readily discernible</w:t>
      </w:r>
      <w:r w:rsidR="00C03B94" w:rsidRPr="008A51BA">
        <w:rPr>
          <w:rFonts w:eastAsiaTheme="minorHAnsi"/>
          <w:sz w:val="28"/>
          <w:szCs w:val="28"/>
        </w:rPr>
        <w:t>.</w:t>
      </w:r>
      <w:r w:rsidR="00D85F9B">
        <w:rPr>
          <w:rFonts w:eastAsiaTheme="minorHAnsi"/>
          <w:sz w:val="28"/>
          <w:szCs w:val="28"/>
        </w:rPr>
        <w:t xml:space="preserve"> T</w:t>
      </w:r>
      <w:r w:rsidR="00C03B94" w:rsidRPr="008A51BA">
        <w:rPr>
          <w:rFonts w:eastAsiaTheme="minorHAnsi"/>
          <w:sz w:val="28"/>
          <w:szCs w:val="28"/>
        </w:rPr>
        <w:t>he State Bar believes that the</w:t>
      </w:r>
      <w:r w:rsidR="00E66C1D" w:rsidRPr="008A51BA">
        <w:rPr>
          <w:rFonts w:eastAsiaTheme="minorHAnsi"/>
          <w:sz w:val="28"/>
          <w:szCs w:val="28"/>
        </w:rPr>
        <w:t xml:space="preserve"> guidance set forth in this Comment sh</w:t>
      </w:r>
      <w:r w:rsidR="00C03B94" w:rsidRPr="008A51BA">
        <w:rPr>
          <w:rFonts w:eastAsiaTheme="minorHAnsi"/>
          <w:sz w:val="28"/>
          <w:szCs w:val="28"/>
        </w:rPr>
        <w:t xml:space="preserve">ould be </w:t>
      </w:r>
      <w:r w:rsidR="00D85F9B">
        <w:rPr>
          <w:rFonts w:eastAsiaTheme="minorHAnsi"/>
          <w:sz w:val="28"/>
          <w:szCs w:val="28"/>
        </w:rPr>
        <w:t>unambiguous</w:t>
      </w:r>
      <w:r w:rsidR="00D85F9B" w:rsidRPr="008A51BA">
        <w:rPr>
          <w:rFonts w:eastAsiaTheme="minorHAnsi"/>
          <w:sz w:val="28"/>
          <w:szCs w:val="28"/>
        </w:rPr>
        <w:t xml:space="preserve"> </w:t>
      </w:r>
      <w:r w:rsidR="00C03B94" w:rsidRPr="008A51BA">
        <w:rPr>
          <w:rFonts w:eastAsiaTheme="minorHAnsi"/>
          <w:sz w:val="28"/>
          <w:szCs w:val="28"/>
        </w:rPr>
        <w:t xml:space="preserve">and not subject to </w:t>
      </w:r>
      <w:r w:rsidR="00D85F9B">
        <w:rPr>
          <w:rFonts w:eastAsiaTheme="minorHAnsi"/>
          <w:sz w:val="28"/>
          <w:szCs w:val="28"/>
        </w:rPr>
        <w:t xml:space="preserve">multiple </w:t>
      </w:r>
      <w:r w:rsidR="00C03B94" w:rsidRPr="008A51BA">
        <w:rPr>
          <w:rFonts w:eastAsiaTheme="minorHAnsi"/>
          <w:sz w:val="28"/>
          <w:szCs w:val="28"/>
        </w:rPr>
        <w:t>interpretation</w:t>
      </w:r>
      <w:r w:rsidR="00D85F9B">
        <w:rPr>
          <w:rFonts w:eastAsiaTheme="minorHAnsi"/>
          <w:sz w:val="28"/>
          <w:szCs w:val="28"/>
        </w:rPr>
        <w:t>s</w:t>
      </w:r>
      <w:r w:rsidR="00C03B94" w:rsidRPr="008A51BA">
        <w:rPr>
          <w:rFonts w:eastAsiaTheme="minorHAnsi"/>
          <w:sz w:val="28"/>
          <w:szCs w:val="28"/>
        </w:rPr>
        <w:t xml:space="preserve">.  </w:t>
      </w:r>
    </w:p>
    <w:p w14:paraId="6B9EADE8" w14:textId="77777777" w:rsidR="008F0944" w:rsidRPr="008A51BA" w:rsidRDefault="00C03B94" w:rsidP="00D47C19">
      <w:pPr>
        <w:spacing w:after="160" w:line="480" w:lineRule="auto"/>
        <w:jc w:val="both"/>
        <w:rPr>
          <w:rFonts w:eastAsiaTheme="minorHAnsi"/>
          <w:sz w:val="28"/>
          <w:szCs w:val="28"/>
        </w:rPr>
      </w:pPr>
      <w:r w:rsidRPr="008A51BA">
        <w:rPr>
          <w:rFonts w:eastAsiaTheme="minorHAnsi"/>
          <w:sz w:val="28"/>
          <w:szCs w:val="28"/>
        </w:rPr>
        <w:tab/>
        <w:t xml:space="preserve">The </w:t>
      </w:r>
      <w:r w:rsidR="00F60C47" w:rsidRPr="008A51BA">
        <w:rPr>
          <w:rFonts w:eastAsiaTheme="minorHAnsi"/>
          <w:sz w:val="28"/>
          <w:szCs w:val="28"/>
        </w:rPr>
        <w:t xml:space="preserve">Comment, in its current form </w:t>
      </w:r>
      <w:r w:rsidR="007E7A4C" w:rsidRPr="008A51BA">
        <w:rPr>
          <w:rFonts w:eastAsiaTheme="minorHAnsi"/>
          <w:sz w:val="28"/>
          <w:szCs w:val="28"/>
        </w:rPr>
        <w:t>and as interpreted by the State Bar</w:t>
      </w:r>
      <w:r w:rsidR="00454085" w:rsidRPr="008A51BA">
        <w:rPr>
          <w:rFonts w:eastAsiaTheme="minorHAnsi"/>
          <w:sz w:val="28"/>
          <w:szCs w:val="28"/>
        </w:rPr>
        <w:t>,</w:t>
      </w:r>
      <w:r w:rsidR="007E7A4C" w:rsidRPr="008A51BA">
        <w:rPr>
          <w:rFonts w:eastAsiaTheme="minorHAnsi"/>
          <w:sz w:val="28"/>
          <w:szCs w:val="28"/>
        </w:rPr>
        <w:t xml:space="preserve"> means that in order to qualify for in-house counsel registration, the applicant must have a principal office in Ariz</w:t>
      </w:r>
      <w:r w:rsidR="00454085" w:rsidRPr="008A51BA">
        <w:rPr>
          <w:rFonts w:eastAsiaTheme="minorHAnsi"/>
          <w:sz w:val="28"/>
          <w:szCs w:val="28"/>
        </w:rPr>
        <w:t>ona. The Comment is clear that the Rule</w:t>
      </w:r>
      <w:r w:rsidR="00105A82" w:rsidRPr="008A51BA">
        <w:rPr>
          <w:rFonts w:eastAsiaTheme="minorHAnsi"/>
          <w:sz w:val="28"/>
          <w:szCs w:val="28"/>
        </w:rPr>
        <w:t xml:space="preserve"> is n</w:t>
      </w:r>
      <w:r w:rsidR="00522CB6" w:rsidRPr="008A51BA">
        <w:rPr>
          <w:rFonts w:eastAsiaTheme="minorHAnsi"/>
          <w:sz w:val="28"/>
          <w:szCs w:val="28"/>
        </w:rPr>
        <w:t>ot intended to apply to lawyer</w:t>
      </w:r>
      <w:r w:rsidR="00105A82" w:rsidRPr="008A51BA">
        <w:rPr>
          <w:rFonts w:eastAsiaTheme="minorHAnsi"/>
          <w:sz w:val="28"/>
          <w:szCs w:val="28"/>
        </w:rPr>
        <w:t>s who appear</w:t>
      </w:r>
      <w:r w:rsidR="007E7A4C" w:rsidRPr="008A51BA">
        <w:rPr>
          <w:rFonts w:eastAsiaTheme="minorHAnsi"/>
          <w:sz w:val="28"/>
          <w:szCs w:val="28"/>
        </w:rPr>
        <w:t xml:space="preserve"> on a temporary or sporadic basis. </w:t>
      </w:r>
      <w:r w:rsidR="00105A82" w:rsidRPr="008A51BA">
        <w:rPr>
          <w:rFonts w:eastAsiaTheme="minorHAnsi"/>
          <w:sz w:val="28"/>
          <w:szCs w:val="28"/>
        </w:rPr>
        <w:t xml:space="preserve">Due to the proliferation of virtual offices and cross-state residences, the State Bar believes that </w:t>
      </w:r>
      <w:r w:rsidR="00105A82" w:rsidRPr="008A51BA">
        <w:rPr>
          <w:rFonts w:eastAsiaTheme="minorHAnsi"/>
          <w:sz w:val="28"/>
          <w:szCs w:val="28"/>
        </w:rPr>
        <w:lastRenderedPageBreak/>
        <w:t xml:space="preserve">the Comment can be simplified by </w:t>
      </w:r>
      <w:r w:rsidR="008F0944" w:rsidRPr="008A51BA">
        <w:rPr>
          <w:rFonts w:eastAsiaTheme="minorHAnsi"/>
          <w:sz w:val="28"/>
          <w:szCs w:val="28"/>
        </w:rPr>
        <w:t xml:space="preserve">clarifying that the Rule applies to lawyers who will have a systematic and continuous presence in Arizona on behalf of </w:t>
      </w:r>
      <w:r w:rsidR="00454085" w:rsidRPr="008A51BA">
        <w:rPr>
          <w:rFonts w:eastAsiaTheme="minorHAnsi"/>
          <w:sz w:val="28"/>
          <w:szCs w:val="28"/>
        </w:rPr>
        <w:t>their employer</w:t>
      </w:r>
      <w:r w:rsidR="008F0944" w:rsidRPr="008A51BA">
        <w:rPr>
          <w:rFonts w:eastAsiaTheme="minorHAnsi"/>
          <w:sz w:val="28"/>
          <w:szCs w:val="28"/>
        </w:rPr>
        <w:t xml:space="preserve">. This simplified approach to a lawyer’s presence comports with the ABA Model Rule for Registration of In-House Counsel, which reads: </w:t>
      </w:r>
    </w:p>
    <w:p w14:paraId="41829F5B" w14:textId="77777777" w:rsidR="009C5D9E" w:rsidRPr="008A51BA" w:rsidRDefault="008F0944" w:rsidP="009C5D9E">
      <w:pPr>
        <w:spacing w:after="160" w:line="240" w:lineRule="auto"/>
        <w:ind w:left="720" w:right="720"/>
        <w:jc w:val="both"/>
        <w:rPr>
          <w:rFonts w:eastAsiaTheme="minorHAnsi"/>
          <w:sz w:val="28"/>
          <w:szCs w:val="28"/>
        </w:rPr>
      </w:pPr>
      <w:r w:rsidRPr="008A51BA">
        <w:rPr>
          <w:rFonts w:eastAsiaTheme="minorHAnsi"/>
          <w:sz w:val="28"/>
          <w:szCs w:val="28"/>
        </w:rPr>
        <w:t xml:space="preserve">A lawyer who is admitted to the practice of law in another United States jurisdiction or is a foreign lawyer, who is employed as a lawyer by an organization, the business of which is lawful and consists of activities other than the practice of law or the provision of legal services, and who has a systematic and continuous presence in this jurisdiction. </w:t>
      </w:r>
    </w:p>
    <w:p w14:paraId="4B284C7C" w14:textId="77777777" w:rsidR="00454085" w:rsidRPr="008A51BA" w:rsidRDefault="00454085" w:rsidP="009C5D9E">
      <w:pPr>
        <w:spacing w:after="160" w:line="240" w:lineRule="auto"/>
        <w:ind w:left="720" w:right="720"/>
        <w:jc w:val="both"/>
        <w:rPr>
          <w:rFonts w:eastAsiaTheme="minorHAnsi"/>
          <w:sz w:val="28"/>
          <w:szCs w:val="28"/>
        </w:rPr>
      </w:pPr>
    </w:p>
    <w:p w14:paraId="07335977" w14:textId="1726D893" w:rsidR="001E6AEB" w:rsidRPr="008A51BA" w:rsidRDefault="009C5D9E" w:rsidP="009C5D9E">
      <w:pPr>
        <w:spacing w:after="160" w:line="480" w:lineRule="auto"/>
        <w:jc w:val="both"/>
        <w:rPr>
          <w:rStyle w:val="BodyTextChar"/>
          <w:rFonts w:eastAsiaTheme="minorHAnsi"/>
          <w:sz w:val="28"/>
          <w:szCs w:val="28"/>
        </w:rPr>
      </w:pPr>
      <w:r w:rsidRPr="008A51BA">
        <w:rPr>
          <w:rFonts w:eastAsiaTheme="minorHAnsi"/>
          <w:sz w:val="28"/>
          <w:szCs w:val="28"/>
        </w:rPr>
        <w:tab/>
        <w:t>The State Bar believes that the proposed amended Comment will provide better clarity to the interpretation of the in-house counsel rule and bring the language up to date with the modern-day practice of law.</w:t>
      </w:r>
    </w:p>
    <w:p w14:paraId="57FBED37" w14:textId="77777777" w:rsidR="000C48A9" w:rsidRPr="008A51BA" w:rsidRDefault="007A3F0F" w:rsidP="00EA64CA">
      <w:pPr>
        <w:spacing w:line="480" w:lineRule="auto"/>
        <w:jc w:val="center"/>
        <w:rPr>
          <w:rStyle w:val="BodyTextChar"/>
          <w:sz w:val="28"/>
          <w:szCs w:val="28"/>
        </w:rPr>
      </w:pPr>
      <w:r w:rsidRPr="008A51BA">
        <w:rPr>
          <w:rStyle w:val="BodyTextChar"/>
          <w:b/>
          <w:sz w:val="28"/>
          <w:szCs w:val="28"/>
        </w:rPr>
        <w:t>CONCLUSION</w:t>
      </w:r>
    </w:p>
    <w:p w14:paraId="7B3EE05A" w14:textId="484F3174" w:rsidR="000F7A7F" w:rsidRPr="00945593" w:rsidRDefault="000C48A9" w:rsidP="00945593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8A51BA">
        <w:rPr>
          <w:sz w:val="28"/>
          <w:szCs w:val="28"/>
        </w:rPr>
        <w:tab/>
      </w:r>
      <w:r w:rsidR="000F7C13" w:rsidRPr="008A51BA">
        <w:rPr>
          <w:sz w:val="28"/>
          <w:szCs w:val="28"/>
        </w:rPr>
        <w:t>The State Bar</w:t>
      </w:r>
      <w:r w:rsidR="00735659" w:rsidRPr="008A51BA">
        <w:rPr>
          <w:sz w:val="28"/>
          <w:szCs w:val="28"/>
        </w:rPr>
        <w:t xml:space="preserve"> of Arizona</w:t>
      </w:r>
      <w:r w:rsidR="000F7C13" w:rsidRPr="008A51BA">
        <w:rPr>
          <w:sz w:val="28"/>
          <w:szCs w:val="28"/>
        </w:rPr>
        <w:t xml:space="preserve"> respectfully requests </w:t>
      </w:r>
      <w:r w:rsidR="00321C14" w:rsidRPr="008A51BA">
        <w:rPr>
          <w:sz w:val="28"/>
          <w:szCs w:val="28"/>
        </w:rPr>
        <w:t>amendment of Rule 38</w:t>
      </w:r>
      <w:r w:rsidR="004924C9" w:rsidRPr="008A51BA">
        <w:rPr>
          <w:sz w:val="28"/>
          <w:szCs w:val="28"/>
        </w:rPr>
        <w:t>, Ariz. R. Sup. Ct., as stated herein.</w:t>
      </w:r>
      <w:r w:rsidR="001F4F37" w:rsidRPr="008A51BA">
        <w:rPr>
          <w:sz w:val="28"/>
          <w:szCs w:val="28"/>
        </w:rPr>
        <w:t xml:space="preserve"> </w:t>
      </w:r>
    </w:p>
    <w:p w14:paraId="3631D21C" w14:textId="20E2281A" w:rsidR="000C48A9" w:rsidRPr="008A51BA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8A51BA">
        <w:rPr>
          <w:sz w:val="28"/>
          <w:szCs w:val="28"/>
        </w:rPr>
        <w:t xml:space="preserve">       </w:t>
      </w:r>
      <w:r w:rsidR="000C48A9" w:rsidRPr="008A51BA">
        <w:rPr>
          <w:sz w:val="28"/>
          <w:szCs w:val="28"/>
        </w:rPr>
        <w:t>RESPECTFULLY SUBMITTED this ____day of____________</w:t>
      </w:r>
      <w:r w:rsidR="00945593">
        <w:rPr>
          <w:sz w:val="28"/>
          <w:szCs w:val="28"/>
        </w:rPr>
        <w:t>_____, 2017</w:t>
      </w:r>
      <w:r w:rsidR="000C48A9" w:rsidRPr="008A51BA">
        <w:rPr>
          <w:sz w:val="28"/>
          <w:szCs w:val="28"/>
        </w:rPr>
        <w:t>.</w:t>
      </w:r>
    </w:p>
    <w:p w14:paraId="305647ED" w14:textId="77777777" w:rsidR="000C48A9" w:rsidRPr="008A51BA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79121B12" w14:textId="77777777" w:rsidR="000C48A9" w:rsidRPr="008A51BA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46A588C9" w14:textId="77777777" w:rsidR="000C48A9" w:rsidRPr="008A51BA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577D5B9D" w14:textId="5C420E24" w:rsidR="000C48A9" w:rsidRPr="008A51BA" w:rsidRDefault="00945593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7F3072A5" w14:textId="6D256360" w:rsidR="000C48A9" w:rsidRPr="008A51BA" w:rsidRDefault="00945593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0C48A9" w:rsidRPr="008A51BA">
        <w:rPr>
          <w:sz w:val="28"/>
          <w:szCs w:val="28"/>
        </w:rPr>
        <w:t>General Counsel</w:t>
      </w:r>
    </w:p>
    <w:p w14:paraId="43685A95" w14:textId="77777777" w:rsidR="00C52E56" w:rsidRPr="008A51BA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14:paraId="1567CF56" w14:textId="77777777" w:rsidR="000C48A9" w:rsidRPr="008A51BA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8A51BA">
        <w:rPr>
          <w:sz w:val="28"/>
          <w:szCs w:val="28"/>
        </w:rPr>
        <w:t>Electronic copy filed with the</w:t>
      </w:r>
    </w:p>
    <w:p w14:paraId="4A89DB7A" w14:textId="77777777" w:rsidR="000C48A9" w:rsidRPr="008A51BA" w:rsidRDefault="000C48A9" w:rsidP="004331B2">
      <w:pPr>
        <w:spacing w:line="240" w:lineRule="auto"/>
        <w:ind w:right="4140"/>
        <w:rPr>
          <w:sz w:val="28"/>
          <w:szCs w:val="28"/>
        </w:rPr>
      </w:pPr>
      <w:r w:rsidRPr="008A51BA">
        <w:rPr>
          <w:sz w:val="28"/>
          <w:szCs w:val="28"/>
        </w:rPr>
        <w:t>Clerk of the Arizona Supreme Court</w:t>
      </w:r>
    </w:p>
    <w:p w14:paraId="25B5AADE" w14:textId="2D408D5C" w:rsidR="000C48A9" w:rsidRPr="008A51BA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8A51BA">
        <w:rPr>
          <w:sz w:val="28"/>
          <w:szCs w:val="28"/>
        </w:rPr>
        <w:t>t</w:t>
      </w:r>
      <w:r w:rsidR="000F7A7F" w:rsidRPr="008A51BA">
        <w:rPr>
          <w:sz w:val="28"/>
          <w:szCs w:val="28"/>
        </w:rPr>
        <w:t>his _____ day of ________________</w:t>
      </w:r>
      <w:r w:rsidR="006F63FD" w:rsidRPr="008A51BA">
        <w:rPr>
          <w:sz w:val="28"/>
          <w:szCs w:val="28"/>
        </w:rPr>
        <w:t xml:space="preserve">___, </w:t>
      </w:r>
      <w:r w:rsidR="00945593">
        <w:rPr>
          <w:sz w:val="28"/>
          <w:szCs w:val="28"/>
        </w:rPr>
        <w:t>2017</w:t>
      </w:r>
      <w:r w:rsidR="000F7A7F" w:rsidRPr="008A51BA">
        <w:rPr>
          <w:sz w:val="28"/>
          <w:szCs w:val="28"/>
        </w:rPr>
        <w:t>.</w:t>
      </w:r>
    </w:p>
    <w:p w14:paraId="4568CE6E" w14:textId="77777777" w:rsidR="000F7A7F" w:rsidRPr="008A51BA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4E009846" w14:textId="67072992" w:rsidR="00052372" w:rsidRPr="008A51BA" w:rsidRDefault="000C48A9" w:rsidP="00945593">
      <w:pPr>
        <w:spacing w:line="240" w:lineRule="auto"/>
        <w:ind w:right="4572"/>
        <w:rPr>
          <w:sz w:val="28"/>
          <w:szCs w:val="28"/>
        </w:rPr>
      </w:pPr>
      <w:r w:rsidRPr="008A51BA">
        <w:rPr>
          <w:sz w:val="28"/>
          <w:szCs w:val="28"/>
        </w:rPr>
        <w:t>by: ___________________________</w:t>
      </w:r>
      <w:r w:rsidR="004331B2" w:rsidRPr="008A51BA">
        <w:rPr>
          <w:sz w:val="28"/>
          <w:szCs w:val="28"/>
        </w:rPr>
        <w:t>____</w:t>
      </w:r>
      <w:r w:rsidRPr="008A51BA">
        <w:rPr>
          <w:sz w:val="28"/>
          <w:szCs w:val="28"/>
        </w:rPr>
        <w:t xml:space="preserve"> </w:t>
      </w:r>
    </w:p>
    <w:sectPr w:rsidR="00052372" w:rsidRPr="008A51BA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77558" w14:textId="77777777" w:rsidR="005A624A" w:rsidRDefault="005A624A">
      <w:r>
        <w:separator/>
      </w:r>
    </w:p>
  </w:endnote>
  <w:endnote w:type="continuationSeparator" w:id="0">
    <w:p w14:paraId="45594FF3" w14:textId="77777777" w:rsidR="005A624A" w:rsidRDefault="005A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5A8B1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5684B" w14:textId="77777777" w:rsidR="007870CB" w:rsidRDefault="007870CB" w:rsidP="00861563">
    <w:pPr>
      <w:pStyle w:val="Footer"/>
      <w:ind w:right="360"/>
    </w:pPr>
  </w:p>
  <w:p w14:paraId="69BEBE7D" w14:textId="77777777"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52904B5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945593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1A67ED3" w14:textId="77777777"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A4EEC" w14:textId="77777777" w:rsidR="005A624A" w:rsidRDefault="005A624A">
      <w:r>
        <w:separator/>
      </w:r>
    </w:p>
  </w:footnote>
  <w:footnote w:type="continuationSeparator" w:id="0">
    <w:p w14:paraId="5F0A482C" w14:textId="77777777" w:rsidR="005A624A" w:rsidRDefault="005A6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85F73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E42E47" wp14:editId="72D04E87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619119" wp14:editId="06082FE5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22266F" wp14:editId="5029135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13C2934D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6DD99" wp14:editId="180018E4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7A24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3A9EB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68B5549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0F7C3B9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2C06016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D71343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7AEE2E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1E7DA79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5929B1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4541E9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5A2655E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0BBA710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0A8F324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32877B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2A4091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39FD66A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957464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430853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4742E6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38251CE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02D3A57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0C7E7E6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6BC3D8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3497EB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458E587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00E5ADD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CE0"/>
    <w:multiLevelType w:val="hybridMultilevel"/>
    <w:tmpl w:val="C1080A3C"/>
    <w:lvl w:ilvl="0" w:tplc="515EDCA2">
      <w:start w:val="602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F94418"/>
    <w:multiLevelType w:val="hybridMultilevel"/>
    <w:tmpl w:val="781E8808"/>
    <w:lvl w:ilvl="0" w:tplc="DD34D630">
      <w:start w:val="602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55631"/>
    <w:multiLevelType w:val="hybridMultilevel"/>
    <w:tmpl w:val="A11E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16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917C0"/>
    <w:rsid w:val="000A1D6B"/>
    <w:rsid w:val="000C48A9"/>
    <w:rsid w:val="000F7A7F"/>
    <w:rsid w:val="000F7C13"/>
    <w:rsid w:val="00105A82"/>
    <w:rsid w:val="0011536A"/>
    <w:rsid w:val="00126E86"/>
    <w:rsid w:val="00135326"/>
    <w:rsid w:val="0016229C"/>
    <w:rsid w:val="001A2520"/>
    <w:rsid w:val="001E6AEB"/>
    <w:rsid w:val="001F4F37"/>
    <w:rsid w:val="001F591C"/>
    <w:rsid w:val="00240DD7"/>
    <w:rsid w:val="00264E69"/>
    <w:rsid w:val="00274D6A"/>
    <w:rsid w:val="002C15B0"/>
    <w:rsid w:val="002C18C9"/>
    <w:rsid w:val="00321C14"/>
    <w:rsid w:val="00352347"/>
    <w:rsid w:val="003566D6"/>
    <w:rsid w:val="00357F4D"/>
    <w:rsid w:val="003617D1"/>
    <w:rsid w:val="00372D50"/>
    <w:rsid w:val="00377199"/>
    <w:rsid w:val="003A28AC"/>
    <w:rsid w:val="00400490"/>
    <w:rsid w:val="00407E2D"/>
    <w:rsid w:val="004331B2"/>
    <w:rsid w:val="00440E4C"/>
    <w:rsid w:val="00454085"/>
    <w:rsid w:val="00463734"/>
    <w:rsid w:val="00465427"/>
    <w:rsid w:val="004924C9"/>
    <w:rsid w:val="00494BDF"/>
    <w:rsid w:val="004C3AE3"/>
    <w:rsid w:val="00504E1E"/>
    <w:rsid w:val="00506859"/>
    <w:rsid w:val="00512E98"/>
    <w:rsid w:val="00520F93"/>
    <w:rsid w:val="00522CB6"/>
    <w:rsid w:val="00566856"/>
    <w:rsid w:val="005A21B0"/>
    <w:rsid w:val="005A624A"/>
    <w:rsid w:val="005B5161"/>
    <w:rsid w:val="005D6AD4"/>
    <w:rsid w:val="005E3AF8"/>
    <w:rsid w:val="006338C1"/>
    <w:rsid w:val="00636F5E"/>
    <w:rsid w:val="00640069"/>
    <w:rsid w:val="00656B26"/>
    <w:rsid w:val="00665CCF"/>
    <w:rsid w:val="006666D1"/>
    <w:rsid w:val="006721EC"/>
    <w:rsid w:val="006766BF"/>
    <w:rsid w:val="006932BA"/>
    <w:rsid w:val="006B4F9A"/>
    <w:rsid w:val="006F63FD"/>
    <w:rsid w:val="00723B5F"/>
    <w:rsid w:val="00732169"/>
    <w:rsid w:val="00735659"/>
    <w:rsid w:val="00762365"/>
    <w:rsid w:val="007673BB"/>
    <w:rsid w:val="0077110E"/>
    <w:rsid w:val="007870CB"/>
    <w:rsid w:val="007A3F0F"/>
    <w:rsid w:val="007D5C49"/>
    <w:rsid w:val="007D73FF"/>
    <w:rsid w:val="007E7A4C"/>
    <w:rsid w:val="007F5ACC"/>
    <w:rsid w:val="008006ED"/>
    <w:rsid w:val="00822598"/>
    <w:rsid w:val="008360A1"/>
    <w:rsid w:val="00850690"/>
    <w:rsid w:val="00861563"/>
    <w:rsid w:val="00871AAA"/>
    <w:rsid w:val="00891AAA"/>
    <w:rsid w:val="008A51BA"/>
    <w:rsid w:val="008C7E47"/>
    <w:rsid w:val="008E7AC3"/>
    <w:rsid w:val="008F0944"/>
    <w:rsid w:val="009238D3"/>
    <w:rsid w:val="00925DE5"/>
    <w:rsid w:val="00933EA1"/>
    <w:rsid w:val="00945593"/>
    <w:rsid w:val="00951416"/>
    <w:rsid w:val="00957126"/>
    <w:rsid w:val="00960D21"/>
    <w:rsid w:val="00981D29"/>
    <w:rsid w:val="00981E11"/>
    <w:rsid w:val="009C5D9E"/>
    <w:rsid w:val="00A068F1"/>
    <w:rsid w:val="00A13CF2"/>
    <w:rsid w:val="00A1564B"/>
    <w:rsid w:val="00A5194F"/>
    <w:rsid w:val="00A871D6"/>
    <w:rsid w:val="00A93A7C"/>
    <w:rsid w:val="00AF282C"/>
    <w:rsid w:val="00AF3FF7"/>
    <w:rsid w:val="00B1491D"/>
    <w:rsid w:val="00B317BC"/>
    <w:rsid w:val="00B37347"/>
    <w:rsid w:val="00B47B7D"/>
    <w:rsid w:val="00B62BE5"/>
    <w:rsid w:val="00B7584D"/>
    <w:rsid w:val="00B843D8"/>
    <w:rsid w:val="00BC5920"/>
    <w:rsid w:val="00BD39C2"/>
    <w:rsid w:val="00C03B94"/>
    <w:rsid w:val="00C03E0F"/>
    <w:rsid w:val="00C342BD"/>
    <w:rsid w:val="00C52E56"/>
    <w:rsid w:val="00C5407A"/>
    <w:rsid w:val="00C54931"/>
    <w:rsid w:val="00C616DF"/>
    <w:rsid w:val="00C662B0"/>
    <w:rsid w:val="00C772A5"/>
    <w:rsid w:val="00C84FD4"/>
    <w:rsid w:val="00C958EE"/>
    <w:rsid w:val="00CA42B0"/>
    <w:rsid w:val="00CD21FB"/>
    <w:rsid w:val="00CE66CC"/>
    <w:rsid w:val="00D05C95"/>
    <w:rsid w:val="00D15CA4"/>
    <w:rsid w:val="00D423FE"/>
    <w:rsid w:val="00D442E4"/>
    <w:rsid w:val="00D47C19"/>
    <w:rsid w:val="00D53120"/>
    <w:rsid w:val="00D65710"/>
    <w:rsid w:val="00D80EDC"/>
    <w:rsid w:val="00D85F9B"/>
    <w:rsid w:val="00DC28CD"/>
    <w:rsid w:val="00DC567A"/>
    <w:rsid w:val="00DE735F"/>
    <w:rsid w:val="00DF4F15"/>
    <w:rsid w:val="00E047D3"/>
    <w:rsid w:val="00E143AD"/>
    <w:rsid w:val="00E266B7"/>
    <w:rsid w:val="00E311B7"/>
    <w:rsid w:val="00E321C5"/>
    <w:rsid w:val="00E5772B"/>
    <w:rsid w:val="00E63289"/>
    <w:rsid w:val="00E66C1D"/>
    <w:rsid w:val="00E67511"/>
    <w:rsid w:val="00E7099F"/>
    <w:rsid w:val="00E82D0F"/>
    <w:rsid w:val="00E950B5"/>
    <w:rsid w:val="00EA64CA"/>
    <w:rsid w:val="00EE49DF"/>
    <w:rsid w:val="00F05879"/>
    <w:rsid w:val="00F06F5B"/>
    <w:rsid w:val="00F2485D"/>
    <w:rsid w:val="00F33926"/>
    <w:rsid w:val="00F5281A"/>
    <w:rsid w:val="00F60C47"/>
    <w:rsid w:val="00F60C61"/>
    <w:rsid w:val="00F64B52"/>
    <w:rsid w:val="00F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498639F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67A"/>
    <w:pPr>
      <w:ind w:left="720"/>
      <w:contextualSpacing/>
    </w:pPr>
  </w:style>
  <w:style w:type="character" w:styleId="CommentReference">
    <w:name w:val="annotation reference"/>
    <w:basedOn w:val="DefaultParagraphFont"/>
    <w:rsid w:val="00D85F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F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85F9B"/>
  </w:style>
  <w:style w:type="paragraph" w:styleId="CommentSubject">
    <w:name w:val="annotation subject"/>
    <w:basedOn w:val="CommentText"/>
    <w:next w:val="CommentText"/>
    <w:link w:val="CommentSubjectChar"/>
    <w:rsid w:val="00D85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6B89-9597-4BD3-BD3B-5F975F9D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0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2016-10-20T22:38:00Z</cp:lastPrinted>
  <dcterms:created xsi:type="dcterms:W3CDTF">2017-01-03T20:26:00Z</dcterms:created>
  <dcterms:modified xsi:type="dcterms:W3CDTF">2017-01-03T20:26:00Z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