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1D4729"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rsidR="006D3B9E" w:rsidRPr="00240AD0" w:rsidRDefault="00B02B57"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AMEND </w:t>
            </w:r>
            <w:r w:rsidR="005914D5">
              <w:rPr>
                <w:b/>
                <w:sz w:val="28"/>
                <w:szCs w:val="28"/>
              </w:rPr>
              <w:t>RULE 31, RULES OF THE SUPREME COURT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264DAB">
              <w:rPr>
                <w:smallCaps/>
                <w:kern w:val="2"/>
                <w:sz w:val="28"/>
                <w:szCs w:val="28"/>
              </w:rPr>
              <w:t>-</w:t>
            </w:r>
            <w:r w:rsidR="005914D5">
              <w:rPr>
                <w:smallCaps/>
                <w:kern w:val="2"/>
                <w:sz w:val="28"/>
                <w:szCs w:val="28"/>
              </w:rPr>
              <w:t>16</w:t>
            </w:r>
            <w:r w:rsidR="00264DAB">
              <w:rPr>
                <w:smallCaps/>
                <w:kern w:val="2"/>
                <w:sz w:val="28"/>
                <w:szCs w:val="28"/>
              </w:rPr>
              <w:t>-00</w:t>
            </w:r>
            <w:r w:rsidR="005914D5">
              <w:rPr>
                <w:smallCaps/>
                <w:kern w:val="2"/>
                <w:sz w:val="28"/>
                <w:szCs w:val="28"/>
              </w:rPr>
              <w:t>29</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ition to Amend</w:t>
            </w:r>
            <w:r w:rsidR="005914D5">
              <w:rPr>
                <w:smallCaps/>
                <w:kern w:val="2"/>
                <w:sz w:val="28"/>
                <w:szCs w:val="28"/>
              </w:rPr>
              <w:t xml:space="preserve"> Rule 31, Rules of the Supreme Court</w:t>
            </w:r>
            <w:r w:rsidR="00264DAB">
              <w:rPr>
                <w:smallCaps/>
                <w:kern w:val="2"/>
                <w:sz w:val="28"/>
                <w:szCs w:val="28"/>
              </w:rPr>
              <w:t xml:space="preserve"> </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6F1A7C" w:rsidRDefault="00240AD0"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sz w:val="28"/>
          <w:szCs w:val="28"/>
        </w:rPr>
        <w:t xml:space="preserve">The Maricopa County Attorney </w:t>
      </w:r>
      <w:r w:rsidR="00C35878">
        <w:rPr>
          <w:sz w:val="28"/>
          <w:szCs w:val="28"/>
        </w:rPr>
        <w:t xml:space="preserve">hereby </w:t>
      </w:r>
      <w:r w:rsidR="006027C0">
        <w:rPr>
          <w:sz w:val="28"/>
          <w:szCs w:val="28"/>
        </w:rPr>
        <w:t>responds</w:t>
      </w:r>
      <w:r w:rsidR="00C35878">
        <w:rPr>
          <w:sz w:val="28"/>
          <w:szCs w:val="28"/>
        </w:rPr>
        <w:t xml:space="preserve"> to the Petition to </w:t>
      </w:r>
      <w:r w:rsidR="005914D5">
        <w:rPr>
          <w:sz w:val="28"/>
          <w:szCs w:val="28"/>
        </w:rPr>
        <w:t xml:space="preserve">Amend Rule 31 of the Rules of the Supreme Court </w:t>
      </w:r>
      <w:r w:rsidR="00B604A9">
        <w:rPr>
          <w:sz w:val="28"/>
          <w:szCs w:val="28"/>
        </w:rPr>
        <w:t xml:space="preserve">and asks this Court to </w:t>
      </w:r>
      <w:r w:rsidR="005914D5">
        <w:rPr>
          <w:sz w:val="28"/>
          <w:szCs w:val="28"/>
        </w:rPr>
        <w:t xml:space="preserve">deny the Petition, </w:t>
      </w:r>
      <w:r w:rsidR="00620DBB">
        <w:rPr>
          <w:sz w:val="28"/>
          <w:szCs w:val="28"/>
        </w:rPr>
        <w:t xml:space="preserve">at least </w:t>
      </w:r>
      <w:r w:rsidR="005914D5">
        <w:rPr>
          <w:sz w:val="28"/>
          <w:szCs w:val="28"/>
        </w:rPr>
        <w:t xml:space="preserve">in part.  </w:t>
      </w:r>
      <w:r w:rsidR="00B27E77">
        <w:rPr>
          <w:sz w:val="28"/>
          <w:szCs w:val="28"/>
        </w:rPr>
        <w:t>T</w:t>
      </w:r>
      <w:r w:rsidR="00467A67">
        <w:rPr>
          <w:sz w:val="28"/>
          <w:szCs w:val="28"/>
        </w:rPr>
        <w:t xml:space="preserve">he Court’s modified Petition makes far more </w:t>
      </w:r>
      <w:r w:rsidR="00193A5F">
        <w:rPr>
          <w:sz w:val="28"/>
          <w:szCs w:val="28"/>
        </w:rPr>
        <w:t>significant</w:t>
      </w:r>
      <w:r w:rsidR="00467A67">
        <w:rPr>
          <w:sz w:val="28"/>
          <w:szCs w:val="28"/>
        </w:rPr>
        <w:t xml:space="preserve"> changes </w:t>
      </w:r>
      <w:r w:rsidR="00B27E77">
        <w:rPr>
          <w:sz w:val="28"/>
          <w:szCs w:val="28"/>
        </w:rPr>
        <w:t xml:space="preserve">than originally proposed and </w:t>
      </w:r>
      <w:r w:rsidR="00193A5F">
        <w:rPr>
          <w:sz w:val="28"/>
          <w:szCs w:val="28"/>
        </w:rPr>
        <w:t>most</w:t>
      </w:r>
      <w:r w:rsidR="00467A67">
        <w:rPr>
          <w:sz w:val="28"/>
          <w:szCs w:val="28"/>
        </w:rPr>
        <w:t xml:space="preserve"> appear unnecessary.  </w:t>
      </w:r>
      <w:r w:rsidR="00B27E77">
        <w:rPr>
          <w:sz w:val="28"/>
          <w:szCs w:val="28"/>
        </w:rPr>
        <w:t>T</w:t>
      </w:r>
      <w:r w:rsidR="005914D5">
        <w:rPr>
          <w:sz w:val="28"/>
          <w:szCs w:val="28"/>
        </w:rPr>
        <w:t xml:space="preserve">he </w:t>
      </w:r>
      <w:r w:rsidR="00F231CC">
        <w:rPr>
          <w:sz w:val="28"/>
          <w:szCs w:val="28"/>
        </w:rPr>
        <w:t xml:space="preserve">most </w:t>
      </w:r>
      <w:r w:rsidR="00CE2C53">
        <w:rPr>
          <w:sz w:val="28"/>
          <w:szCs w:val="28"/>
        </w:rPr>
        <w:t>shocking proposal is to amend</w:t>
      </w:r>
      <w:r w:rsidR="005914D5">
        <w:rPr>
          <w:sz w:val="28"/>
          <w:szCs w:val="28"/>
        </w:rPr>
        <w:t xml:space="preserve"> Rule 41(b)</w:t>
      </w:r>
      <w:r w:rsidR="00374821">
        <w:rPr>
          <w:sz w:val="28"/>
          <w:szCs w:val="28"/>
        </w:rPr>
        <w:t xml:space="preserve"> to remove </w:t>
      </w:r>
      <w:r w:rsidR="00B27E77">
        <w:rPr>
          <w:sz w:val="28"/>
          <w:szCs w:val="28"/>
        </w:rPr>
        <w:t>a lawyer’s obligation to support the laws of the United States</w:t>
      </w:r>
      <w:r w:rsidR="00193A5F">
        <w:rPr>
          <w:sz w:val="28"/>
          <w:szCs w:val="28"/>
        </w:rPr>
        <w:t xml:space="preserve">.  This proposed change </w:t>
      </w:r>
      <w:r w:rsidR="00F231CC">
        <w:rPr>
          <w:sz w:val="28"/>
          <w:szCs w:val="28"/>
        </w:rPr>
        <w:t xml:space="preserve">seeks to upend </w:t>
      </w:r>
      <w:r w:rsidR="00B27E77">
        <w:rPr>
          <w:sz w:val="28"/>
          <w:szCs w:val="28"/>
        </w:rPr>
        <w:t xml:space="preserve">a lawyer’s </w:t>
      </w:r>
      <w:r w:rsidR="00CE2C53">
        <w:rPr>
          <w:sz w:val="28"/>
          <w:szCs w:val="28"/>
        </w:rPr>
        <w:t xml:space="preserve">basic </w:t>
      </w:r>
      <w:r w:rsidR="00B27E77">
        <w:rPr>
          <w:sz w:val="28"/>
          <w:szCs w:val="28"/>
        </w:rPr>
        <w:t>responsibility</w:t>
      </w:r>
      <w:r w:rsidR="00F231CC">
        <w:rPr>
          <w:sz w:val="28"/>
          <w:szCs w:val="28"/>
        </w:rPr>
        <w:t xml:space="preserve"> and essential role</w:t>
      </w:r>
      <w:r w:rsidR="00B27E77">
        <w:rPr>
          <w:sz w:val="28"/>
          <w:szCs w:val="28"/>
        </w:rPr>
        <w:t xml:space="preserve"> in our federa</w:t>
      </w:r>
      <w:bookmarkStart w:id="0" w:name="_GoBack"/>
      <w:bookmarkEnd w:id="0"/>
      <w:r w:rsidR="00B27E77">
        <w:rPr>
          <w:sz w:val="28"/>
          <w:szCs w:val="28"/>
        </w:rPr>
        <w:t xml:space="preserve">l system and that part of the Petition must be denied. </w:t>
      </w:r>
      <w:r w:rsidR="00264DAB">
        <w:rPr>
          <w:sz w:val="28"/>
          <w:szCs w:val="28"/>
        </w:rPr>
        <w:t xml:space="preserve">  </w:t>
      </w:r>
    </w:p>
    <w:p w:rsidR="006D3B9E" w:rsidRDefault="006D3B9E" w:rsidP="006F1A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sidRPr="00240AD0">
        <w:rPr>
          <w:kern w:val="2"/>
          <w:sz w:val="28"/>
          <w:szCs w:val="28"/>
        </w:rPr>
        <w:t>Respectfully submitted this ____day of</w:t>
      </w:r>
      <w:r w:rsidR="005914D5">
        <w:rPr>
          <w:kern w:val="2"/>
          <w:sz w:val="28"/>
          <w:szCs w:val="28"/>
        </w:rPr>
        <w:t xml:space="preserve"> October</w:t>
      </w:r>
      <w:r w:rsidRPr="00240AD0">
        <w:rPr>
          <w:kern w:val="2"/>
          <w:sz w:val="28"/>
          <w:szCs w:val="28"/>
        </w:rPr>
        <w:t>, 20</w:t>
      </w:r>
      <w:r w:rsidR="00642713">
        <w:rPr>
          <w:kern w:val="2"/>
          <w:sz w:val="28"/>
          <w:szCs w:val="28"/>
        </w:rPr>
        <w:t>1</w:t>
      </w:r>
      <w:r w:rsidR="005914D5">
        <w:rPr>
          <w:kern w:val="2"/>
          <w:sz w:val="28"/>
          <w:szCs w:val="28"/>
        </w:rPr>
        <w:t>6</w:t>
      </w:r>
      <w:r w:rsidRPr="00240AD0">
        <w:rPr>
          <w:kern w:val="2"/>
          <w:sz w:val="28"/>
          <w:szCs w:val="28"/>
        </w:rPr>
        <w:t>.</w:t>
      </w:r>
    </w:p>
    <w:p w:rsidR="001D4729" w:rsidRDefault="001D472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 FAULL</w:t>
      </w:r>
    </w:p>
    <w:p w:rsidR="000356B6"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p w:rsidR="00583C78" w:rsidRDefault="00583C78" w:rsidP="00B27E77">
      <w:pPr>
        <w:widowControl/>
        <w:rPr>
          <w:b/>
          <w:kern w:val="2"/>
          <w:sz w:val="28"/>
          <w:szCs w:val="28"/>
        </w:rPr>
      </w:pPr>
      <w:r>
        <w:rPr>
          <w:smallCaps/>
          <w:kern w:val="2"/>
          <w:sz w:val="28"/>
          <w:szCs w:val="28"/>
        </w:rPr>
        <w:br w:type="page"/>
      </w:r>
      <w:r>
        <w:rPr>
          <w:b/>
          <w:kern w:val="2"/>
          <w:sz w:val="28"/>
          <w:szCs w:val="28"/>
        </w:rPr>
        <w:lastRenderedPageBreak/>
        <w:t>I. B</w:t>
      </w:r>
      <w:r w:rsidR="00D225A5">
        <w:rPr>
          <w:b/>
          <w:kern w:val="2"/>
          <w:sz w:val="28"/>
          <w:szCs w:val="28"/>
        </w:rPr>
        <w:t>ACKGROUND</w:t>
      </w:r>
    </w:p>
    <w:p w:rsidR="00B27E77" w:rsidRDefault="00B27E77" w:rsidP="00B27E77">
      <w:pPr>
        <w:widowControl/>
        <w:rPr>
          <w:b/>
          <w:kern w:val="2"/>
          <w:sz w:val="28"/>
          <w:szCs w:val="28"/>
        </w:rPr>
      </w:pPr>
    </w:p>
    <w:p w:rsidR="00A95CC0" w:rsidRDefault="00583C78"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b/>
          <w:kern w:val="2"/>
          <w:sz w:val="28"/>
          <w:szCs w:val="28"/>
        </w:rPr>
        <w:tab/>
      </w:r>
      <w:r>
        <w:rPr>
          <w:kern w:val="2"/>
          <w:sz w:val="28"/>
          <w:szCs w:val="28"/>
        </w:rPr>
        <w:t xml:space="preserve">According to the Petition that was filed in January, 2016, the State Bar </w:t>
      </w:r>
      <w:r w:rsidR="00AB196E">
        <w:rPr>
          <w:kern w:val="2"/>
          <w:sz w:val="28"/>
          <w:szCs w:val="28"/>
        </w:rPr>
        <w:t>has been looking at changes to T</w:t>
      </w:r>
      <w:r>
        <w:rPr>
          <w:kern w:val="2"/>
          <w:sz w:val="28"/>
          <w:szCs w:val="28"/>
        </w:rPr>
        <w:t xml:space="preserve">he Oath </w:t>
      </w:r>
      <w:r w:rsidR="00AB196E">
        <w:rPr>
          <w:kern w:val="2"/>
          <w:sz w:val="28"/>
          <w:szCs w:val="28"/>
        </w:rPr>
        <w:t xml:space="preserve">of Admission to the Bar (Lawyer’s Oath) </w:t>
      </w:r>
      <w:r>
        <w:rPr>
          <w:kern w:val="2"/>
          <w:sz w:val="28"/>
          <w:szCs w:val="28"/>
        </w:rPr>
        <w:t xml:space="preserve">and </w:t>
      </w:r>
      <w:r w:rsidR="00AB196E">
        <w:rPr>
          <w:kern w:val="2"/>
          <w:sz w:val="28"/>
          <w:szCs w:val="28"/>
        </w:rPr>
        <w:t>A Lawyer’s Creed of Professionalism of the State Bar of Arizona (</w:t>
      </w:r>
      <w:r>
        <w:rPr>
          <w:kern w:val="2"/>
          <w:sz w:val="28"/>
          <w:szCs w:val="28"/>
        </w:rPr>
        <w:t>Creed</w:t>
      </w:r>
      <w:r w:rsidR="00AB196E">
        <w:rPr>
          <w:kern w:val="2"/>
          <w:sz w:val="28"/>
          <w:szCs w:val="28"/>
        </w:rPr>
        <w:t>)</w:t>
      </w:r>
      <w:r>
        <w:rPr>
          <w:kern w:val="2"/>
          <w:sz w:val="28"/>
          <w:szCs w:val="28"/>
        </w:rPr>
        <w:t xml:space="preserve"> since at</w:t>
      </w:r>
      <w:r w:rsidR="00620DBB">
        <w:rPr>
          <w:kern w:val="2"/>
          <w:sz w:val="28"/>
          <w:szCs w:val="28"/>
        </w:rPr>
        <w:t xml:space="preserve"> least 2013.  Initially, the State Bar’s Professionalism</w:t>
      </w:r>
      <w:r>
        <w:rPr>
          <w:kern w:val="2"/>
          <w:sz w:val="28"/>
          <w:szCs w:val="28"/>
        </w:rPr>
        <w:t xml:space="preserve"> Committee</w:t>
      </w:r>
      <w:r w:rsidR="00620DBB">
        <w:rPr>
          <w:kern w:val="2"/>
          <w:sz w:val="28"/>
          <w:szCs w:val="28"/>
        </w:rPr>
        <w:t xml:space="preserve"> could not reach any agreement on any changes and the Board of Governors’ </w:t>
      </w:r>
      <w:r w:rsidR="00193A5F">
        <w:rPr>
          <w:kern w:val="2"/>
          <w:sz w:val="28"/>
          <w:szCs w:val="28"/>
        </w:rPr>
        <w:t xml:space="preserve">(BOG) </w:t>
      </w:r>
      <w:r w:rsidR="00620DBB">
        <w:rPr>
          <w:kern w:val="2"/>
          <w:sz w:val="28"/>
          <w:szCs w:val="28"/>
        </w:rPr>
        <w:t xml:space="preserve">declined to recommend any changes.  The Committee then revisited their work and was apparently able to </w:t>
      </w:r>
      <w:r w:rsidR="00193A5F">
        <w:rPr>
          <w:kern w:val="2"/>
          <w:sz w:val="28"/>
          <w:szCs w:val="28"/>
        </w:rPr>
        <w:t>propose</w:t>
      </w:r>
      <w:r w:rsidR="00620DBB">
        <w:rPr>
          <w:kern w:val="2"/>
          <w:sz w:val="28"/>
          <w:szCs w:val="28"/>
        </w:rPr>
        <w:t xml:space="preserve"> changes </w:t>
      </w:r>
      <w:r w:rsidR="00193A5F">
        <w:rPr>
          <w:kern w:val="2"/>
          <w:sz w:val="28"/>
          <w:szCs w:val="28"/>
        </w:rPr>
        <w:t xml:space="preserve">with </w:t>
      </w:r>
      <w:r w:rsidR="00620DBB">
        <w:rPr>
          <w:kern w:val="2"/>
          <w:sz w:val="28"/>
          <w:szCs w:val="28"/>
        </w:rPr>
        <w:t>sufficient consensus that the B</w:t>
      </w:r>
      <w:r w:rsidR="00193A5F">
        <w:rPr>
          <w:kern w:val="2"/>
          <w:sz w:val="28"/>
          <w:szCs w:val="28"/>
        </w:rPr>
        <w:t xml:space="preserve">OG </w:t>
      </w:r>
      <w:r w:rsidR="00620DBB">
        <w:rPr>
          <w:kern w:val="2"/>
          <w:sz w:val="28"/>
          <w:szCs w:val="28"/>
        </w:rPr>
        <w:t xml:space="preserve">decided to file this Petition.  On September 2, 2016, after holding its regularly scheduled Rules Agenda, this Court issued an order that reopened the Petition for comments and itself suggested numerous changes to the Petition many of which are far more sweeping than those initially recommended.  </w:t>
      </w:r>
    </w:p>
    <w:p w:rsidR="00A95CC0" w:rsidRPr="00A95CC0" w:rsidRDefault="00A95CC0" w:rsidP="00583C78">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rPr>
          <w:kern w:val="2"/>
          <w:sz w:val="28"/>
          <w:szCs w:val="28"/>
          <w:u w:val="single"/>
        </w:rPr>
      </w:pPr>
      <w:r>
        <w:rPr>
          <w:b/>
          <w:kern w:val="2"/>
          <w:sz w:val="28"/>
          <w:szCs w:val="28"/>
        </w:rPr>
        <w:t>II. DISCUSSION</w:t>
      </w:r>
    </w:p>
    <w:p w:rsidR="00864502" w:rsidRDefault="00A95CC0"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620DBB">
        <w:rPr>
          <w:kern w:val="2"/>
          <w:sz w:val="28"/>
          <w:szCs w:val="28"/>
        </w:rPr>
        <w:t>When a petition for a rule change is filed, the petitioner provides justification</w:t>
      </w:r>
      <w:r w:rsidR="00374821">
        <w:rPr>
          <w:kern w:val="2"/>
          <w:sz w:val="28"/>
          <w:szCs w:val="28"/>
        </w:rPr>
        <w:t>s</w:t>
      </w:r>
      <w:r w:rsidR="00620DBB">
        <w:rPr>
          <w:kern w:val="2"/>
          <w:sz w:val="28"/>
          <w:szCs w:val="28"/>
        </w:rPr>
        <w:t xml:space="preserve"> to support the proposed changes.  The difficulty with commenting on the Court’s own proposals is that there is no similar justification or discussion </w:t>
      </w:r>
      <w:r>
        <w:rPr>
          <w:kern w:val="2"/>
          <w:sz w:val="28"/>
          <w:szCs w:val="28"/>
        </w:rPr>
        <w:t xml:space="preserve">included in the Court’s order </w:t>
      </w:r>
      <w:r w:rsidR="00620DBB">
        <w:rPr>
          <w:kern w:val="2"/>
          <w:sz w:val="28"/>
          <w:szCs w:val="28"/>
        </w:rPr>
        <w:t xml:space="preserve">so it is difficult to know why this Court believes the </w:t>
      </w:r>
      <w:r>
        <w:rPr>
          <w:kern w:val="2"/>
          <w:sz w:val="28"/>
          <w:szCs w:val="28"/>
        </w:rPr>
        <w:t xml:space="preserve">suggested </w:t>
      </w:r>
      <w:r w:rsidR="00620DBB">
        <w:rPr>
          <w:kern w:val="2"/>
          <w:sz w:val="28"/>
          <w:szCs w:val="28"/>
        </w:rPr>
        <w:t>changes are needed</w:t>
      </w:r>
      <w:r>
        <w:rPr>
          <w:kern w:val="2"/>
          <w:sz w:val="28"/>
          <w:szCs w:val="28"/>
        </w:rPr>
        <w:t xml:space="preserve">.  Certainly the original Petition did not justify the significant re-write this Court now proposes.  </w:t>
      </w:r>
    </w:p>
    <w:p w:rsidR="00A95CC0" w:rsidRDefault="00A95CC0"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lastRenderedPageBreak/>
        <w:tab/>
        <w:t>For the most part, this Court’s suggested changes appear harmless if unnecessary.  However, the Court’s proposal to affirmatively remove a lawyer’s obligation to support the law</w:t>
      </w:r>
      <w:r w:rsidR="004006F9">
        <w:rPr>
          <w:kern w:val="2"/>
          <w:sz w:val="28"/>
          <w:szCs w:val="28"/>
        </w:rPr>
        <w:t>s</w:t>
      </w:r>
      <w:r>
        <w:rPr>
          <w:kern w:val="2"/>
          <w:sz w:val="28"/>
          <w:szCs w:val="28"/>
        </w:rPr>
        <w:t xml:space="preserve"> of the United States is unnecessary, confusing, and, frankly, embarrassing to a profession that </w:t>
      </w:r>
      <w:r w:rsidR="00374821">
        <w:rPr>
          <w:kern w:val="2"/>
          <w:sz w:val="28"/>
          <w:szCs w:val="28"/>
        </w:rPr>
        <w:t>claims to</w:t>
      </w:r>
      <w:r>
        <w:rPr>
          <w:kern w:val="2"/>
          <w:sz w:val="28"/>
          <w:szCs w:val="28"/>
        </w:rPr>
        <w:t xml:space="preserve"> support the rule of law</w:t>
      </w:r>
      <w:r w:rsidR="00FF3B22">
        <w:rPr>
          <w:kern w:val="2"/>
          <w:sz w:val="28"/>
          <w:szCs w:val="28"/>
        </w:rPr>
        <w:t xml:space="preserve">.  </w:t>
      </w:r>
    </w:p>
    <w:p w:rsidR="005B321A" w:rsidRDefault="005B321A" w:rsidP="005B321A">
      <w:pPr>
        <w:widowControl/>
        <w:tabs>
          <w:tab w:val="left" w:pos="180"/>
          <w:tab w:val="left" w:pos="720"/>
          <w:tab w:val="left" w:pos="4608"/>
          <w:tab w:val="left" w:pos="5184"/>
          <w:tab w:val="left" w:pos="5760"/>
          <w:tab w:val="left" w:pos="6336"/>
          <w:tab w:val="left" w:pos="6912"/>
          <w:tab w:val="left" w:pos="7488"/>
          <w:tab w:val="left" w:pos="8064"/>
          <w:tab w:val="left" w:pos="8640"/>
          <w:tab w:val="left" w:pos="9216"/>
          <w:tab w:val="left" w:pos="9792"/>
        </w:tabs>
        <w:ind w:left="720" w:hanging="720"/>
        <w:jc w:val="both"/>
        <w:rPr>
          <w:b/>
          <w:kern w:val="2"/>
          <w:sz w:val="28"/>
          <w:szCs w:val="28"/>
        </w:rPr>
      </w:pPr>
      <w:r>
        <w:rPr>
          <w:b/>
          <w:kern w:val="2"/>
          <w:sz w:val="28"/>
          <w:szCs w:val="28"/>
        </w:rPr>
        <w:t>A.</w:t>
      </w:r>
      <w:r>
        <w:rPr>
          <w:b/>
          <w:kern w:val="2"/>
          <w:sz w:val="28"/>
          <w:szCs w:val="28"/>
        </w:rPr>
        <w:tab/>
        <w:t xml:space="preserve">The proposed modifications to the first paragraph of the Lawyer’s Oath are unnecessary.  </w:t>
      </w:r>
    </w:p>
    <w:p w:rsidR="005B321A" w:rsidRDefault="005B321A" w:rsidP="005B321A">
      <w:pPr>
        <w:widowControl/>
        <w:tabs>
          <w:tab w:val="left" w:pos="180"/>
          <w:tab w:val="left" w:pos="720"/>
          <w:tab w:val="left" w:pos="4608"/>
          <w:tab w:val="left" w:pos="5184"/>
          <w:tab w:val="left" w:pos="5760"/>
          <w:tab w:val="left" w:pos="6336"/>
          <w:tab w:val="left" w:pos="6912"/>
          <w:tab w:val="left" w:pos="7488"/>
          <w:tab w:val="left" w:pos="8064"/>
          <w:tab w:val="left" w:pos="8640"/>
          <w:tab w:val="left" w:pos="9216"/>
          <w:tab w:val="left" w:pos="9792"/>
        </w:tabs>
        <w:ind w:left="720" w:hanging="720"/>
        <w:jc w:val="both"/>
        <w:rPr>
          <w:b/>
          <w:kern w:val="2"/>
          <w:sz w:val="28"/>
          <w:szCs w:val="28"/>
        </w:rPr>
      </w:pPr>
    </w:p>
    <w:p w:rsidR="00FF3B22" w:rsidRDefault="00FB4BEE"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kern w:val="2"/>
          <w:sz w:val="28"/>
          <w:szCs w:val="28"/>
        </w:rPr>
        <w:tab/>
        <w:t xml:space="preserve">The original Petition suggested the </w:t>
      </w:r>
      <w:r w:rsidRPr="00374821">
        <w:rPr>
          <w:kern w:val="2"/>
          <w:sz w:val="28"/>
          <w:szCs w:val="28"/>
        </w:rPr>
        <w:t>addition</w:t>
      </w:r>
      <w:r w:rsidRPr="00374821">
        <w:t xml:space="preserve"> </w:t>
      </w:r>
      <w:r>
        <w:rPr>
          <w:sz w:val="28"/>
          <w:szCs w:val="28"/>
        </w:rPr>
        <w:t xml:space="preserve">of language to the </w:t>
      </w:r>
      <w:r w:rsidR="00AB196E">
        <w:rPr>
          <w:sz w:val="28"/>
          <w:szCs w:val="28"/>
        </w:rPr>
        <w:t xml:space="preserve">Lawyer’s </w:t>
      </w:r>
      <w:r>
        <w:rPr>
          <w:sz w:val="28"/>
          <w:szCs w:val="28"/>
        </w:rPr>
        <w:t xml:space="preserve">Oath </w:t>
      </w:r>
      <w:r w:rsidR="00374821">
        <w:rPr>
          <w:sz w:val="28"/>
          <w:szCs w:val="28"/>
        </w:rPr>
        <w:t>that</w:t>
      </w:r>
      <w:r>
        <w:rPr>
          <w:sz w:val="28"/>
          <w:szCs w:val="28"/>
        </w:rPr>
        <w:t xml:space="preserve"> </w:t>
      </w:r>
      <w:r w:rsidR="004006F9">
        <w:rPr>
          <w:sz w:val="28"/>
          <w:szCs w:val="28"/>
        </w:rPr>
        <w:t xml:space="preserve">was intended to </w:t>
      </w:r>
      <w:r>
        <w:rPr>
          <w:sz w:val="28"/>
          <w:szCs w:val="28"/>
        </w:rPr>
        <w:t xml:space="preserve">“harmonize it with the Arizona Loyalty Oath of Office and Rule 32(c)(3) of the Rules of the Supreme Court.”  [Petition at 2].  There was no explanation in the Petition for why it was necessary to “harmonize” the </w:t>
      </w:r>
      <w:r w:rsidR="00AB196E">
        <w:rPr>
          <w:sz w:val="28"/>
          <w:szCs w:val="28"/>
        </w:rPr>
        <w:t xml:space="preserve">Lawyer’s </w:t>
      </w:r>
      <w:r>
        <w:rPr>
          <w:sz w:val="28"/>
          <w:szCs w:val="28"/>
        </w:rPr>
        <w:t xml:space="preserve">Oath with those two sources.  </w:t>
      </w:r>
    </w:p>
    <w:p w:rsidR="00FB4BEE" w:rsidRDefault="00FF3B22"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FB4BEE">
        <w:rPr>
          <w:sz w:val="28"/>
          <w:szCs w:val="28"/>
        </w:rPr>
        <w:t xml:space="preserve">The “Arizona Loyalty Oath” </w:t>
      </w:r>
      <w:r w:rsidR="00374821">
        <w:rPr>
          <w:sz w:val="28"/>
          <w:szCs w:val="28"/>
        </w:rPr>
        <w:t>is codified at</w:t>
      </w:r>
      <w:r w:rsidR="004006F9">
        <w:rPr>
          <w:sz w:val="28"/>
          <w:szCs w:val="28"/>
        </w:rPr>
        <w:t xml:space="preserve"> A.R.S. § 38-321(E) and is required for all employees of the state and its political subdivisions.</w:t>
      </w:r>
      <w:r w:rsidR="004006F9" w:rsidRPr="004006F9">
        <w:rPr>
          <w:rStyle w:val="FootnoteReference"/>
          <w:sz w:val="28"/>
          <w:szCs w:val="28"/>
          <w:vertAlign w:val="superscript"/>
        </w:rPr>
        <w:footnoteReference w:id="1"/>
      </w:r>
      <w:r w:rsidR="004006F9">
        <w:rPr>
          <w:sz w:val="28"/>
          <w:szCs w:val="28"/>
        </w:rPr>
        <w:t xml:space="preserve">  Other than those who work for the government, th</w:t>
      </w:r>
      <w:r w:rsidR="002E5DF3">
        <w:rPr>
          <w:sz w:val="28"/>
          <w:szCs w:val="28"/>
        </w:rPr>
        <w:t xml:space="preserve">is oath </w:t>
      </w:r>
      <w:r w:rsidR="004006F9">
        <w:rPr>
          <w:sz w:val="28"/>
          <w:szCs w:val="28"/>
        </w:rPr>
        <w:t>do</w:t>
      </w:r>
      <w:r w:rsidR="002E5DF3">
        <w:rPr>
          <w:sz w:val="28"/>
          <w:szCs w:val="28"/>
        </w:rPr>
        <w:t>es</w:t>
      </w:r>
      <w:r w:rsidR="004006F9">
        <w:rPr>
          <w:sz w:val="28"/>
          <w:szCs w:val="28"/>
        </w:rPr>
        <w:t xml:space="preserve"> not apply to lawyers and there is no clear reason why the statutory oath and the Lawyer’s</w:t>
      </w:r>
      <w:r w:rsidR="002E5DF3">
        <w:rPr>
          <w:sz w:val="28"/>
          <w:szCs w:val="28"/>
        </w:rPr>
        <w:t xml:space="preserve"> Oath need to be “harmonized.”  </w:t>
      </w:r>
      <w:r w:rsidR="004006F9">
        <w:rPr>
          <w:sz w:val="28"/>
          <w:szCs w:val="28"/>
        </w:rPr>
        <w:t xml:space="preserve">If the </w:t>
      </w:r>
      <w:r w:rsidR="002E5DF3">
        <w:rPr>
          <w:sz w:val="28"/>
          <w:szCs w:val="28"/>
        </w:rPr>
        <w:t xml:space="preserve">intent is to make them the same, </w:t>
      </w:r>
      <w:r w:rsidR="004006F9">
        <w:rPr>
          <w:sz w:val="28"/>
          <w:szCs w:val="28"/>
        </w:rPr>
        <w:t xml:space="preserve">why </w:t>
      </w:r>
      <w:r w:rsidR="002E5DF3">
        <w:rPr>
          <w:sz w:val="28"/>
          <w:szCs w:val="28"/>
        </w:rPr>
        <w:t>i</w:t>
      </w:r>
      <w:r w:rsidR="004006F9">
        <w:rPr>
          <w:sz w:val="28"/>
          <w:szCs w:val="28"/>
        </w:rPr>
        <w:t>s there no suggestion to add any of the addition</w:t>
      </w:r>
      <w:r w:rsidR="002E5DF3">
        <w:rPr>
          <w:sz w:val="28"/>
          <w:szCs w:val="28"/>
        </w:rPr>
        <w:t>al</w:t>
      </w:r>
      <w:r w:rsidR="004006F9">
        <w:rPr>
          <w:sz w:val="28"/>
          <w:szCs w:val="28"/>
        </w:rPr>
        <w:t xml:space="preserve"> language from the Loyalty Oath?  That oath </w:t>
      </w:r>
      <w:r w:rsidR="00CC116C">
        <w:rPr>
          <w:sz w:val="28"/>
          <w:szCs w:val="28"/>
        </w:rPr>
        <w:t>requires th</w:t>
      </w:r>
      <w:r w:rsidR="004006F9">
        <w:rPr>
          <w:sz w:val="28"/>
          <w:szCs w:val="28"/>
        </w:rPr>
        <w:t xml:space="preserve">at after the person swears </w:t>
      </w:r>
      <w:r w:rsidR="009B1F48">
        <w:rPr>
          <w:sz w:val="28"/>
          <w:szCs w:val="28"/>
        </w:rPr>
        <w:t>“</w:t>
      </w:r>
      <w:r w:rsidR="004006F9">
        <w:rPr>
          <w:sz w:val="28"/>
          <w:szCs w:val="28"/>
        </w:rPr>
        <w:t xml:space="preserve">to support the </w:t>
      </w:r>
      <w:r w:rsidR="009B1F48">
        <w:rPr>
          <w:sz w:val="28"/>
          <w:szCs w:val="28"/>
        </w:rPr>
        <w:t>Constitution of the United States and the Constitution and laws of the State of Arizona” th</w:t>
      </w:r>
      <w:r w:rsidR="00401167">
        <w:rPr>
          <w:sz w:val="28"/>
          <w:szCs w:val="28"/>
        </w:rPr>
        <w:t xml:space="preserve">e </w:t>
      </w:r>
      <w:r w:rsidR="009B1F48">
        <w:rPr>
          <w:sz w:val="28"/>
          <w:szCs w:val="28"/>
        </w:rPr>
        <w:t xml:space="preserve">person additionally swears or affirms </w:t>
      </w:r>
      <w:r w:rsidR="00401167">
        <w:rPr>
          <w:sz w:val="28"/>
          <w:szCs w:val="28"/>
        </w:rPr>
        <w:t xml:space="preserve">that </w:t>
      </w:r>
      <w:r w:rsidR="00CC116C">
        <w:rPr>
          <w:sz w:val="28"/>
          <w:szCs w:val="28"/>
        </w:rPr>
        <w:t xml:space="preserve">they “. . . will bear true faith and allegiance to the same and defend them against all enemies, foreign and domestic, and that I will faithfully and impartially discharge the duties of the office of _____________ according to the best of my ability, so help me God (or </w:t>
      </w:r>
      <w:r w:rsidR="002E5DF3">
        <w:rPr>
          <w:sz w:val="28"/>
          <w:szCs w:val="28"/>
        </w:rPr>
        <w:t xml:space="preserve">so </w:t>
      </w:r>
      <w:r w:rsidR="00CC116C">
        <w:rPr>
          <w:sz w:val="28"/>
          <w:szCs w:val="28"/>
        </w:rPr>
        <w:t xml:space="preserve">I </w:t>
      </w:r>
      <w:r w:rsidR="002E5DF3">
        <w:rPr>
          <w:sz w:val="28"/>
          <w:szCs w:val="28"/>
        </w:rPr>
        <w:t>d</w:t>
      </w:r>
      <w:r w:rsidR="00CC116C">
        <w:rPr>
          <w:sz w:val="28"/>
          <w:szCs w:val="28"/>
        </w:rPr>
        <w:t xml:space="preserve">o </w:t>
      </w:r>
      <w:r w:rsidR="00AB196E">
        <w:rPr>
          <w:sz w:val="28"/>
          <w:szCs w:val="28"/>
        </w:rPr>
        <w:t xml:space="preserve">affirm).”  A.R.S. § 38-321(E).  </w:t>
      </w:r>
      <w:r w:rsidR="002E5DF3">
        <w:rPr>
          <w:sz w:val="28"/>
          <w:szCs w:val="28"/>
        </w:rPr>
        <w:t>N</w:t>
      </w:r>
      <w:r w:rsidR="00CC116C">
        <w:rPr>
          <w:sz w:val="28"/>
          <w:szCs w:val="28"/>
        </w:rPr>
        <w:t xml:space="preserve">o one is seeking to add this </w:t>
      </w:r>
      <w:r w:rsidR="00AB196E">
        <w:rPr>
          <w:sz w:val="28"/>
          <w:szCs w:val="28"/>
        </w:rPr>
        <w:t xml:space="preserve">additional </w:t>
      </w:r>
      <w:r w:rsidR="00CC116C">
        <w:rPr>
          <w:sz w:val="28"/>
          <w:szCs w:val="28"/>
        </w:rPr>
        <w:t xml:space="preserve">language to the </w:t>
      </w:r>
      <w:r w:rsidR="00AB196E">
        <w:rPr>
          <w:sz w:val="28"/>
          <w:szCs w:val="28"/>
        </w:rPr>
        <w:t>L</w:t>
      </w:r>
      <w:r w:rsidR="00CC116C">
        <w:rPr>
          <w:sz w:val="28"/>
          <w:szCs w:val="28"/>
        </w:rPr>
        <w:t xml:space="preserve">awyer’s </w:t>
      </w:r>
      <w:r w:rsidR="00AB196E">
        <w:rPr>
          <w:sz w:val="28"/>
          <w:szCs w:val="28"/>
        </w:rPr>
        <w:t>O</w:t>
      </w:r>
      <w:r w:rsidR="00CC116C">
        <w:rPr>
          <w:sz w:val="28"/>
          <w:szCs w:val="28"/>
        </w:rPr>
        <w:t xml:space="preserve">ath to “harmonize” </w:t>
      </w:r>
      <w:r w:rsidR="00AB196E">
        <w:rPr>
          <w:sz w:val="28"/>
          <w:szCs w:val="28"/>
        </w:rPr>
        <w:t>it</w:t>
      </w:r>
      <w:r w:rsidR="00CC116C">
        <w:rPr>
          <w:sz w:val="28"/>
          <w:szCs w:val="28"/>
        </w:rPr>
        <w:t xml:space="preserve"> with the statute</w:t>
      </w:r>
      <w:r w:rsidR="002E5DF3">
        <w:rPr>
          <w:sz w:val="28"/>
          <w:szCs w:val="28"/>
        </w:rPr>
        <w:t xml:space="preserve"> likely because the two oaths serve completely different purposes so there is no reason </w:t>
      </w:r>
      <w:r w:rsidR="007A1567">
        <w:rPr>
          <w:sz w:val="28"/>
          <w:szCs w:val="28"/>
        </w:rPr>
        <w:t xml:space="preserve">for them to </w:t>
      </w:r>
      <w:r w:rsidR="002E5DF3">
        <w:rPr>
          <w:sz w:val="28"/>
          <w:szCs w:val="28"/>
        </w:rPr>
        <w:t xml:space="preserve">be identical.  </w:t>
      </w:r>
      <w:r w:rsidR="009B1F48">
        <w:rPr>
          <w:sz w:val="28"/>
          <w:szCs w:val="28"/>
        </w:rPr>
        <w:t xml:space="preserve">If there is a </w:t>
      </w:r>
      <w:r w:rsidR="002E5DF3">
        <w:rPr>
          <w:sz w:val="28"/>
          <w:szCs w:val="28"/>
        </w:rPr>
        <w:t xml:space="preserve">legitimate </w:t>
      </w:r>
      <w:r w:rsidR="009B1F48">
        <w:rPr>
          <w:sz w:val="28"/>
          <w:szCs w:val="28"/>
        </w:rPr>
        <w:t xml:space="preserve">reason to make them the same, then </w:t>
      </w:r>
      <w:r w:rsidR="00864502">
        <w:rPr>
          <w:sz w:val="28"/>
          <w:szCs w:val="28"/>
        </w:rPr>
        <w:t>they should be</w:t>
      </w:r>
      <w:r w:rsidR="009B1F48">
        <w:rPr>
          <w:sz w:val="28"/>
          <w:szCs w:val="28"/>
        </w:rPr>
        <w:t xml:space="preserve"> the same in their entirety.  </w:t>
      </w:r>
    </w:p>
    <w:p w:rsidR="009B1F48" w:rsidRDefault="009B1F48"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It is not surprising, however, that the oath for state government employees would emphasize the “laws” of Arizona</w:t>
      </w:r>
      <w:r w:rsidR="002E5DF3">
        <w:rPr>
          <w:sz w:val="28"/>
          <w:szCs w:val="28"/>
        </w:rPr>
        <w:t xml:space="preserve"> while not mentioning the laws of the United States</w:t>
      </w:r>
      <w:r>
        <w:rPr>
          <w:sz w:val="28"/>
          <w:szCs w:val="28"/>
        </w:rPr>
        <w:t xml:space="preserve">.  The laws of Arizona are the specific items that these employees are charged with administering, enforcing, </w:t>
      </w:r>
      <w:r w:rsidR="00401167">
        <w:rPr>
          <w:sz w:val="28"/>
          <w:szCs w:val="28"/>
        </w:rPr>
        <w:t>and</w:t>
      </w:r>
      <w:r>
        <w:rPr>
          <w:sz w:val="28"/>
          <w:szCs w:val="28"/>
        </w:rPr>
        <w:t xml:space="preserve"> following.  Arizona state employees are not required to work with or support federal laws in the same way they are required to </w:t>
      </w:r>
      <w:r w:rsidRPr="00401167">
        <w:rPr>
          <w:i/>
          <w:sz w:val="28"/>
          <w:szCs w:val="28"/>
        </w:rPr>
        <w:t>implement</w:t>
      </w:r>
      <w:r>
        <w:rPr>
          <w:sz w:val="28"/>
          <w:szCs w:val="28"/>
        </w:rPr>
        <w:t xml:space="preserve"> Arizona law.  Therefore, the legislature’s specific reference to the “laws” of Arizona in the statutory oath makes sense.  The same is not true for all lawyers, however, as many of them will work heavily or exclusively in areas covered by federal law despite the fact that they are members of the Arizona State Bar.  </w:t>
      </w:r>
      <w:r w:rsidR="00401167">
        <w:rPr>
          <w:sz w:val="28"/>
          <w:szCs w:val="28"/>
        </w:rPr>
        <w:t xml:space="preserve">The Lawyer’s Oath and the Arizona Loyalty Oath serve different purposes and it is not necessary to modify </w:t>
      </w:r>
      <w:r>
        <w:rPr>
          <w:sz w:val="28"/>
          <w:szCs w:val="28"/>
        </w:rPr>
        <w:t xml:space="preserve">the </w:t>
      </w:r>
      <w:r w:rsidR="007A1567">
        <w:rPr>
          <w:sz w:val="28"/>
          <w:szCs w:val="28"/>
        </w:rPr>
        <w:t>Lawyer’s O</w:t>
      </w:r>
      <w:r>
        <w:rPr>
          <w:sz w:val="28"/>
          <w:szCs w:val="28"/>
        </w:rPr>
        <w:t>ath to specifically emphasize the laws of Arizona</w:t>
      </w:r>
      <w:r w:rsidR="00864502">
        <w:rPr>
          <w:sz w:val="28"/>
          <w:szCs w:val="28"/>
        </w:rPr>
        <w:t xml:space="preserve">.  </w:t>
      </w:r>
      <w:r w:rsidR="007A1567">
        <w:rPr>
          <w:sz w:val="28"/>
          <w:szCs w:val="28"/>
        </w:rPr>
        <w:t xml:space="preserve">However, </w:t>
      </w:r>
      <w:r>
        <w:rPr>
          <w:sz w:val="28"/>
          <w:szCs w:val="28"/>
        </w:rPr>
        <w:t>if it needs to be included, it should be included as a reference to both the laws of the United States and Arizona</w:t>
      </w:r>
      <w:r w:rsidR="00864502">
        <w:rPr>
          <w:sz w:val="28"/>
          <w:szCs w:val="28"/>
        </w:rPr>
        <w:t>.</w:t>
      </w:r>
    </w:p>
    <w:p w:rsidR="00CC116C" w:rsidRDefault="00CC116C"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B44AB4">
        <w:rPr>
          <w:sz w:val="28"/>
          <w:szCs w:val="28"/>
        </w:rPr>
        <w:t>Likewise, R</w:t>
      </w:r>
      <w:r>
        <w:rPr>
          <w:sz w:val="28"/>
          <w:szCs w:val="28"/>
        </w:rPr>
        <w:t xml:space="preserve">ule 32(c)(3) of the Rules of the Supreme Court </w:t>
      </w:r>
      <w:r w:rsidR="00B44AB4">
        <w:rPr>
          <w:sz w:val="28"/>
          <w:szCs w:val="28"/>
        </w:rPr>
        <w:t xml:space="preserve">does not require any change to the Lawyer’s Oath.  Rule </w:t>
      </w:r>
      <w:r w:rsidR="006A678A">
        <w:rPr>
          <w:sz w:val="28"/>
          <w:szCs w:val="28"/>
        </w:rPr>
        <w:t xml:space="preserve">32(c)(3) </w:t>
      </w:r>
      <w:r>
        <w:rPr>
          <w:sz w:val="28"/>
          <w:szCs w:val="28"/>
        </w:rPr>
        <w:t xml:space="preserve">requires that anyone admitted to </w:t>
      </w:r>
      <w:r w:rsidR="00B44AB4">
        <w:rPr>
          <w:sz w:val="28"/>
          <w:szCs w:val="28"/>
        </w:rPr>
        <w:t xml:space="preserve">the </w:t>
      </w:r>
      <w:r>
        <w:rPr>
          <w:sz w:val="28"/>
          <w:szCs w:val="28"/>
        </w:rPr>
        <w:t>state bar must “take and subscribe an oath to support the constitution of the United States and the constitution and law</w:t>
      </w:r>
      <w:r w:rsidR="006A678A">
        <w:rPr>
          <w:sz w:val="28"/>
          <w:szCs w:val="28"/>
        </w:rPr>
        <w:t>s</w:t>
      </w:r>
      <w:r>
        <w:rPr>
          <w:sz w:val="28"/>
          <w:szCs w:val="28"/>
        </w:rPr>
        <w:t xml:space="preserve"> of the State of Arizona in the form p</w:t>
      </w:r>
      <w:r w:rsidR="00BB418F">
        <w:rPr>
          <w:sz w:val="28"/>
          <w:szCs w:val="28"/>
        </w:rPr>
        <w:t xml:space="preserve">rovided by the supreme court.”  </w:t>
      </w:r>
      <w:r>
        <w:rPr>
          <w:sz w:val="28"/>
          <w:szCs w:val="28"/>
        </w:rPr>
        <w:t xml:space="preserve">Nothing in the </w:t>
      </w:r>
      <w:r w:rsidR="006A678A">
        <w:rPr>
          <w:sz w:val="28"/>
          <w:szCs w:val="28"/>
        </w:rPr>
        <w:t>r</w:t>
      </w:r>
      <w:r>
        <w:rPr>
          <w:sz w:val="28"/>
          <w:szCs w:val="28"/>
        </w:rPr>
        <w:t xml:space="preserve">ule is in quotes and </w:t>
      </w:r>
      <w:r w:rsidR="006A678A">
        <w:rPr>
          <w:sz w:val="28"/>
          <w:szCs w:val="28"/>
        </w:rPr>
        <w:t>it</w:t>
      </w:r>
      <w:r>
        <w:rPr>
          <w:sz w:val="28"/>
          <w:szCs w:val="28"/>
        </w:rPr>
        <w:t xml:space="preserve"> does not mandate that the oath be a verbatim statement from the </w:t>
      </w:r>
      <w:r w:rsidR="006A678A">
        <w:rPr>
          <w:sz w:val="28"/>
          <w:szCs w:val="28"/>
        </w:rPr>
        <w:t>r</w:t>
      </w:r>
      <w:r>
        <w:rPr>
          <w:sz w:val="28"/>
          <w:szCs w:val="28"/>
        </w:rPr>
        <w:t xml:space="preserve">ule.  Indeed, the </w:t>
      </w:r>
      <w:r w:rsidR="006A678A">
        <w:rPr>
          <w:sz w:val="28"/>
          <w:szCs w:val="28"/>
        </w:rPr>
        <w:t>r</w:t>
      </w:r>
      <w:r>
        <w:rPr>
          <w:sz w:val="28"/>
          <w:szCs w:val="28"/>
        </w:rPr>
        <w:t xml:space="preserve">ule contemplates that the oath may vary </w:t>
      </w:r>
      <w:r w:rsidR="006A678A">
        <w:rPr>
          <w:sz w:val="28"/>
          <w:szCs w:val="28"/>
        </w:rPr>
        <w:t xml:space="preserve">because </w:t>
      </w:r>
      <w:r>
        <w:rPr>
          <w:sz w:val="28"/>
          <w:szCs w:val="28"/>
        </w:rPr>
        <w:t>the rule allows the oath to be in any form approved by the supreme court.</w:t>
      </w:r>
      <w:r w:rsidR="006A678A">
        <w:rPr>
          <w:sz w:val="28"/>
          <w:szCs w:val="28"/>
        </w:rPr>
        <w:t xml:space="preserve">  </w:t>
      </w:r>
      <w:r w:rsidR="00BB418F">
        <w:rPr>
          <w:sz w:val="28"/>
          <w:szCs w:val="28"/>
        </w:rPr>
        <w:t xml:space="preserve">Obviously Rule 32 does not require specific language because the current oath is much more detailed and </w:t>
      </w:r>
      <w:r w:rsidR="00014BA1">
        <w:rPr>
          <w:sz w:val="28"/>
          <w:szCs w:val="28"/>
        </w:rPr>
        <w:t>much broader</w:t>
      </w:r>
      <w:r w:rsidR="00BB418F">
        <w:rPr>
          <w:sz w:val="28"/>
          <w:szCs w:val="28"/>
        </w:rPr>
        <w:t xml:space="preserve"> than the general statement provided in Rule 32.  </w:t>
      </w:r>
      <w:r w:rsidR="006A678A">
        <w:rPr>
          <w:sz w:val="28"/>
          <w:szCs w:val="28"/>
        </w:rPr>
        <w:t xml:space="preserve">The current </w:t>
      </w:r>
      <w:r w:rsidR="009062BC">
        <w:rPr>
          <w:sz w:val="28"/>
          <w:szCs w:val="28"/>
        </w:rPr>
        <w:t>Lawyer’s Oath</w:t>
      </w:r>
      <w:r w:rsidR="006A678A">
        <w:rPr>
          <w:sz w:val="28"/>
          <w:szCs w:val="28"/>
        </w:rPr>
        <w:t>, approved by this Court</w:t>
      </w:r>
      <w:r w:rsidR="009062BC">
        <w:rPr>
          <w:sz w:val="28"/>
          <w:szCs w:val="28"/>
        </w:rPr>
        <w:t>,</w:t>
      </w:r>
      <w:r w:rsidR="006A678A">
        <w:rPr>
          <w:sz w:val="28"/>
          <w:szCs w:val="28"/>
        </w:rPr>
        <w:t xml:space="preserve"> substantially follows the requirements of </w:t>
      </w:r>
      <w:r w:rsidR="00DE265A">
        <w:rPr>
          <w:sz w:val="28"/>
          <w:szCs w:val="28"/>
        </w:rPr>
        <w:t>Rule 32</w:t>
      </w:r>
      <w:r w:rsidR="006A678A">
        <w:rPr>
          <w:sz w:val="28"/>
          <w:szCs w:val="28"/>
        </w:rPr>
        <w:t xml:space="preserve"> </w:t>
      </w:r>
      <w:r w:rsidR="009062BC">
        <w:rPr>
          <w:sz w:val="28"/>
          <w:szCs w:val="28"/>
        </w:rPr>
        <w:t xml:space="preserve">and </w:t>
      </w:r>
      <w:r w:rsidR="00DE265A">
        <w:rPr>
          <w:sz w:val="28"/>
          <w:szCs w:val="28"/>
        </w:rPr>
        <w:t xml:space="preserve">it </w:t>
      </w:r>
      <w:r w:rsidR="009062BC">
        <w:rPr>
          <w:sz w:val="28"/>
          <w:szCs w:val="28"/>
        </w:rPr>
        <w:t>does not need to be modified</w:t>
      </w:r>
      <w:r w:rsidR="006A678A">
        <w:rPr>
          <w:sz w:val="28"/>
          <w:szCs w:val="28"/>
        </w:rPr>
        <w:t>.</w:t>
      </w:r>
      <w:r w:rsidR="00014BA1">
        <w:rPr>
          <w:sz w:val="28"/>
          <w:szCs w:val="28"/>
        </w:rPr>
        <w:t xml:space="preserve">  The proposed change to the Lawyer’s Oath </w:t>
      </w:r>
      <w:r w:rsidR="005B321A">
        <w:rPr>
          <w:sz w:val="28"/>
          <w:szCs w:val="28"/>
        </w:rPr>
        <w:t>serves no purpose other than a change for the sake of change and for that reason it should be left as it is.</w:t>
      </w:r>
    </w:p>
    <w:p w:rsidR="005B321A" w:rsidRDefault="005B321A" w:rsidP="005B321A">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ind w:left="720" w:hanging="720"/>
        <w:jc w:val="both"/>
        <w:rPr>
          <w:b/>
          <w:sz w:val="28"/>
          <w:szCs w:val="28"/>
        </w:rPr>
      </w:pPr>
      <w:r>
        <w:rPr>
          <w:b/>
          <w:sz w:val="28"/>
          <w:szCs w:val="28"/>
        </w:rPr>
        <w:t>B.</w:t>
      </w:r>
      <w:r>
        <w:rPr>
          <w:b/>
          <w:sz w:val="28"/>
          <w:szCs w:val="28"/>
        </w:rPr>
        <w:tab/>
        <w:t xml:space="preserve">The proposed change to remove a lawyer’s obligation to support the laws of the United States is antithetical to a lawyer’s duty to the rule of law. </w:t>
      </w:r>
    </w:p>
    <w:p w:rsidR="005B321A" w:rsidRDefault="005B321A" w:rsidP="005B321A">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ind w:left="720" w:hanging="720"/>
        <w:jc w:val="both"/>
        <w:rPr>
          <w:b/>
          <w:sz w:val="28"/>
          <w:szCs w:val="28"/>
        </w:rPr>
      </w:pPr>
    </w:p>
    <w:p w:rsidR="009D5AA9" w:rsidRDefault="009D5AA9"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The addition of “and laws” to the Lawyer’s Oath seems unnecessary and pointless, but, at the same time, it is harmless.  For that reason there was little cause to even comment on the State Bar’s original Petition.  The Court’s suggested change, however, is more concerning.  The new proposal now adds changes to Rule 41 of the Rules of the Supreme Court, and</w:t>
      </w:r>
      <w:r w:rsidR="005719E0">
        <w:rPr>
          <w:sz w:val="28"/>
          <w:szCs w:val="28"/>
        </w:rPr>
        <w:t xml:space="preserve"> </w:t>
      </w:r>
      <w:r>
        <w:rPr>
          <w:sz w:val="28"/>
          <w:szCs w:val="28"/>
        </w:rPr>
        <w:t xml:space="preserve">this proposed change </w:t>
      </w:r>
      <w:r>
        <w:rPr>
          <w:i/>
          <w:sz w:val="28"/>
          <w:szCs w:val="28"/>
        </w:rPr>
        <w:t>deletes</w:t>
      </w:r>
      <w:r>
        <w:rPr>
          <w:sz w:val="28"/>
          <w:szCs w:val="28"/>
        </w:rPr>
        <w:t xml:space="preserve"> a lawyer’s duty to support the laws of the United States.  </w:t>
      </w:r>
      <w:r w:rsidR="00F222AA">
        <w:rPr>
          <w:sz w:val="28"/>
          <w:szCs w:val="28"/>
        </w:rPr>
        <w:t>D</w:t>
      </w:r>
      <w:r>
        <w:rPr>
          <w:sz w:val="28"/>
          <w:szCs w:val="28"/>
        </w:rPr>
        <w:t>eleting a lawyer</w:t>
      </w:r>
      <w:r w:rsidR="00AD269A">
        <w:rPr>
          <w:sz w:val="28"/>
          <w:szCs w:val="28"/>
        </w:rPr>
        <w:t>’</w:t>
      </w:r>
      <w:r>
        <w:rPr>
          <w:sz w:val="28"/>
          <w:szCs w:val="28"/>
        </w:rPr>
        <w:t>s obligation to support the laws of the United States</w:t>
      </w:r>
      <w:r w:rsidR="00AD269A">
        <w:rPr>
          <w:sz w:val="28"/>
          <w:szCs w:val="28"/>
        </w:rPr>
        <w:t xml:space="preserve"> is completely contrary to the respect for the rule of law that the </w:t>
      </w:r>
      <w:r w:rsidR="00F222AA">
        <w:rPr>
          <w:sz w:val="28"/>
          <w:szCs w:val="28"/>
        </w:rPr>
        <w:t xml:space="preserve">Lawyer’s </w:t>
      </w:r>
      <w:r w:rsidR="00AD269A">
        <w:rPr>
          <w:sz w:val="28"/>
          <w:szCs w:val="28"/>
        </w:rPr>
        <w:t>Oath, Creed, and Rules of Professionalism require.</w:t>
      </w:r>
      <w:r w:rsidR="00732931">
        <w:rPr>
          <w:sz w:val="28"/>
          <w:szCs w:val="28"/>
        </w:rPr>
        <w:t xml:space="preserve">  What is the possible benefit from affirmatively eliminating a lawyer’s duty and obligation to support the laws of the United States?  The law</w:t>
      </w:r>
      <w:r w:rsidR="0078310A">
        <w:rPr>
          <w:sz w:val="28"/>
          <w:szCs w:val="28"/>
        </w:rPr>
        <w:t>s</w:t>
      </w:r>
      <w:r w:rsidR="00732931">
        <w:rPr>
          <w:sz w:val="28"/>
          <w:szCs w:val="28"/>
        </w:rPr>
        <w:t xml:space="preserve"> of the United States are the supreme law</w:t>
      </w:r>
      <w:r w:rsidR="00F222AA">
        <w:rPr>
          <w:sz w:val="28"/>
          <w:szCs w:val="28"/>
        </w:rPr>
        <w:t>s</w:t>
      </w:r>
      <w:r w:rsidR="00732931">
        <w:rPr>
          <w:sz w:val="28"/>
          <w:szCs w:val="28"/>
        </w:rPr>
        <w:t xml:space="preserve"> of the land. How can a lawyer support the </w:t>
      </w:r>
      <w:r w:rsidR="00F222AA">
        <w:rPr>
          <w:sz w:val="28"/>
          <w:szCs w:val="28"/>
        </w:rPr>
        <w:t>C</w:t>
      </w:r>
      <w:r w:rsidR="00732931">
        <w:rPr>
          <w:sz w:val="28"/>
          <w:szCs w:val="28"/>
        </w:rPr>
        <w:t>onstitution of the United States without suppo</w:t>
      </w:r>
      <w:r w:rsidR="0078310A">
        <w:rPr>
          <w:sz w:val="28"/>
          <w:szCs w:val="28"/>
        </w:rPr>
        <w:t>rting the laws created under that</w:t>
      </w:r>
      <w:r w:rsidR="00732931">
        <w:rPr>
          <w:sz w:val="28"/>
          <w:szCs w:val="28"/>
        </w:rPr>
        <w:t xml:space="preserve"> constitution?  </w:t>
      </w:r>
      <w:r w:rsidR="00F222AA">
        <w:rPr>
          <w:sz w:val="28"/>
          <w:szCs w:val="28"/>
        </w:rPr>
        <w:t xml:space="preserve">Because the obvious answer is that to support the </w:t>
      </w:r>
      <w:r w:rsidR="0078310A">
        <w:rPr>
          <w:sz w:val="28"/>
          <w:szCs w:val="28"/>
        </w:rPr>
        <w:t>United States C</w:t>
      </w:r>
      <w:r w:rsidR="00F222AA">
        <w:rPr>
          <w:sz w:val="28"/>
          <w:szCs w:val="28"/>
        </w:rPr>
        <w:t xml:space="preserve">onstitution a lawyer must necessarily support the laws </w:t>
      </w:r>
      <w:r w:rsidR="0078310A">
        <w:rPr>
          <w:sz w:val="28"/>
          <w:szCs w:val="28"/>
        </w:rPr>
        <w:t xml:space="preserve">of the United States </w:t>
      </w:r>
      <w:r w:rsidR="00F222AA">
        <w:rPr>
          <w:sz w:val="28"/>
          <w:szCs w:val="28"/>
        </w:rPr>
        <w:t>as well, one might argue that the “laws” language is superfluous</w:t>
      </w:r>
      <w:r w:rsidR="0078310A">
        <w:rPr>
          <w:sz w:val="28"/>
          <w:szCs w:val="28"/>
        </w:rPr>
        <w:t xml:space="preserve"> and that is why it is being deleted</w:t>
      </w:r>
      <w:r w:rsidR="00F222AA">
        <w:rPr>
          <w:sz w:val="28"/>
          <w:szCs w:val="28"/>
        </w:rPr>
        <w:t>.  But this cannot be the justification for this proposed change because the rule continues to require that lawyers support the constitution</w:t>
      </w:r>
      <w:r w:rsidR="00F222AA">
        <w:rPr>
          <w:i/>
          <w:sz w:val="28"/>
          <w:szCs w:val="28"/>
        </w:rPr>
        <w:t xml:space="preserve"> and </w:t>
      </w:r>
      <w:r w:rsidR="00F222AA">
        <w:rPr>
          <w:sz w:val="28"/>
          <w:szCs w:val="28"/>
        </w:rPr>
        <w:t>laws of Arizona.  If this Court is taking the time to affirmatively delete a lawyer’s obligation to support the laws of the United States it must mean something, but it begs the qu</w:t>
      </w:r>
      <w:r w:rsidR="00F60123">
        <w:rPr>
          <w:sz w:val="28"/>
          <w:szCs w:val="28"/>
        </w:rPr>
        <w:t>estion of what this Court is</w:t>
      </w:r>
      <w:r w:rsidR="00F222AA">
        <w:rPr>
          <w:sz w:val="28"/>
          <w:szCs w:val="28"/>
        </w:rPr>
        <w:t xml:space="preserve"> trying to say.  </w:t>
      </w:r>
      <w:r w:rsidR="000429FC">
        <w:rPr>
          <w:sz w:val="28"/>
          <w:szCs w:val="28"/>
        </w:rPr>
        <w:t xml:space="preserve">The only conclusion is that </w:t>
      </w:r>
      <w:r w:rsidR="00732931">
        <w:rPr>
          <w:sz w:val="28"/>
          <w:szCs w:val="28"/>
        </w:rPr>
        <w:t xml:space="preserve">this Court expects lawyers to support the laws of Arizona differently </w:t>
      </w:r>
      <w:r w:rsidR="000429FC">
        <w:rPr>
          <w:sz w:val="28"/>
          <w:szCs w:val="28"/>
        </w:rPr>
        <w:t xml:space="preserve">from </w:t>
      </w:r>
      <w:r w:rsidR="00732931">
        <w:rPr>
          <w:sz w:val="28"/>
          <w:szCs w:val="28"/>
        </w:rPr>
        <w:t>the laws of the United States.  Surely this Court has not decided that the laws of the United States are not worthy of an Arizona lawyer’s support.  Yet this change, proposed without any rationale or discussion, would suggest such a decision ha</w:t>
      </w:r>
      <w:r w:rsidR="00F60123">
        <w:rPr>
          <w:sz w:val="28"/>
          <w:szCs w:val="28"/>
        </w:rPr>
        <w:t>s</w:t>
      </w:r>
      <w:r w:rsidR="00732931">
        <w:rPr>
          <w:sz w:val="28"/>
          <w:szCs w:val="28"/>
        </w:rPr>
        <w:t xml:space="preserve"> been made.  </w:t>
      </w:r>
    </w:p>
    <w:p w:rsidR="00732931" w:rsidRDefault="00732931"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To the extent that this proposed change is merely an effort to “clean up” and simplify the language of Rule 41</w:t>
      </w:r>
      <w:r w:rsidR="0069654E">
        <w:rPr>
          <w:sz w:val="28"/>
          <w:szCs w:val="28"/>
        </w:rPr>
        <w:t xml:space="preserve"> a far more adequate and responsible way to do so would be “(b). To support the constitution and laws of the United States and the State of Arizona.”  At worst, this </w:t>
      </w:r>
      <w:r w:rsidR="00E539FE">
        <w:rPr>
          <w:sz w:val="28"/>
          <w:szCs w:val="28"/>
        </w:rPr>
        <w:t xml:space="preserve">proposed </w:t>
      </w:r>
      <w:r w:rsidR="0069654E">
        <w:rPr>
          <w:sz w:val="28"/>
          <w:szCs w:val="28"/>
        </w:rPr>
        <w:t xml:space="preserve">change </w:t>
      </w:r>
      <w:r w:rsidR="00E539FE">
        <w:rPr>
          <w:sz w:val="28"/>
          <w:szCs w:val="28"/>
        </w:rPr>
        <w:t xml:space="preserve">to eliminate </w:t>
      </w:r>
      <w:r w:rsidR="0069654E">
        <w:rPr>
          <w:sz w:val="28"/>
          <w:szCs w:val="28"/>
        </w:rPr>
        <w:t xml:space="preserve">a lawyer’s responsibility to support the laws of the United States is an unreasonable (and ironically unconstitutional) political position that this Court should not take; at best, it is a poor attempt at improved drafting that only succeeds at creating confusion about the Court’s intent.  Either way, it is a proposal that should </w:t>
      </w:r>
      <w:r w:rsidR="0078310A">
        <w:rPr>
          <w:sz w:val="28"/>
          <w:szCs w:val="28"/>
        </w:rPr>
        <w:t>be denied</w:t>
      </w:r>
      <w:r w:rsidR="0069654E">
        <w:rPr>
          <w:sz w:val="28"/>
          <w:szCs w:val="28"/>
        </w:rPr>
        <w:t>.</w:t>
      </w:r>
    </w:p>
    <w:p w:rsidR="003847DA" w:rsidRDefault="003847DA"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b/>
          <w:sz w:val="28"/>
          <w:szCs w:val="28"/>
        </w:rPr>
        <w:t>III.  CONCLUSION</w:t>
      </w:r>
    </w:p>
    <w:p w:rsidR="003847DA" w:rsidRPr="003847DA" w:rsidRDefault="003847DA" w:rsidP="00A95CC0">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Many of the Court’s suggested changes to the </w:t>
      </w:r>
      <w:r w:rsidR="00E539FE">
        <w:rPr>
          <w:sz w:val="28"/>
          <w:szCs w:val="28"/>
        </w:rPr>
        <w:t xml:space="preserve">Lawyer’s </w:t>
      </w:r>
      <w:r>
        <w:rPr>
          <w:sz w:val="28"/>
          <w:szCs w:val="28"/>
        </w:rPr>
        <w:t>Oath and Creed are unnecessary and go far beyond the few changes originally proposed</w:t>
      </w:r>
      <w:r w:rsidR="00042BFB">
        <w:rPr>
          <w:sz w:val="28"/>
          <w:szCs w:val="28"/>
        </w:rPr>
        <w:t xml:space="preserve">.  The Court’s order does not contain any justification for these modifications and the State Bar’s Petition does not explain the need for such major modifications.  Most concerning, however, is the change in a lawyer’s duty to support the laws of the United States.  </w:t>
      </w:r>
      <w:r w:rsidR="00EE1C9B">
        <w:rPr>
          <w:sz w:val="28"/>
          <w:szCs w:val="28"/>
        </w:rPr>
        <w:t>Regardless of the underlying rationale</w:t>
      </w:r>
      <w:r w:rsidR="00042BFB">
        <w:rPr>
          <w:sz w:val="28"/>
          <w:szCs w:val="28"/>
        </w:rPr>
        <w:t>, the proposed change to Rule 41(b) should be denied.</w:t>
      </w:r>
    </w:p>
    <w:p w:rsidR="00F43A6E" w:rsidRDefault="00F43A6E" w:rsidP="00F43A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sidRPr="00240AD0">
        <w:rPr>
          <w:kern w:val="2"/>
          <w:sz w:val="28"/>
          <w:szCs w:val="28"/>
        </w:rPr>
        <w:t>Respectfully submitted this ____day of</w:t>
      </w:r>
      <w:r>
        <w:rPr>
          <w:kern w:val="2"/>
          <w:sz w:val="28"/>
          <w:szCs w:val="28"/>
        </w:rPr>
        <w:t xml:space="preserve"> October</w:t>
      </w:r>
      <w:r w:rsidRPr="00240AD0">
        <w:rPr>
          <w:kern w:val="2"/>
          <w:sz w:val="28"/>
          <w:szCs w:val="28"/>
        </w:rPr>
        <w:t>, 20</w:t>
      </w:r>
      <w:r>
        <w:rPr>
          <w:kern w:val="2"/>
          <w:sz w:val="28"/>
          <w:szCs w:val="28"/>
        </w:rPr>
        <w:t>16</w:t>
      </w:r>
      <w:r w:rsidRPr="00240AD0">
        <w:rPr>
          <w:kern w:val="2"/>
          <w:sz w:val="28"/>
          <w:szCs w:val="28"/>
        </w:rPr>
        <w:t>.</w:t>
      </w:r>
    </w:p>
    <w:p w:rsidR="001D4729" w:rsidRDefault="001D4729" w:rsidP="00F43A6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p>
    <w:p w:rsidR="00F43A6E" w:rsidRPr="00240AD0" w:rsidRDefault="00F43A6E" w:rsidP="00F43A6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F43A6E" w:rsidRPr="00240AD0" w:rsidRDefault="00F43A6E" w:rsidP="00F43A6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F43A6E" w:rsidRDefault="00F43A6E" w:rsidP="00F43A6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F43A6E" w:rsidRDefault="00F43A6E" w:rsidP="00F43A6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F43A6E" w:rsidRPr="0080485A" w:rsidRDefault="00F43A6E" w:rsidP="00F43A6E">
      <w:pPr>
        <w:keepLines/>
        <w:ind w:left="3600" w:firstLine="720"/>
        <w:rPr>
          <w:rFonts w:cs="Arial"/>
          <w:szCs w:val="24"/>
        </w:rPr>
      </w:pPr>
      <w:r w:rsidRPr="002D22F7">
        <w:rPr>
          <w:rFonts w:cs="Arial"/>
          <w:sz w:val="28"/>
          <w:szCs w:val="28"/>
        </w:rPr>
        <w:t>By</w:t>
      </w:r>
      <w:r w:rsidRPr="0080485A">
        <w:rPr>
          <w:rFonts w:cs="Arial"/>
          <w:szCs w:val="24"/>
        </w:rPr>
        <w:t>______________________</w:t>
      </w:r>
    </w:p>
    <w:p w:rsidR="00F43A6E" w:rsidRDefault="00F43A6E" w:rsidP="00F43A6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MARK FAULL</w:t>
      </w:r>
    </w:p>
    <w:p w:rsidR="00F43A6E" w:rsidRDefault="00F43A6E" w:rsidP="00F43A6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Chief Deputy</w:t>
      </w:r>
    </w:p>
    <w:p w:rsidR="00583C78" w:rsidRPr="00583C78" w:rsidRDefault="00583C78" w:rsidP="00583C78">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rPr>
          <w:kern w:val="2"/>
          <w:sz w:val="28"/>
          <w:szCs w:val="28"/>
        </w:rPr>
      </w:pPr>
    </w:p>
    <w:sectPr w:rsidR="00583C78" w:rsidRPr="00583C78">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7E" w:rsidRDefault="001A367E">
      <w:r>
        <w:separator/>
      </w:r>
    </w:p>
  </w:endnote>
  <w:endnote w:type="continuationSeparator" w:id="0">
    <w:p w:rsidR="001A367E" w:rsidRDefault="001A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1D4729">
      <w:rPr>
        <w:noProof/>
        <w:sz w:val="20"/>
      </w:rPr>
      <w:t>1</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7E" w:rsidRDefault="001A367E">
      <w:r>
        <w:separator/>
      </w:r>
    </w:p>
  </w:footnote>
  <w:footnote w:type="continuationSeparator" w:id="0">
    <w:p w:rsidR="001A367E" w:rsidRDefault="001A367E">
      <w:r>
        <w:continuationSeparator/>
      </w:r>
    </w:p>
  </w:footnote>
  <w:footnote w:id="1">
    <w:p w:rsidR="004006F9" w:rsidRPr="00FF3B22" w:rsidRDefault="004006F9" w:rsidP="004006F9">
      <w:pPr>
        <w:pStyle w:val="FootnoteText"/>
        <w:jc w:val="both"/>
        <w:rPr>
          <w:sz w:val="28"/>
          <w:szCs w:val="28"/>
        </w:rPr>
      </w:pPr>
      <w:r w:rsidRPr="004006F9">
        <w:rPr>
          <w:rStyle w:val="FootnoteReference"/>
          <w:vertAlign w:val="superscript"/>
        </w:rPr>
        <w:footnoteRef/>
      </w:r>
      <w:r w:rsidRPr="004006F9">
        <w:rPr>
          <w:vertAlign w:val="superscript"/>
        </w:rPr>
        <w:t xml:space="preserve"> </w:t>
      </w:r>
      <w:r>
        <w:rPr>
          <w:sz w:val="28"/>
          <w:szCs w:val="28"/>
        </w:rPr>
        <w:t xml:space="preserve">  The Arizona Constitution requires that all judges take an oath to </w:t>
      </w:r>
      <w:r w:rsidR="00374821">
        <w:rPr>
          <w:sz w:val="28"/>
          <w:szCs w:val="28"/>
        </w:rPr>
        <w:t>“</w:t>
      </w:r>
      <w:r>
        <w:rPr>
          <w:sz w:val="28"/>
          <w:szCs w:val="28"/>
        </w:rPr>
        <w:t xml:space="preserve">support the Constitution of the United States and </w:t>
      </w:r>
      <w:r w:rsidR="00374821">
        <w:rPr>
          <w:sz w:val="28"/>
          <w:szCs w:val="28"/>
        </w:rPr>
        <w:t xml:space="preserve">the Constitution of the State of </w:t>
      </w:r>
      <w:r>
        <w:rPr>
          <w:sz w:val="28"/>
          <w:szCs w:val="28"/>
        </w:rPr>
        <w:t>Arizona</w:t>
      </w:r>
      <w:r w:rsidR="00374821">
        <w:rPr>
          <w:sz w:val="28"/>
          <w:szCs w:val="28"/>
        </w:rPr>
        <w:t>”</w:t>
      </w:r>
      <w:r>
        <w:rPr>
          <w:sz w:val="28"/>
          <w:szCs w:val="28"/>
        </w:rPr>
        <w:t xml:space="preserve"> and to faithfully and impartially discharge the duties of the office, but it does not include a </w:t>
      </w:r>
      <w:r w:rsidR="00FF3B22">
        <w:rPr>
          <w:sz w:val="28"/>
          <w:szCs w:val="28"/>
        </w:rPr>
        <w:t xml:space="preserve">specific </w:t>
      </w:r>
      <w:r>
        <w:rPr>
          <w:sz w:val="28"/>
          <w:szCs w:val="28"/>
        </w:rPr>
        <w:t>reference the laws of either the United States or Arizona.</w:t>
      </w:r>
      <w:r w:rsidR="00FF3B22">
        <w:rPr>
          <w:sz w:val="28"/>
          <w:szCs w:val="28"/>
        </w:rPr>
        <w:t xml:space="preserve">  </w:t>
      </w:r>
      <w:r w:rsidR="00FF3B22">
        <w:rPr>
          <w:smallCaps/>
          <w:sz w:val="28"/>
          <w:szCs w:val="28"/>
        </w:rPr>
        <w:t xml:space="preserve">Ariz. Const. </w:t>
      </w:r>
      <w:r w:rsidR="00FF3B22">
        <w:rPr>
          <w:sz w:val="28"/>
          <w:szCs w:val="28"/>
        </w:rPr>
        <w:t>art. 6, §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4BA1"/>
    <w:rsid w:val="00014F75"/>
    <w:rsid w:val="000206EB"/>
    <w:rsid w:val="00033D41"/>
    <w:rsid w:val="000356B6"/>
    <w:rsid w:val="000429FC"/>
    <w:rsid w:val="00042BFB"/>
    <w:rsid w:val="000517EA"/>
    <w:rsid w:val="000540CA"/>
    <w:rsid w:val="00062AD9"/>
    <w:rsid w:val="00091266"/>
    <w:rsid w:val="000A5238"/>
    <w:rsid w:val="000A639F"/>
    <w:rsid w:val="000A6D9F"/>
    <w:rsid w:val="000C72BC"/>
    <w:rsid w:val="001462C8"/>
    <w:rsid w:val="00151ED9"/>
    <w:rsid w:val="00160A0A"/>
    <w:rsid w:val="00172749"/>
    <w:rsid w:val="00186E0B"/>
    <w:rsid w:val="00193A5F"/>
    <w:rsid w:val="001A367E"/>
    <w:rsid w:val="001A7B95"/>
    <w:rsid w:val="001C177E"/>
    <w:rsid w:val="001D4729"/>
    <w:rsid w:val="001F129E"/>
    <w:rsid w:val="002208FE"/>
    <w:rsid w:val="002344A9"/>
    <w:rsid w:val="00240AD0"/>
    <w:rsid w:val="00241C3C"/>
    <w:rsid w:val="00264DAB"/>
    <w:rsid w:val="00291F6B"/>
    <w:rsid w:val="00293418"/>
    <w:rsid w:val="00296C13"/>
    <w:rsid w:val="002A47F1"/>
    <w:rsid w:val="002B7D2E"/>
    <w:rsid w:val="002C701F"/>
    <w:rsid w:val="002C702F"/>
    <w:rsid w:val="002D22F7"/>
    <w:rsid w:val="002E5DF3"/>
    <w:rsid w:val="002F2A78"/>
    <w:rsid w:val="002F3EB1"/>
    <w:rsid w:val="002F499A"/>
    <w:rsid w:val="00313306"/>
    <w:rsid w:val="003165C9"/>
    <w:rsid w:val="00330B95"/>
    <w:rsid w:val="003616F4"/>
    <w:rsid w:val="00374821"/>
    <w:rsid w:val="00375DCD"/>
    <w:rsid w:val="00375E59"/>
    <w:rsid w:val="003847DA"/>
    <w:rsid w:val="00386A35"/>
    <w:rsid w:val="003968B9"/>
    <w:rsid w:val="003B1545"/>
    <w:rsid w:val="004006F9"/>
    <w:rsid w:val="00401167"/>
    <w:rsid w:val="00424CA3"/>
    <w:rsid w:val="004363FF"/>
    <w:rsid w:val="00444AB3"/>
    <w:rsid w:val="00466C3A"/>
    <w:rsid w:val="00467A67"/>
    <w:rsid w:val="00480D6D"/>
    <w:rsid w:val="004851FD"/>
    <w:rsid w:val="00494514"/>
    <w:rsid w:val="004A7039"/>
    <w:rsid w:val="004C3B70"/>
    <w:rsid w:val="004D370F"/>
    <w:rsid w:val="004F6F2A"/>
    <w:rsid w:val="004F7D43"/>
    <w:rsid w:val="0054761C"/>
    <w:rsid w:val="005719E0"/>
    <w:rsid w:val="00572D5C"/>
    <w:rsid w:val="00583854"/>
    <w:rsid w:val="00583C78"/>
    <w:rsid w:val="00585CC4"/>
    <w:rsid w:val="005914D5"/>
    <w:rsid w:val="005B321A"/>
    <w:rsid w:val="005F3216"/>
    <w:rsid w:val="005F5F61"/>
    <w:rsid w:val="00601830"/>
    <w:rsid w:val="006027C0"/>
    <w:rsid w:val="00620DBB"/>
    <w:rsid w:val="00633330"/>
    <w:rsid w:val="00642713"/>
    <w:rsid w:val="0065463E"/>
    <w:rsid w:val="006619B2"/>
    <w:rsid w:val="006711C7"/>
    <w:rsid w:val="00680D2C"/>
    <w:rsid w:val="006840D9"/>
    <w:rsid w:val="0069654E"/>
    <w:rsid w:val="006A678A"/>
    <w:rsid w:val="006D3B9E"/>
    <w:rsid w:val="006F1A7C"/>
    <w:rsid w:val="006F1AAC"/>
    <w:rsid w:val="00707B10"/>
    <w:rsid w:val="00714098"/>
    <w:rsid w:val="00732931"/>
    <w:rsid w:val="0078310A"/>
    <w:rsid w:val="0079128E"/>
    <w:rsid w:val="007A1567"/>
    <w:rsid w:val="007B2EB9"/>
    <w:rsid w:val="007D0F12"/>
    <w:rsid w:val="00804992"/>
    <w:rsid w:val="00831EC9"/>
    <w:rsid w:val="008455F6"/>
    <w:rsid w:val="00850C3E"/>
    <w:rsid w:val="00864502"/>
    <w:rsid w:val="008858DA"/>
    <w:rsid w:val="008A5C26"/>
    <w:rsid w:val="008B718A"/>
    <w:rsid w:val="008C3D93"/>
    <w:rsid w:val="009062BC"/>
    <w:rsid w:val="00947D99"/>
    <w:rsid w:val="00952701"/>
    <w:rsid w:val="0096556F"/>
    <w:rsid w:val="00980F4C"/>
    <w:rsid w:val="009B1F48"/>
    <w:rsid w:val="009C08F8"/>
    <w:rsid w:val="009C477B"/>
    <w:rsid w:val="009D5AA9"/>
    <w:rsid w:val="009F35FF"/>
    <w:rsid w:val="00A035EA"/>
    <w:rsid w:val="00A27296"/>
    <w:rsid w:val="00A30908"/>
    <w:rsid w:val="00A34E85"/>
    <w:rsid w:val="00A42C92"/>
    <w:rsid w:val="00A56857"/>
    <w:rsid w:val="00A73F88"/>
    <w:rsid w:val="00A745EF"/>
    <w:rsid w:val="00A77D3A"/>
    <w:rsid w:val="00A95CC0"/>
    <w:rsid w:val="00A97971"/>
    <w:rsid w:val="00AA12EA"/>
    <w:rsid w:val="00AB196E"/>
    <w:rsid w:val="00AD14AC"/>
    <w:rsid w:val="00AD269A"/>
    <w:rsid w:val="00AD6B2B"/>
    <w:rsid w:val="00AE4D6B"/>
    <w:rsid w:val="00AE75B3"/>
    <w:rsid w:val="00AF5C12"/>
    <w:rsid w:val="00B02B57"/>
    <w:rsid w:val="00B03DED"/>
    <w:rsid w:val="00B04EFF"/>
    <w:rsid w:val="00B13E25"/>
    <w:rsid w:val="00B27E77"/>
    <w:rsid w:val="00B3764E"/>
    <w:rsid w:val="00B44AB4"/>
    <w:rsid w:val="00B464A5"/>
    <w:rsid w:val="00B532D8"/>
    <w:rsid w:val="00B604A9"/>
    <w:rsid w:val="00B75DC0"/>
    <w:rsid w:val="00BB418F"/>
    <w:rsid w:val="00BD58C4"/>
    <w:rsid w:val="00BF23F8"/>
    <w:rsid w:val="00BF5583"/>
    <w:rsid w:val="00C001D7"/>
    <w:rsid w:val="00C03076"/>
    <w:rsid w:val="00C20E87"/>
    <w:rsid w:val="00C35878"/>
    <w:rsid w:val="00C453DE"/>
    <w:rsid w:val="00C74C5F"/>
    <w:rsid w:val="00C83859"/>
    <w:rsid w:val="00C966EF"/>
    <w:rsid w:val="00CA4AE7"/>
    <w:rsid w:val="00CC116C"/>
    <w:rsid w:val="00CD7181"/>
    <w:rsid w:val="00CE2C53"/>
    <w:rsid w:val="00CF4C05"/>
    <w:rsid w:val="00D225A5"/>
    <w:rsid w:val="00D40318"/>
    <w:rsid w:val="00D52A27"/>
    <w:rsid w:val="00D54AE8"/>
    <w:rsid w:val="00DC1528"/>
    <w:rsid w:val="00DD5CED"/>
    <w:rsid w:val="00DD770B"/>
    <w:rsid w:val="00DE1278"/>
    <w:rsid w:val="00DE265A"/>
    <w:rsid w:val="00DE2CD3"/>
    <w:rsid w:val="00DF0BEB"/>
    <w:rsid w:val="00DF191F"/>
    <w:rsid w:val="00DF7741"/>
    <w:rsid w:val="00E00C47"/>
    <w:rsid w:val="00E13078"/>
    <w:rsid w:val="00E303E0"/>
    <w:rsid w:val="00E52D1F"/>
    <w:rsid w:val="00E539FE"/>
    <w:rsid w:val="00E6336F"/>
    <w:rsid w:val="00E87147"/>
    <w:rsid w:val="00E91B4A"/>
    <w:rsid w:val="00E9533D"/>
    <w:rsid w:val="00EB16EB"/>
    <w:rsid w:val="00EC5D23"/>
    <w:rsid w:val="00ED53CE"/>
    <w:rsid w:val="00EE0233"/>
    <w:rsid w:val="00EE1C9B"/>
    <w:rsid w:val="00EE200A"/>
    <w:rsid w:val="00F222AA"/>
    <w:rsid w:val="00F231CC"/>
    <w:rsid w:val="00F34B7A"/>
    <w:rsid w:val="00F43A6E"/>
    <w:rsid w:val="00F57CC2"/>
    <w:rsid w:val="00F60123"/>
    <w:rsid w:val="00F60EA3"/>
    <w:rsid w:val="00F90CB9"/>
    <w:rsid w:val="00FB0418"/>
    <w:rsid w:val="00FB4BEE"/>
    <w:rsid w:val="00FB597B"/>
    <w:rsid w:val="00FB7894"/>
    <w:rsid w:val="00FC5650"/>
    <w:rsid w:val="00FD0A0E"/>
    <w:rsid w:val="00FD143D"/>
    <w:rsid w:val="00FE55C6"/>
    <w:rsid w:val="00FF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alloonText">
    <w:name w:val="Balloon Text"/>
    <w:basedOn w:val="Normal"/>
    <w:link w:val="BalloonTextChar"/>
    <w:rsid w:val="001D4729"/>
    <w:rPr>
      <w:rFonts w:ascii="Tahoma" w:hAnsi="Tahoma" w:cs="Tahoma"/>
      <w:sz w:val="16"/>
      <w:szCs w:val="16"/>
    </w:rPr>
  </w:style>
  <w:style w:type="character" w:customStyle="1" w:styleId="BalloonTextChar">
    <w:name w:val="Balloon Text Char"/>
    <w:basedOn w:val="DefaultParagraphFont"/>
    <w:link w:val="BalloonText"/>
    <w:rsid w:val="001D4729"/>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alloonText">
    <w:name w:val="Balloon Text"/>
    <w:basedOn w:val="Normal"/>
    <w:link w:val="BalloonTextChar"/>
    <w:rsid w:val="001D4729"/>
    <w:rPr>
      <w:rFonts w:ascii="Tahoma" w:hAnsi="Tahoma" w:cs="Tahoma"/>
      <w:sz w:val="16"/>
      <w:szCs w:val="16"/>
    </w:rPr>
  </w:style>
  <w:style w:type="character" w:customStyle="1" w:styleId="BalloonTextChar">
    <w:name w:val="Balloon Text Char"/>
    <w:basedOn w:val="DefaultParagraphFont"/>
    <w:link w:val="BalloonText"/>
    <w:rsid w:val="001D472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E3814-1645-4D2D-9832-C6714723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1662</Words>
  <Characters>8397</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2016-10-17T21:24:00Z</cp:lastPrinted>
  <dcterms:created xsi:type="dcterms:W3CDTF">2016-10-17T21:21:00Z</dcterms:created>
  <dcterms:modified xsi:type="dcterms:W3CDTF">2016-10-17T21:26:00Z</dcterms:modified>
</cp:coreProperties>
</file>