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C48" w:rsidRPr="009B4F32" w:rsidRDefault="00DA5026">
      <w:pPr>
        <w:rPr>
          <w:rFonts w:ascii="Garamond" w:hAnsi="Garamond"/>
        </w:rPr>
      </w:pPr>
      <w:r w:rsidRPr="009B4F32">
        <w:rPr>
          <w:rFonts w:ascii="Garamond" w:hAnsi="Garamond"/>
          <w:noProof/>
        </w:rPr>
        <w:drawing>
          <wp:inline distT="0" distB="0" distL="0" distR="0">
            <wp:extent cx="1953895" cy="684530"/>
            <wp:effectExtent l="19050" t="0" r="8255" b="0"/>
            <wp:docPr id="3" name="Picture 3" descr="SBA_Logo_Black&amp;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A_Logo_Black&amp;White"/>
                    <pic:cNvPicPr>
                      <a:picLocks noChangeAspect="1" noChangeArrowheads="1"/>
                    </pic:cNvPicPr>
                  </pic:nvPicPr>
                  <pic:blipFill>
                    <a:blip r:embed="rId7"/>
                    <a:srcRect/>
                    <a:stretch>
                      <a:fillRect/>
                    </a:stretch>
                  </pic:blipFill>
                  <pic:spPr bwMode="auto">
                    <a:xfrm>
                      <a:off x="0" y="0"/>
                      <a:ext cx="1953895" cy="684530"/>
                    </a:xfrm>
                    <a:prstGeom prst="rect">
                      <a:avLst/>
                    </a:prstGeom>
                    <a:noFill/>
                    <a:ln w="9525">
                      <a:noFill/>
                      <a:miter lim="800000"/>
                      <a:headEnd/>
                      <a:tailEnd/>
                    </a:ln>
                  </pic:spPr>
                </pic:pic>
              </a:graphicData>
            </a:graphic>
          </wp:inline>
        </w:drawing>
      </w:r>
    </w:p>
    <w:p w:rsidR="000C3C48" w:rsidRPr="004A63CA" w:rsidRDefault="000C3C48">
      <w:pPr>
        <w:rPr>
          <w:sz w:val="24"/>
        </w:rPr>
      </w:pPr>
    </w:p>
    <w:p w:rsidR="000C3C48" w:rsidRDefault="004A63CA" w:rsidP="000726F2">
      <w:pPr>
        <w:tabs>
          <w:tab w:val="left" w:pos="4770"/>
          <w:tab w:val="center" w:pos="5544"/>
          <w:tab w:val="right" w:pos="7920"/>
        </w:tabs>
        <w:suppressAutoHyphens/>
        <w:jc w:val="center"/>
        <w:rPr>
          <w:b/>
          <w:spacing w:val="-3"/>
          <w:sz w:val="24"/>
          <w:szCs w:val="24"/>
        </w:rPr>
      </w:pPr>
      <w:r w:rsidRPr="004A63CA">
        <w:rPr>
          <w:b/>
          <w:spacing w:val="-3"/>
          <w:sz w:val="24"/>
          <w:szCs w:val="24"/>
        </w:rPr>
        <w:t xml:space="preserve">Submission by Criminal Practice and Procedure Committee </w:t>
      </w:r>
      <w:r w:rsidR="000726F2">
        <w:rPr>
          <w:b/>
          <w:spacing w:val="-3"/>
          <w:sz w:val="24"/>
          <w:szCs w:val="24"/>
        </w:rPr>
        <w:t>–</w:t>
      </w:r>
      <w:r w:rsidRPr="004A63CA">
        <w:rPr>
          <w:b/>
          <w:spacing w:val="-3"/>
          <w:sz w:val="24"/>
          <w:szCs w:val="24"/>
        </w:rPr>
        <w:t xml:space="preserve"> </w:t>
      </w:r>
      <w:r w:rsidR="006751F7">
        <w:rPr>
          <w:b/>
          <w:spacing w:val="-3"/>
          <w:sz w:val="24"/>
          <w:szCs w:val="24"/>
        </w:rPr>
        <w:t>Defense</w:t>
      </w:r>
    </w:p>
    <w:p w:rsidR="00397A5C" w:rsidRDefault="000726F2" w:rsidP="000726F2">
      <w:pPr>
        <w:tabs>
          <w:tab w:val="left" w:pos="4770"/>
          <w:tab w:val="center" w:pos="5544"/>
          <w:tab w:val="right" w:pos="7920"/>
        </w:tabs>
        <w:suppressAutoHyphens/>
        <w:jc w:val="center"/>
        <w:rPr>
          <w:b/>
          <w:spacing w:val="-3"/>
          <w:sz w:val="24"/>
          <w:szCs w:val="24"/>
        </w:rPr>
      </w:pPr>
      <w:r>
        <w:rPr>
          <w:b/>
          <w:spacing w:val="-3"/>
          <w:sz w:val="24"/>
          <w:szCs w:val="24"/>
        </w:rPr>
        <w:t xml:space="preserve">(As submitted to the Board </w:t>
      </w:r>
      <w:r w:rsidR="001654AC">
        <w:rPr>
          <w:b/>
          <w:spacing w:val="-3"/>
          <w:sz w:val="24"/>
          <w:szCs w:val="24"/>
        </w:rPr>
        <w:t xml:space="preserve">of Governor’s Rules Review Committee </w:t>
      </w:r>
      <w:r>
        <w:rPr>
          <w:b/>
          <w:spacing w:val="-3"/>
          <w:sz w:val="24"/>
          <w:szCs w:val="24"/>
        </w:rPr>
        <w:t>by</w:t>
      </w:r>
      <w:r w:rsidR="00397A5C">
        <w:rPr>
          <w:b/>
          <w:spacing w:val="-3"/>
          <w:sz w:val="24"/>
          <w:szCs w:val="24"/>
        </w:rPr>
        <w:t xml:space="preserve"> </w:t>
      </w:r>
    </w:p>
    <w:p w:rsidR="000726F2" w:rsidRPr="000726F2" w:rsidRDefault="00397A5C" w:rsidP="000726F2">
      <w:pPr>
        <w:tabs>
          <w:tab w:val="left" w:pos="4770"/>
          <w:tab w:val="center" w:pos="5544"/>
          <w:tab w:val="right" w:pos="7920"/>
        </w:tabs>
        <w:suppressAutoHyphens/>
        <w:jc w:val="center"/>
        <w:rPr>
          <w:b/>
          <w:spacing w:val="-3"/>
          <w:sz w:val="24"/>
          <w:szCs w:val="24"/>
        </w:rPr>
      </w:pPr>
      <w:bookmarkStart w:id="0" w:name="_GoBack"/>
      <w:bookmarkEnd w:id="0"/>
      <w:r>
        <w:rPr>
          <w:b/>
          <w:spacing w:val="-3"/>
          <w:sz w:val="24"/>
          <w:szCs w:val="24"/>
        </w:rPr>
        <w:t xml:space="preserve">the Chair of the </w:t>
      </w:r>
      <w:r w:rsidR="001654AC">
        <w:rPr>
          <w:b/>
          <w:spacing w:val="-3"/>
          <w:sz w:val="24"/>
          <w:szCs w:val="24"/>
        </w:rPr>
        <w:t xml:space="preserve">Defense Subcommittee) </w:t>
      </w:r>
    </w:p>
    <w:p w:rsidR="000C3C48" w:rsidRPr="004A63CA" w:rsidRDefault="000C3C48">
      <w:pPr>
        <w:tabs>
          <w:tab w:val="left" w:pos="-720"/>
        </w:tabs>
        <w:suppressAutoHyphens/>
        <w:jc w:val="both"/>
        <w:rPr>
          <w:spacing w:val="-3"/>
          <w:sz w:val="24"/>
          <w:szCs w:val="24"/>
        </w:rPr>
      </w:pPr>
    </w:p>
    <w:p w:rsidR="006751F7" w:rsidRPr="00812024" w:rsidRDefault="006751F7" w:rsidP="006751F7">
      <w:pPr>
        <w:pStyle w:val="Body"/>
        <w:widowControl w:val="0"/>
        <w:spacing w:line="240" w:lineRule="auto"/>
        <w:ind w:firstLine="720"/>
        <w:rPr>
          <w:b/>
          <w:szCs w:val="26"/>
        </w:rPr>
      </w:pPr>
    </w:p>
    <w:p w:rsidR="006751F7" w:rsidRPr="00812024" w:rsidRDefault="006751F7" w:rsidP="006751F7">
      <w:pPr>
        <w:pStyle w:val="Body"/>
        <w:widowControl w:val="0"/>
        <w:spacing w:line="240" w:lineRule="auto"/>
        <w:ind w:right="144" w:firstLine="720"/>
        <w:jc w:val="both"/>
        <w:rPr>
          <w:szCs w:val="26"/>
        </w:rPr>
      </w:pPr>
      <w:r w:rsidRPr="00812024">
        <w:rPr>
          <w:szCs w:val="26"/>
        </w:rPr>
        <w:t xml:space="preserve">David K. Byers, Administrative Director of the Administrative Office of the Courts, has proposed an amendment to Rule 15.1(j), </w:t>
      </w:r>
      <w:r w:rsidRPr="00812024">
        <w:rPr>
          <w:i/>
          <w:szCs w:val="26"/>
        </w:rPr>
        <w:t>Arizona Rules of Criminal Procedure</w:t>
      </w:r>
      <w:r w:rsidRPr="00812024">
        <w:rPr>
          <w:szCs w:val="26"/>
        </w:rPr>
        <w:t>, on an emergency basis.</w:t>
      </w:r>
      <w:r>
        <w:rPr>
          <w:szCs w:val="26"/>
        </w:rPr>
        <w:t xml:space="preserve">  The Petition states that Rule 15.1(j) was designed to protect victims of child sexual exploitation from unnecessary exposure during a criminal prosecution, and because A.R.S. 13-1425 involves persons in a state if nudity or engaged in specific sexual activity, Rule 15.1(j) should now apply to 13-1425 images.  (</w:t>
      </w:r>
      <w:r>
        <w:rPr>
          <w:i/>
          <w:szCs w:val="26"/>
        </w:rPr>
        <w:t xml:space="preserve">See, </w:t>
      </w:r>
      <w:r>
        <w:rPr>
          <w:szCs w:val="26"/>
        </w:rPr>
        <w:t>Petition at 2).</w:t>
      </w:r>
    </w:p>
    <w:p w:rsidR="006751F7" w:rsidRPr="00812024" w:rsidRDefault="006751F7" w:rsidP="006751F7">
      <w:pPr>
        <w:pStyle w:val="Body"/>
        <w:widowControl w:val="0"/>
        <w:spacing w:line="240" w:lineRule="auto"/>
        <w:ind w:firstLine="720"/>
        <w:rPr>
          <w:b/>
          <w:szCs w:val="26"/>
        </w:rPr>
      </w:pPr>
    </w:p>
    <w:p w:rsidR="006751F7" w:rsidRPr="0064064B" w:rsidRDefault="006751F7" w:rsidP="006751F7">
      <w:pPr>
        <w:pStyle w:val="Body"/>
        <w:widowControl w:val="0"/>
        <w:spacing w:after="240" w:line="240" w:lineRule="auto"/>
        <w:ind w:right="144" w:firstLine="0"/>
        <w:jc w:val="both"/>
        <w:rPr>
          <w:szCs w:val="26"/>
        </w:rPr>
      </w:pPr>
      <w:r w:rsidRPr="00812024">
        <w:rPr>
          <w:szCs w:val="26"/>
        </w:rPr>
        <w:tab/>
      </w:r>
      <w:r w:rsidRPr="0064064B">
        <w:rPr>
          <w:color w:val="212121"/>
          <w:szCs w:val="26"/>
        </w:rPr>
        <w:t xml:space="preserve">Releasing copies of contraband child </w:t>
      </w:r>
      <w:r w:rsidRPr="0064064B">
        <w:rPr>
          <w:bCs/>
          <w:color w:val="252525"/>
          <w:szCs w:val="26"/>
        </w:rPr>
        <w:t>pornography</w:t>
      </w:r>
      <w:r w:rsidRPr="0064064B">
        <w:rPr>
          <w:color w:val="212121"/>
          <w:szCs w:val="26"/>
        </w:rPr>
        <w:t xml:space="preserve">, even for the purposes of a criminal action, violates </w:t>
      </w:r>
      <w:hyperlink r:id="rId8" w:history="1">
        <w:r w:rsidRPr="0064064B">
          <w:rPr>
            <w:szCs w:val="26"/>
          </w:rPr>
          <w:t>A.R.S. § 13-3553</w:t>
        </w:r>
      </w:hyperlink>
      <w:r w:rsidRPr="0064064B">
        <w:rPr>
          <w:szCs w:val="26"/>
        </w:rPr>
        <w:t>.</w:t>
      </w:r>
      <w:r w:rsidRPr="0064064B">
        <w:rPr>
          <w:color w:val="212121"/>
          <w:szCs w:val="26"/>
        </w:rPr>
        <w:t xml:space="preserve"> In 2003, when a defendant appealed a trial court order denying disclosure</w:t>
      </w:r>
      <w:r>
        <w:rPr>
          <w:color w:val="212121"/>
          <w:szCs w:val="26"/>
        </w:rPr>
        <w:t xml:space="preserve"> of contraband images</w:t>
      </w:r>
      <w:r w:rsidRPr="0064064B">
        <w:rPr>
          <w:color w:val="212121"/>
          <w:szCs w:val="26"/>
        </w:rPr>
        <w:t xml:space="preserve">, the Arizona Court of Appeals reversed the trial court and held that Rule 15 of the Arizona Rules of Criminal Procedure provides no exception for contraband. </w:t>
      </w:r>
      <w:hyperlink r:id="rId9" w:anchor="co_pp_sp_156_182" w:history="1">
        <w:r w:rsidRPr="0064064B">
          <w:rPr>
            <w:b/>
            <w:bCs/>
            <w:i/>
            <w:iCs/>
            <w:szCs w:val="26"/>
          </w:rPr>
          <w:t>Cervantes</w:t>
        </w:r>
        <w:r w:rsidRPr="0064064B">
          <w:rPr>
            <w:i/>
            <w:iCs/>
            <w:szCs w:val="26"/>
          </w:rPr>
          <w:t xml:space="preserve"> v. Cates,</w:t>
        </w:r>
        <w:r w:rsidRPr="0064064B">
          <w:rPr>
            <w:szCs w:val="26"/>
          </w:rPr>
          <w:t xml:space="preserve"> 206 Ariz. 178, 182-83, ¶¶ 16, 21, 76 P.3d 449,</w:t>
        </w:r>
        <w:r>
          <w:rPr>
            <w:szCs w:val="26"/>
          </w:rPr>
          <w:t xml:space="preserve"> </w:t>
        </w:r>
        <w:r w:rsidRPr="0064064B">
          <w:rPr>
            <w:szCs w:val="26"/>
          </w:rPr>
          <w:t>453-54 (App. 2003)</w:t>
        </w:r>
      </w:hyperlink>
      <w:r w:rsidRPr="0064064B">
        <w:rPr>
          <w:szCs w:val="26"/>
        </w:rPr>
        <w:t>.</w:t>
      </w:r>
      <w:r>
        <w:rPr>
          <w:szCs w:val="26"/>
        </w:rPr>
        <w:t xml:space="preserve">  </w:t>
      </w:r>
      <w:r w:rsidRPr="0064064B">
        <w:rPr>
          <w:color w:val="212121"/>
          <w:szCs w:val="26"/>
        </w:rPr>
        <w:t xml:space="preserve">Following </w:t>
      </w:r>
      <w:r w:rsidRPr="0064064B">
        <w:rPr>
          <w:b/>
          <w:bCs/>
          <w:i/>
          <w:iCs/>
          <w:color w:val="252525"/>
          <w:szCs w:val="26"/>
        </w:rPr>
        <w:t>Cervantes</w:t>
      </w:r>
      <w:r w:rsidRPr="0064064B">
        <w:rPr>
          <w:i/>
          <w:iCs/>
          <w:color w:val="212121"/>
          <w:szCs w:val="26"/>
        </w:rPr>
        <w:t>,</w:t>
      </w:r>
      <w:r w:rsidRPr="0064064B">
        <w:rPr>
          <w:color w:val="212121"/>
          <w:szCs w:val="26"/>
        </w:rPr>
        <w:t xml:space="preserve"> </w:t>
      </w:r>
      <w:hyperlink r:id="rId10" w:history="1">
        <w:r w:rsidRPr="0064064B">
          <w:rPr>
            <w:szCs w:val="26"/>
          </w:rPr>
          <w:t>Rule 15.1 of the Arizona Rules of Criminal Procedure</w:t>
        </w:r>
      </w:hyperlink>
      <w:r w:rsidRPr="0064064B">
        <w:rPr>
          <w:color w:val="212121"/>
          <w:szCs w:val="26"/>
        </w:rPr>
        <w:t xml:space="preserve"> </w:t>
      </w:r>
      <w:r>
        <w:rPr>
          <w:color w:val="212121"/>
          <w:szCs w:val="26"/>
        </w:rPr>
        <w:t xml:space="preserve">was rewritten </w:t>
      </w:r>
      <w:r w:rsidRPr="0064064B">
        <w:rPr>
          <w:color w:val="212121"/>
          <w:szCs w:val="26"/>
        </w:rPr>
        <w:t xml:space="preserve">to add </w:t>
      </w:r>
      <w:hyperlink r:id="rId11" w:history="1">
        <w:r w:rsidRPr="0064064B">
          <w:rPr>
            <w:szCs w:val="26"/>
          </w:rPr>
          <w:t>Rule 15.1(j)</w:t>
        </w:r>
      </w:hyperlink>
      <w:r w:rsidRPr="0064064B">
        <w:rPr>
          <w:color w:val="212121"/>
          <w:szCs w:val="26"/>
        </w:rPr>
        <w:t xml:space="preserve">, specifically dealing with the disclosure of child </w:t>
      </w:r>
      <w:r w:rsidRPr="0064064B">
        <w:rPr>
          <w:bCs/>
          <w:color w:val="252525"/>
          <w:szCs w:val="26"/>
        </w:rPr>
        <w:t>pornography</w:t>
      </w:r>
      <w:r>
        <w:rPr>
          <w:color w:val="212121"/>
          <w:szCs w:val="26"/>
        </w:rPr>
        <w:t xml:space="preserve"> in criminal cases.</w:t>
      </w:r>
    </w:p>
    <w:p w:rsidR="006751F7" w:rsidRDefault="006751F7" w:rsidP="006751F7">
      <w:pPr>
        <w:pStyle w:val="Body"/>
        <w:widowControl w:val="0"/>
        <w:spacing w:after="240" w:line="240" w:lineRule="auto"/>
        <w:ind w:right="144" w:firstLine="720"/>
        <w:jc w:val="both"/>
        <w:rPr>
          <w:szCs w:val="26"/>
        </w:rPr>
      </w:pPr>
      <w:r w:rsidRPr="00812024">
        <w:rPr>
          <w:szCs w:val="26"/>
        </w:rPr>
        <w:t>On March 11, 2016, A.R.S. 13-1425 became effective.</w:t>
      </w:r>
      <w:r>
        <w:rPr>
          <w:szCs w:val="26"/>
        </w:rPr>
        <w:t xml:space="preserve">  The relevant part of</w:t>
      </w:r>
    </w:p>
    <w:p w:rsidR="006751F7" w:rsidRPr="00812024" w:rsidRDefault="006751F7" w:rsidP="006751F7">
      <w:pPr>
        <w:pStyle w:val="Body"/>
        <w:widowControl w:val="0"/>
        <w:spacing w:after="240" w:line="240" w:lineRule="auto"/>
        <w:ind w:left="720" w:right="144" w:firstLine="0"/>
        <w:jc w:val="both"/>
        <w:rPr>
          <w:szCs w:val="26"/>
        </w:rPr>
      </w:pPr>
      <w:r w:rsidRPr="00812024">
        <w:rPr>
          <w:szCs w:val="26"/>
        </w:rPr>
        <w:t xml:space="preserve"> A.R.S.</w:t>
      </w:r>
      <w:r>
        <w:rPr>
          <w:szCs w:val="26"/>
        </w:rPr>
        <w:t xml:space="preserve"> </w:t>
      </w:r>
      <w:r w:rsidRPr="00812024">
        <w:rPr>
          <w:szCs w:val="26"/>
        </w:rPr>
        <w:t>13-1425</w:t>
      </w:r>
      <w:r>
        <w:rPr>
          <w:szCs w:val="26"/>
        </w:rPr>
        <w:t xml:space="preserve"> provides as follows</w:t>
      </w:r>
      <w:r w:rsidRPr="00812024">
        <w:rPr>
          <w:szCs w:val="26"/>
        </w:rPr>
        <w:t>:</w:t>
      </w:r>
    </w:p>
    <w:p w:rsidR="006751F7" w:rsidRPr="00812024" w:rsidRDefault="006751F7" w:rsidP="006751F7">
      <w:pPr>
        <w:pStyle w:val="Body"/>
        <w:widowControl w:val="0"/>
        <w:numPr>
          <w:ilvl w:val="0"/>
          <w:numId w:val="1"/>
        </w:numPr>
        <w:spacing w:line="240" w:lineRule="auto"/>
        <w:ind w:right="720"/>
        <w:jc w:val="both"/>
        <w:rPr>
          <w:szCs w:val="26"/>
        </w:rPr>
      </w:pPr>
      <w:r w:rsidRPr="00812024">
        <w:rPr>
          <w:szCs w:val="26"/>
        </w:rPr>
        <w:t>It is unlawful for a person to intentionally disclose an image of another person who is identifiable from the image itself or from information displayed in connection with the image if all of the following apply:</w:t>
      </w:r>
    </w:p>
    <w:p w:rsidR="006751F7" w:rsidRPr="00812024" w:rsidRDefault="006751F7" w:rsidP="006751F7">
      <w:pPr>
        <w:pStyle w:val="Body"/>
        <w:widowControl w:val="0"/>
        <w:numPr>
          <w:ilvl w:val="0"/>
          <w:numId w:val="2"/>
        </w:numPr>
        <w:spacing w:line="240" w:lineRule="auto"/>
        <w:ind w:right="720"/>
        <w:jc w:val="both"/>
        <w:rPr>
          <w:szCs w:val="26"/>
        </w:rPr>
      </w:pPr>
      <w:r w:rsidRPr="00812024">
        <w:rPr>
          <w:szCs w:val="26"/>
        </w:rPr>
        <w:t>The person in the image is depicted in a state of nudity or is engaged in specific sexual activities;</w:t>
      </w:r>
    </w:p>
    <w:p w:rsidR="006751F7" w:rsidRPr="00812024" w:rsidRDefault="006751F7" w:rsidP="006751F7">
      <w:pPr>
        <w:pStyle w:val="Body"/>
        <w:widowControl w:val="0"/>
        <w:numPr>
          <w:ilvl w:val="0"/>
          <w:numId w:val="2"/>
        </w:numPr>
        <w:spacing w:line="240" w:lineRule="auto"/>
        <w:ind w:right="720"/>
        <w:jc w:val="both"/>
        <w:rPr>
          <w:szCs w:val="26"/>
        </w:rPr>
      </w:pPr>
      <w:r w:rsidRPr="00812024">
        <w:rPr>
          <w:szCs w:val="26"/>
        </w:rPr>
        <w:t>The depicted person has a reasonable expectation of privacy.  Evidence that a person has sent an image to another person using an electronic device does not, on its own, remove the person’s reasonable expectation of privacy for that image.</w:t>
      </w:r>
    </w:p>
    <w:p w:rsidR="006751F7" w:rsidRPr="00812024" w:rsidRDefault="006751F7" w:rsidP="006751F7">
      <w:pPr>
        <w:pStyle w:val="ListParagraph"/>
        <w:numPr>
          <w:ilvl w:val="0"/>
          <w:numId w:val="2"/>
        </w:numPr>
        <w:spacing w:line="240" w:lineRule="auto"/>
        <w:ind w:right="720"/>
        <w:jc w:val="both"/>
        <w:rPr>
          <w:color w:val="212121"/>
          <w:sz w:val="26"/>
          <w:szCs w:val="26"/>
        </w:rPr>
      </w:pPr>
      <w:r w:rsidRPr="00812024">
        <w:rPr>
          <w:color w:val="212121"/>
          <w:sz w:val="26"/>
          <w:szCs w:val="26"/>
        </w:rPr>
        <w:t>The image is disclosed with the intent to harm, harass, intimidate, threaten or coerce the depicted person.</w:t>
      </w:r>
    </w:p>
    <w:p w:rsidR="006751F7" w:rsidRPr="00812024" w:rsidRDefault="006751F7" w:rsidP="006751F7">
      <w:pPr>
        <w:ind w:left="720" w:right="1200"/>
        <w:jc w:val="both"/>
        <w:rPr>
          <w:color w:val="212121"/>
          <w:sz w:val="26"/>
          <w:szCs w:val="26"/>
        </w:rPr>
      </w:pPr>
      <w:r w:rsidRPr="00812024">
        <w:rPr>
          <w:b/>
          <w:bCs/>
          <w:color w:val="212121"/>
          <w:sz w:val="26"/>
          <w:szCs w:val="26"/>
        </w:rPr>
        <w:t>B.</w:t>
      </w:r>
      <w:r w:rsidRPr="00812024">
        <w:rPr>
          <w:color w:val="212121"/>
          <w:sz w:val="26"/>
          <w:szCs w:val="26"/>
        </w:rPr>
        <w:t xml:space="preserve">   This section does not apply to any of the following:</w:t>
      </w:r>
    </w:p>
    <w:p w:rsidR="006751F7" w:rsidRPr="00812024" w:rsidRDefault="006751F7" w:rsidP="006751F7">
      <w:pPr>
        <w:ind w:right="1200" w:firstLine="720"/>
        <w:jc w:val="both"/>
        <w:rPr>
          <w:color w:val="212121"/>
          <w:sz w:val="26"/>
          <w:szCs w:val="26"/>
        </w:rPr>
      </w:pPr>
      <w:r w:rsidRPr="00812024">
        <w:rPr>
          <w:color w:val="212121"/>
          <w:sz w:val="26"/>
          <w:szCs w:val="26"/>
        </w:rPr>
        <w:t xml:space="preserve">1. </w:t>
      </w:r>
      <w:r>
        <w:rPr>
          <w:color w:val="212121"/>
          <w:sz w:val="26"/>
          <w:szCs w:val="26"/>
        </w:rPr>
        <w:t xml:space="preserve">  </w:t>
      </w:r>
      <w:r w:rsidRPr="00812024">
        <w:rPr>
          <w:color w:val="212121"/>
          <w:sz w:val="26"/>
          <w:szCs w:val="26"/>
        </w:rPr>
        <w:t>The reporting of unlawful conduct.</w:t>
      </w:r>
    </w:p>
    <w:p w:rsidR="006751F7" w:rsidRPr="00812024" w:rsidRDefault="006751F7" w:rsidP="006751F7">
      <w:pPr>
        <w:ind w:left="1080" w:right="720" w:hanging="360"/>
        <w:jc w:val="both"/>
        <w:rPr>
          <w:color w:val="212121"/>
          <w:sz w:val="26"/>
          <w:szCs w:val="26"/>
        </w:rPr>
      </w:pPr>
      <w:r w:rsidRPr="00812024">
        <w:rPr>
          <w:color w:val="212121"/>
          <w:sz w:val="26"/>
          <w:szCs w:val="26"/>
        </w:rPr>
        <w:t xml:space="preserve">2. </w:t>
      </w:r>
      <w:r>
        <w:rPr>
          <w:color w:val="212121"/>
          <w:sz w:val="26"/>
          <w:szCs w:val="26"/>
        </w:rPr>
        <w:t xml:space="preserve"> </w:t>
      </w:r>
      <w:r w:rsidRPr="00812024">
        <w:rPr>
          <w:color w:val="212121"/>
          <w:sz w:val="26"/>
          <w:szCs w:val="26"/>
        </w:rPr>
        <w:t xml:space="preserve">Lawful and common practices of law enforcement, criminal reporting, </w:t>
      </w:r>
      <w:r>
        <w:rPr>
          <w:color w:val="212121"/>
          <w:sz w:val="26"/>
          <w:szCs w:val="26"/>
        </w:rPr>
        <w:t xml:space="preserve">  </w:t>
      </w:r>
      <w:r w:rsidRPr="00812024">
        <w:rPr>
          <w:color w:val="212121"/>
          <w:sz w:val="26"/>
          <w:szCs w:val="26"/>
        </w:rPr>
        <w:t>legal proceedings or medical treatment.</w:t>
      </w:r>
    </w:p>
    <w:p w:rsidR="006751F7" w:rsidRPr="00812024" w:rsidRDefault="006751F7" w:rsidP="006751F7">
      <w:pPr>
        <w:ind w:right="720" w:firstLine="720"/>
        <w:jc w:val="both"/>
        <w:rPr>
          <w:color w:val="212121"/>
          <w:sz w:val="26"/>
          <w:szCs w:val="26"/>
        </w:rPr>
      </w:pPr>
      <w:r w:rsidRPr="00812024">
        <w:rPr>
          <w:color w:val="212121"/>
          <w:sz w:val="26"/>
          <w:szCs w:val="26"/>
        </w:rPr>
        <w:t xml:space="preserve">3. </w:t>
      </w:r>
      <w:r>
        <w:rPr>
          <w:color w:val="212121"/>
          <w:sz w:val="26"/>
          <w:szCs w:val="26"/>
        </w:rPr>
        <w:t xml:space="preserve">  </w:t>
      </w:r>
      <w:r w:rsidRPr="00812024">
        <w:rPr>
          <w:color w:val="212121"/>
          <w:sz w:val="26"/>
          <w:szCs w:val="26"/>
        </w:rPr>
        <w:t>Images involving voluntary exposure in a public or commercial setting.</w:t>
      </w:r>
    </w:p>
    <w:p w:rsidR="006751F7" w:rsidRPr="00812024" w:rsidRDefault="006751F7" w:rsidP="006751F7">
      <w:pPr>
        <w:ind w:left="1080" w:right="720" w:hanging="360"/>
        <w:jc w:val="both"/>
        <w:rPr>
          <w:color w:val="212121"/>
          <w:sz w:val="26"/>
          <w:szCs w:val="26"/>
        </w:rPr>
      </w:pPr>
      <w:r w:rsidRPr="00812024">
        <w:rPr>
          <w:color w:val="212121"/>
          <w:sz w:val="26"/>
          <w:szCs w:val="26"/>
        </w:rPr>
        <w:lastRenderedPageBreak/>
        <w:t xml:space="preserve">4. An interactive computer service, as defined in </w:t>
      </w:r>
      <w:hyperlink r:id="rId12" w:anchor="co_pp_ac4e0000281c0" w:history="1">
        <w:r w:rsidRPr="00812024">
          <w:rPr>
            <w:sz w:val="26"/>
            <w:szCs w:val="26"/>
          </w:rPr>
          <w:t>47 United States Code section 230(f)(2)</w:t>
        </w:r>
      </w:hyperlink>
      <w:r w:rsidRPr="00812024">
        <w:rPr>
          <w:sz w:val="26"/>
          <w:szCs w:val="26"/>
        </w:rPr>
        <w:t>,</w:t>
      </w:r>
      <w:r w:rsidRPr="00812024">
        <w:rPr>
          <w:color w:val="212121"/>
          <w:sz w:val="26"/>
          <w:szCs w:val="26"/>
        </w:rPr>
        <w:t xml:space="preserve"> or an information service, as defined in </w:t>
      </w:r>
      <w:hyperlink r:id="rId13" w:history="1">
        <w:r w:rsidRPr="00812024">
          <w:rPr>
            <w:sz w:val="26"/>
            <w:szCs w:val="26"/>
          </w:rPr>
          <w:t>47 United States Code section 153</w:t>
        </w:r>
      </w:hyperlink>
      <w:r w:rsidRPr="00812024">
        <w:rPr>
          <w:sz w:val="26"/>
          <w:szCs w:val="26"/>
        </w:rPr>
        <w:t>,</w:t>
      </w:r>
      <w:r w:rsidRPr="00812024">
        <w:rPr>
          <w:color w:val="212121"/>
          <w:sz w:val="26"/>
          <w:szCs w:val="26"/>
        </w:rPr>
        <w:t xml:space="preserve"> with regard to content wholly provided by another party.</w:t>
      </w:r>
    </w:p>
    <w:p w:rsidR="006751F7" w:rsidRDefault="006751F7" w:rsidP="006751F7">
      <w:pPr>
        <w:ind w:left="1080" w:right="720" w:hanging="360"/>
        <w:jc w:val="both"/>
        <w:rPr>
          <w:color w:val="212121"/>
          <w:sz w:val="26"/>
          <w:szCs w:val="26"/>
        </w:rPr>
      </w:pPr>
      <w:r w:rsidRPr="00812024">
        <w:rPr>
          <w:color w:val="212121"/>
          <w:sz w:val="26"/>
          <w:szCs w:val="26"/>
        </w:rPr>
        <w:t>5. Any disclosure that is made with the consent of the person who is depicted in the image.</w:t>
      </w:r>
    </w:p>
    <w:p w:rsidR="006751F7" w:rsidRDefault="006751F7" w:rsidP="006751F7">
      <w:pPr>
        <w:ind w:left="1080" w:right="720" w:hanging="360"/>
        <w:jc w:val="both"/>
        <w:rPr>
          <w:color w:val="212121"/>
          <w:sz w:val="26"/>
          <w:szCs w:val="26"/>
        </w:rPr>
      </w:pPr>
    </w:p>
    <w:p w:rsidR="006751F7" w:rsidRPr="004626B2" w:rsidRDefault="006751F7" w:rsidP="006751F7">
      <w:pPr>
        <w:pStyle w:val="BodyText"/>
        <w:spacing w:after="120"/>
        <w:ind w:firstLine="720"/>
        <w:jc w:val="both"/>
        <w:rPr>
          <w:w w:val="105"/>
          <w:sz w:val="26"/>
          <w:szCs w:val="26"/>
        </w:rPr>
      </w:pPr>
      <w:r w:rsidRPr="00B47F7C">
        <w:rPr>
          <w:color w:val="212121"/>
          <w:sz w:val="26"/>
          <w:szCs w:val="26"/>
        </w:rPr>
        <w:t>As can be seen from the above,</w:t>
      </w:r>
      <w:r>
        <w:rPr>
          <w:color w:val="212121"/>
          <w:sz w:val="26"/>
          <w:szCs w:val="26"/>
        </w:rPr>
        <w:t xml:space="preserve"> the focus of A.R.S. 13-1425 is</w:t>
      </w:r>
      <w:r w:rsidRPr="00B47F7C">
        <w:rPr>
          <w:w w:val="105"/>
          <w:sz w:val="26"/>
          <w:szCs w:val="26"/>
        </w:rPr>
        <w:t xml:space="preserve"> distribution of images, not possession.  </w:t>
      </w:r>
      <w:r>
        <w:rPr>
          <w:w w:val="105"/>
          <w:sz w:val="26"/>
          <w:szCs w:val="26"/>
        </w:rPr>
        <w:t xml:space="preserve">Moreover, A.R.S. 13-1425 does not concern child pornography.  There is no reason to place materials covered by 13-1425 on the same level as child pornography.  </w:t>
      </w:r>
      <w:r>
        <w:rPr>
          <w:color w:val="000000"/>
          <w:sz w:val="26"/>
          <w:szCs w:val="26"/>
        </w:rPr>
        <w:t>Concerns about protecting child</w:t>
      </w:r>
      <w:r w:rsidRPr="004626B2">
        <w:rPr>
          <w:color w:val="000000"/>
          <w:sz w:val="26"/>
          <w:szCs w:val="26"/>
        </w:rPr>
        <w:t xml:space="preserve"> victims of sexual exploitation </w:t>
      </w:r>
      <w:r>
        <w:rPr>
          <w:color w:val="000000"/>
          <w:sz w:val="26"/>
          <w:szCs w:val="26"/>
        </w:rPr>
        <w:t>are far more compelling than shielding</w:t>
      </w:r>
      <w:r w:rsidRPr="004626B2">
        <w:rPr>
          <w:color w:val="000000"/>
          <w:sz w:val="26"/>
          <w:szCs w:val="26"/>
        </w:rPr>
        <w:t xml:space="preserve"> adult victims who ostensibly consented to the recording</w:t>
      </w:r>
      <w:r>
        <w:rPr>
          <w:color w:val="000000"/>
          <w:sz w:val="26"/>
          <w:szCs w:val="26"/>
        </w:rPr>
        <w:t xml:space="preserve"> of the images at issue.  A</w:t>
      </w:r>
      <w:r w:rsidRPr="004626B2">
        <w:rPr>
          <w:color w:val="000000"/>
          <w:sz w:val="26"/>
          <w:szCs w:val="26"/>
        </w:rPr>
        <w:t>dult victims differ markedly from the vulnerable child victims who are, without exception, being sexually a</w:t>
      </w:r>
      <w:r>
        <w:rPr>
          <w:color w:val="000000"/>
          <w:sz w:val="26"/>
          <w:szCs w:val="26"/>
        </w:rPr>
        <w:t>bused in child pornography.</w:t>
      </w:r>
      <w:r w:rsidRPr="004626B2">
        <w:rPr>
          <w:w w:val="105"/>
          <w:sz w:val="26"/>
          <w:szCs w:val="26"/>
        </w:rPr>
        <w:t xml:space="preserve">  </w:t>
      </w:r>
    </w:p>
    <w:p w:rsidR="006751F7" w:rsidRDefault="006751F7" w:rsidP="006751F7">
      <w:pPr>
        <w:pStyle w:val="BodyText"/>
        <w:spacing w:after="120"/>
        <w:ind w:firstLine="720"/>
        <w:jc w:val="both"/>
        <w:rPr>
          <w:w w:val="105"/>
          <w:sz w:val="26"/>
          <w:szCs w:val="26"/>
        </w:rPr>
      </w:pPr>
      <w:r>
        <w:rPr>
          <w:w w:val="105"/>
          <w:sz w:val="26"/>
          <w:szCs w:val="26"/>
        </w:rPr>
        <w:t xml:space="preserve">There is a rule of criminal procedure already in existence that may be applied to 13-1425 violations that restricts disclosure, i.e., distribution.  Pursuant to Rule 15.4(d), A.R.C.P., </w:t>
      </w:r>
      <w:r w:rsidRPr="00B47F7C">
        <w:rPr>
          <w:w w:val="105"/>
          <w:sz w:val="26"/>
          <w:szCs w:val="26"/>
        </w:rPr>
        <w:t>“Any materials furnished [pursuant to Rule 15] shall not be disclosed to the public but only to others to the extent necessary for the proper conduct of the case.”  Further, Rule 15.5(b), A.R.C.P. provides a mechanism for the State to obtain additional restrictions when such restrictions are necessary.</w:t>
      </w:r>
      <w:r>
        <w:rPr>
          <w:w w:val="105"/>
          <w:sz w:val="26"/>
          <w:szCs w:val="26"/>
        </w:rPr>
        <w:t xml:space="preserve">  Further, Rule 15.5(b) provides a mechanism to restrict disclosure should a situation arise that truly merits a protective order.</w:t>
      </w:r>
    </w:p>
    <w:p w:rsidR="006751F7" w:rsidRDefault="006751F7" w:rsidP="006751F7">
      <w:pPr>
        <w:pStyle w:val="BodyText"/>
        <w:spacing w:after="120"/>
        <w:ind w:firstLine="720"/>
        <w:jc w:val="both"/>
        <w:rPr>
          <w:w w:val="105"/>
          <w:sz w:val="26"/>
          <w:szCs w:val="26"/>
        </w:rPr>
      </w:pPr>
      <w:r w:rsidRPr="0037218B">
        <w:rPr>
          <w:color w:val="212121"/>
          <w:sz w:val="26"/>
          <w:szCs w:val="26"/>
        </w:rPr>
        <w:t>The Fifth Amendment requires that “[no] person . . . shall be deprived of life, liberty, or property, without due process of law.</w:t>
      </w:r>
      <w:r>
        <w:rPr>
          <w:color w:val="212121"/>
          <w:sz w:val="26"/>
          <w:szCs w:val="26"/>
        </w:rPr>
        <w:t>”  The Arizona Constitution also contains a due process clause</w:t>
      </w:r>
      <w:r w:rsidRPr="0037218B">
        <w:rPr>
          <w:i/>
          <w:color w:val="212121"/>
          <w:sz w:val="26"/>
          <w:szCs w:val="26"/>
        </w:rPr>
        <w:t>.  Ariz. Const. Art. 2, Sec. 4.</w:t>
      </w:r>
      <w:r>
        <w:rPr>
          <w:i/>
          <w:color w:val="212121"/>
          <w:sz w:val="26"/>
          <w:szCs w:val="26"/>
        </w:rPr>
        <w:t xml:space="preserve">  </w:t>
      </w:r>
      <w:r>
        <w:rPr>
          <w:color w:val="212121"/>
          <w:sz w:val="26"/>
          <w:szCs w:val="26"/>
        </w:rPr>
        <w:t xml:space="preserve">The proposed change to Rule 15.1(j) will prevent an accused from independently developing a case under 13-1425 sans the involvement of the State.  Because 13-1425 violations are being shoehorned into a rule that does not address the </w:t>
      </w:r>
      <w:r w:rsidRPr="004626B2">
        <w:rPr>
          <w:color w:val="000000"/>
          <w:sz w:val="26"/>
          <w:szCs w:val="26"/>
        </w:rPr>
        <w:t>individ</w:t>
      </w:r>
      <w:r>
        <w:rPr>
          <w:color w:val="000000"/>
          <w:sz w:val="26"/>
          <w:szCs w:val="26"/>
        </w:rPr>
        <w:t>ualized to the needs of a 13-1425 violation</w:t>
      </w:r>
      <w:r w:rsidRPr="004626B2">
        <w:rPr>
          <w:color w:val="000000"/>
          <w:sz w:val="26"/>
          <w:szCs w:val="26"/>
        </w:rPr>
        <w:t>,</w:t>
      </w:r>
      <w:r>
        <w:rPr>
          <w:color w:val="000000"/>
          <w:sz w:val="26"/>
          <w:szCs w:val="26"/>
        </w:rPr>
        <w:t xml:space="preserve"> the proposed amendment encroaches upon an accused</w:t>
      </w:r>
      <w:r w:rsidRPr="004626B2">
        <w:rPr>
          <w:color w:val="000000"/>
          <w:sz w:val="26"/>
          <w:szCs w:val="26"/>
        </w:rPr>
        <w:t xml:space="preserve">’s right to a fundamentally fair </w:t>
      </w:r>
      <w:r>
        <w:rPr>
          <w:color w:val="000000"/>
          <w:sz w:val="26"/>
          <w:szCs w:val="26"/>
        </w:rPr>
        <w:t xml:space="preserve">proceeding.  Under the proposed rule change, </w:t>
      </w:r>
      <w:r w:rsidRPr="004626B2">
        <w:rPr>
          <w:color w:val="000000"/>
          <w:sz w:val="26"/>
          <w:szCs w:val="26"/>
        </w:rPr>
        <w:t xml:space="preserve">access to the materials </w:t>
      </w:r>
      <w:r>
        <w:rPr>
          <w:color w:val="000000"/>
          <w:sz w:val="26"/>
          <w:szCs w:val="26"/>
        </w:rPr>
        <w:t>that form the basis of the violation must be accessed through litigation.  Further, under the amended rule the accused must disclose the identity of any experts the accused</w:t>
      </w:r>
      <w:r w:rsidRPr="004626B2">
        <w:rPr>
          <w:color w:val="000000"/>
          <w:sz w:val="26"/>
          <w:szCs w:val="26"/>
        </w:rPr>
        <w:t xml:space="preserve"> may be consulting with in defense of the case</w:t>
      </w:r>
      <w:r>
        <w:rPr>
          <w:color w:val="000000"/>
          <w:sz w:val="26"/>
          <w:szCs w:val="26"/>
        </w:rPr>
        <w:t>.  All of this will needlessly result in delay resulting in harm to both the victim and the accused.</w:t>
      </w:r>
      <w:r w:rsidRPr="004626B2">
        <w:rPr>
          <w:color w:val="000000"/>
          <w:sz w:val="26"/>
          <w:szCs w:val="26"/>
        </w:rPr>
        <w:t xml:space="preserve"> </w:t>
      </w:r>
      <w:r>
        <w:rPr>
          <w:color w:val="000000"/>
          <w:sz w:val="26"/>
          <w:szCs w:val="26"/>
        </w:rPr>
        <w:t xml:space="preserve"> </w:t>
      </w:r>
    </w:p>
    <w:p w:rsidR="006751F7" w:rsidRPr="00432B4D" w:rsidRDefault="006751F7" w:rsidP="006751F7">
      <w:pPr>
        <w:pStyle w:val="BodyText"/>
        <w:spacing w:after="120"/>
        <w:ind w:firstLine="720"/>
        <w:jc w:val="both"/>
        <w:rPr>
          <w:color w:val="000000"/>
          <w:sz w:val="26"/>
          <w:szCs w:val="26"/>
        </w:rPr>
      </w:pPr>
      <w:r>
        <w:rPr>
          <w:w w:val="105"/>
          <w:sz w:val="26"/>
          <w:szCs w:val="26"/>
        </w:rPr>
        <w:t xml:space="preserve">Also, consider this: </w:t>
      </w:r>
      <w:r>
        <w:rPr>
          <w:color w:val="000000"/>
          <w:sz w:val="26"/>
          <w:szCs w:val="26"/>
        </w:rPr>
        <w:t>Under the amended r</w:t>
      </w:r>
      <w:r w:rsidRPr="004626B2">
        <w:rPr>
          <w:color w:val="000000"/>
          <w:sz w:val="26"/>
          <w:szCs w:val="26"/>
        </w:rPr>
        <w:t>ule, the images will still be viewed by the same</w:t>
      </w:r>
      <w:r>
        <w:rPr>
          <w:color w:val="000000"/>
          <w:sz w:val="26"/>
          <w:szCs w:val="26"/>
        </w:rPr>
        <w:t xml:space="preserve"> individuals – the prosecutors, </w:t>
      </w:r>
      <w:r w:rsidRPr="004626B2">
        <w:rPr>
          <w:color w:val="000000"/>
          <w:sz w:val="26"/>
          <w:szCs w:val="26"/>
        </w:rPr>
        <w:t>defense</w:t>
      </w:r>
      <w:r>
        <w:rPr>
          <w:color w:val="000000"/>
          <w:sz w:val="26"/>
          <w:szCs w:val="26"/>
        </w:rPr>
        <w:t xml:space="preserve"> attorneys, experts, judge</w:t>
      </w:r>
      <w:r w:rsidRPr="004626B2">
        <w:rPr>
          <w:color w:val="000000"/>
          <w:sz w:val="26"/>
          <w:szCs w:val="26"/>
        </w:rPr>
        <w:t xml:space="preserve">, </w:t>
      </w:r>
      <w:r>
        <w:rPr>
          <w:color w:val="000000"/>
          <w:sz w:val="26"/>
          <w:szCs w:val="26"/>
        </w:rPr>
        <w:t xml:space="preserve">and jury – </w:t>
      </w:r>
      <w:r w:rsidRPr="004626B2">
        <w:rPr>
          <w:color w:val="000000"/>
          <w:sz w:val="26"/>
          <w:szCs w:val="26"/>
        </w:rPr>
        <w:t>as wou</w:t>
      </w:r>
      <w:r>
        <w:rPr>
          <w:color w:val="000000"/>
          <w:sz w:val="26"/>
          <w:szCs w:val="26"/>
        </w:rPr>
        <w:t>ld view them otherwise.  Consequently,</w:t>
      </w:r>
      <w:r w:rsidRPr="004626B2">
        <w:rPr>
          <w:color w:val="000000"/>
          <w:sz w:val="26"/>
          <w:szCs w:val="26"/>
        </w:rPr>
        <w:t xml:space="preserve"> the </w:t>
      </w:r>
      <w:r>
        <w:rPr>
          <w:color w:val="000000"/>
          <w:sz w:val="26"/>
          <w:szCs w:val="26"/>
        </w:rPr>
        <w:t>proposed amendment to</w:t>
      </w:r>
      <w:r w:rsidRPr="004626B2">
        <w:rPr>
          <w:color w:val="000000"/>
          <w:sz w:val="26"/>
          <w:szCs w:val="26"/>
        </w:rPr>
        <w:t xml:space="preserve"> Rule</w:t>
      </w:r>
      <w:r>
        <w:rPr>
          <w:color w:val="000000"/>
          <w:sz w:val="26"/>
          <w:szCs w:val="26"/>
        </w:rPr>
        <w:t xml:space="preserve"> 15.1(j) adds no real protection for victims.  What the proposed amendment will do is add delay and impede</w:t>
      </w:r>
      <w:r w:rsidRPr="004626B2">
        <w:rPr>
          <w:color w:val="000000"/>
          <w:sz w:val="26"/>
          <w:szCs w:val="26"/>
        </w:rPr>
        <w:t xml:space="preserve"> </w:t>
      </w:r>
      <w:r>
        <w:rPr>
          <w:color w:val="000000"/>
          <w:sz w:val="26"/>
          <w:szCs w:val="26"/>
        </w:rPr>
        <w:t>the rights of the accused.</w:t>
      </w:r>
    </w:p>
    <w:p w:rsidR="000C3C48" w:rsidRPr="009B4F32" w:rsidRDefault="000C3C48">
      <w:pPr>
        <w:tabs>
          <w:tab w:val="left" w:pos="-720"/>
        </w:tabs>
        <w:suppressAutoHyphens/>
        <w:jc w:val="both"/>
        <w:rPr>
          <w:rFonts w:ascii="Garamond" w:hAnsi="Garamond"/>
          <w:spacing w:val="-3"/>
          <w:sz w:val="24"/>
          <w:szCs w:val="24"/>
        </w:rPr>
      </w:pPr>
    </w:p>
    <w:p w:rsidR="000C3C48" w:rsidRDefault="000C3C48">
      <w:pPr>
        <w:tabs>
          <w:tab w:val="left" w:pos="-720"/>
        </w:tabs>
        <w:suppressAutoHyphens/>
        <w:jc w:val="both"/>
        <w:rPr>
          <w:rFonts w:ascii="Garamond" w:hAnsi="Garamond"/>
          <w:spacing w:val="-3"/>
          <w:sz w:val="24"/>
          <w:szCs w:val="24"/>
        </w:rPr>
      </w:pPr>
    </w:p>
    <w:p w:rsidR="009A3E79" w:rsidRPr="009B4F32" w:rsidRDefault="009A3E79">
      <w:pPr>
        <w:rPr>
          <w:rFonts w:ascii="Garamond" w:hAnsi="Garamond"/>
          <w:sz w:val="24"/>
          <w:szCs w:val="24"/>
        </w:rPr>
      </w:pPr>
    </w:p>
    <w:p w:rsidR="000C3C48" w:rsidRPr="009B4F32" w:rsidRDefault="000C3C48">
      <w:pPr>
        <w:rPr>
          <w:rFonts w:ascii="Garamond" w:hAnsi="Garamond"/>
          <w:sz w:val="24"/>
        </w:rPr>
      </w:pPr>
    </w:p>
    <w:sectPr w:rsidR="000C3C48" w:rsidRPr="009B4F32" w:rsidSect="000C3C48">
      <w:footerReference w:type="even" r:id="rId14"/>
      <w:footerReference w:type="default" r:id="rId15"/>
      <w:footerReference w:type="first" r:id="rId16"/>
      <w:pgSz w:w="12240" w:h="15840" w:code="1"/>
      <w:pgMar w:top="1440" w:right="1440" w:bottom="720" w:left="1440" w:header="720" w:footer="3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208" w:rsidRDefault="00BF2208">
      <w:r>
        <w:separator/>
      </w:r>
    </w:p>
  </w:endnote>
  <w:endnote w:type="continuationSeparator" w:id="0">
    <w:p w:rsidR="00BF2208" w:rsidRDefault="00BF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95" w:rsidRDefault="00A02178">
    <w:pPr>
      <w:pStyle w:val="Footer"/>
      <w:framePr w:wrap="around" w:vAnchor="text" w:hAnchor="margin" w:xAlign="center" w:y="1"/>
      <w:rPr>
        <w:rStyle w:val="PageNumber"/>
      </w:rPr>
    </w:pPr>
    <w:r>
      <w:rPr>
        <w:rStyle w:val="PageNumber"/>
      </w:rPr>
      <w:fldChar w:fldCharType="begin"/>
    </w:r>
    <w:r w:rsidR="00CD1E95">
      <w:rPr>
        <w:rStyle w:val="PageNumber"/>
      </w:rPr>
      <w:instrText xml:space="preserve">PAGE  </w:instrText>
    </w:r>
    <w:r>
      <w:rPr>
        <w:rStyle w:val="PageNumber"/>
      </w:rPr>
      <w:fldChar w:fldCharType="end"/>
    </w:r>
  </w:p>
  <w:p w:rsidR="00CD1E95" w:rsidRDefault="00CD1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95" w:rsidRDefault="00CD1E95">
    <w:pPr>
      <w:pStyle w:val="Footer"/>
      <w:rPr>
        <w:sz w:val="18"/>
      </w:rPr>
    </w:pPr>
  </w:p>
  <w:p w:rsidR="00CD1E95" w:rsidRDefault="00CD1E95">
    <w:pPr>
      <w:tabs>
        <w:tab w:val="center" w:pos="5544"/>
      </w:tabs>
      <w:suppressAutoHyphens/>
      <w:jc w:val="center"/>
      <w:rPr>
        <w:rFonts w:ascii="CG Times" w:hAnsi="CG Times"/>
        <w:spacing w:val="-3"/>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95" w:rsidRDefault="00CD1E95" w:rsidP="0099150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208" w:rsidRDefault="00BF2208">
      <w:r>
        <w:separator/>
      </w:r>
    </w:p>
  </w:footnote>
  <w:footnote w:type="continuationSeparator" w:id="0">
    <w:p w:rsidR="00BF2208" w:rsidRDefault="00BF2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C27AD"/>
    <w:multiLevelType w:val="hybridMultilevel"/>
    <w:tmpl w:val="0ECAB448"/>
    <w:lvl w:ilvl="0" w:tplc="669A8E8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551659F"/>
    <w:multiLevelType w:val="hybridMultilevel"/>
    <w:tmpl w:val="10D63250"/>
    <w:lvl w:ilvl="0" w:tplc="741E1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C48"/>
    <w:rsid w:val="000726F2"/>
    <w:rsid w:val="000C3C48"/>
    <w:rsid w:val="00157A2C"/>
    <w:rsid w:val="001654AC"/>
    <w:rsid w:val="001A54D6"/>
    <w:rsid w:val="001D113A"/>
    <w:rsid w:val="00236FD1"/>
    <w:rsid w:val="00283657"/>
    <w:rsid w:val="00340450"/>
    <w:rsid w:val="003677D4"/>
    <w:rsid w:val="00397A5C"/>
    <w:rsid w:val="003E4D9F"/>
    <w:rsid w:val="0042507B"/>
    <w:rsid w:val="004322E6"/>
    <w:rsid w:val="004511FF"/>
    <w:rsid w:val="004A63CA"/>
    <w:rsid w:val="006751F7"/>
    <w:rsid w:val="00682D8D"/>
    <w:rsid w:val="0077214C"/>
    <w:rsid w:val="00784DB7"/>
    <w:rsid w:val="007F73C1"/>
    <w:rsid w:val="00813F22"/>
    <w:rsid w:val="008171B1"/>
    <w:rsid w:val="00991505"/>
    <w:rsid w:val="009A3E79"/>
    <w:rsid w:val="009B4F32"/>
    <w:rsid w:val="00A02178"/>
    <w:rsid w:val="00A156BB"/>
    <w:rsid w:val="00A47CDA"/>
    <w:rsid w:val="00A55BB8"/>
    <w:rsid w:val="00A869FE"/>
    <w:rsid w:val="00BA3518"/>
    <w:rsid w:val="00BF2208"/>
    <w:rsid w:val="00C46ABF"/>
    <w:rsid w:val="00CD1E95"/>
    <w:rsid w:val="00CE1508"/>
    <w:rsid w:val="00D441BE"/>
    <w:rsid w:val="00D44DE0"/>
    <w:rsid w:val="00D61BD4"/>
    <w:rsid w:val="00DA5026"/>
    <w:rsid w:val="00E04A07"/>
    <w:rsid w:val="00E76222"/>
    <w:rsid w:val="00E86540"/>
    <w:rsid w:val="00F16E16"/>
    <w:rsid w:val="00F279D2"/>
    <w:rsid w:val="00F9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CCD3D3-E47C-41AF-93E8-5775EADF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CDA"/>
  </w:style>
  <w:style w:type="paragraph" w:styleId="Heading1">
    <w:name w:val="heading 1"/>
    <w:basedOn w:val="Normal"/>
    <w:next w:val="Normal"/>
    <w:link w:val="Heading1Char"/>
    <w:uiPriority w:val="9"/>
    <w:qFormat/>
    <w:rsid w:val="00A47CDA"/>
    <w:pPr>
      <w:keepNext/>
      <w:tabs>
        <w:tab w:val="left" w:pos="-720"/>
      </w:tabs>
      <w:suppressAutoHyphens/>
      <w:jc w:val="both"/>
      <w:outlineLvl w:val="0"/>
    </w:pPr>
    <w:rPr>
      <w:rFonts w:ascii="CG Times" w:hAnsi="CG Times"/>
      <w:spacing w:val="-3"/>
      <w:sz w:val="24"/>
    </w:rPr>
  </w:style>
  <w:style w:type="paragraph" w:styleId="Heading2">
    <w:name w:val="heading 2"/>
    <w:basedOn w:val="Normal"/>
    <w:next w:val="Normal"/>
    <w:link w:val="Heading2Char"/>
    <w:uiPriority w:val="9"/>
    <w:qFormat/>
    <w:rsid w:val="00A47CDA"/>
    <w:pPr>
      <w:keepNext/>
      <w:spacing w:line="360" w:lineRule="auto"/>
      <w:outlineLvl w:val="1"/>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C4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3C48"/>
    <w:rPr>
      <w:rFonts w:asciiTheme="majorHAnsi" w:eastAsiaTheme="majorEastAsia" w:hAnsiTheme="majorHAnsi" w:cstheme="majorBidi"/>
      <w:b/>
      <w:bCs/>
      <w:i/>
      <w:iCs/>
      <w:sz w:val="28"/>
      <w:szCs w:val="28"/>
    </w:rPr>
  </w:style>
  <w:style w:type="paragraph" w:styleId="Footer">
    <w:name w:val="footer"/>
    <w:basedOn w:val="Normal"/>
    <w:link w:val="FooterChar"/>
    <w:uiPriority w:val="99"/>
    <w:semiHidden/>
    <w:rsid w:val="00A47CDA"/>
    <w:pPr>
      <w:keepLines/>
      <w:tabs>
        <w:tab w:val="center" w:pos="4320"/>
        <w:tab w:val="right" w:pos="8640"/>
      </w:tabs>
    </w:pPr>
  </w:style>
  <w:style w:type="character" w:customStyle="1" w:styleId="FooterChar">
    <w:name w:val="Footer Char"/>
    <w:basedOn w:val="DefaultParagraphFont"/>
    <w:link w:val="Footer"/>
    <w:uiPriority w:val="99"/>
    <w:semiHidden/>
    <w:rsid w:val="000C3C48"/>
  </w:style>
  <w:style w:type="paragraph" w:styleId="BodyText">
    <w:name w:val="Body Text"/>
    <w:basedOn w:val="Normal"/>
    <w:link w:val="BodyTextChar"/>
    <w:uiPriority w:val="99"/>
    <w:semiHidden/>
    <w:rsid w:val="00A47CDA"/>
    <w:pPr>
      <w:spacing w:before="240" w:after="160"/>
    </w:pPr>
  </w:style>
  <w:style w:type="character" w:customStyle="1" w:styleId="BodyTextChar">
    <w:name w:val="Body Text Char"/>
    <w:basedOn w:val="DefaultParagraphFont"/>
    <w:link w:val="BodyText"/>
    <w:uiPriority w:val="99"/>
    <w:semiHidden/>
    <w:rsid w:val="000C3C48"/>
  </w:style>
  <w:style w:type="character" w:styleId="PageNumber">
    <w:name w:val="page number"/>
    <w:basedOn w:val="DefaultParagraphFont"/>
    <w:uiPriority w:val="99"/>
    <w:semiHidden/>
    <w:rsid w:val="00A47CDA"/>
    <w:rPr>
      <w:b/>
    </w:rPr>
  </w:style>
  <w:style w:type="character" w:customStyle="1" w:styleId="MessageHeaderLabel">
    <w:name w:val="Message Header Label"/>
    <w:rsid w:val="00A47CDA"/>
    <w:rPr>
      <w:rFonts w:ascii="CG Times (W1)" w:hAnsi="CG Times (W1)"/>
      <w:b/>
      <w:caps/>
      <w:sz w:val="24"/>
    </w:rPr>
  </w:style>
  <w:style w:type="paragraph" w:styleId="Header">
    <w:name w:val="header"/>
    <w:basedOn w:val="Normal"/>
    <w:link w:val="HeaderChar"/>
    <w:uiPriority w:val="99"/>
    <w:semiHidden/>
    <w:rsid w:val="00A47CDA"/>
    <w:pPr>
      <w:tabs>
        <w:tab w:val="center" w:pos="4320"/>
        <w:tab w:val="right" w:pos="8640"/>
      </w:tabs>
    </w:pPr>
  </w:style>
  <w:style w:type="character" w:customStyle="1" w:styleId="HeaderChar">
    <w:name w:val="Header Char"/>
    <w:basedOn w:val="DefaultParagraphFont"/>
    <w:link w:val="Header"/>
    <w:uiPriority w:val="99"/>
    <w:semiHidden/>
    <w:rsid w:val="000C3C48"/>
  </w:style>
  <w:style w:type="paragraph" w:styleId="BalloonText">
    <w:name w:val="Balloon Text"/>
    <w:basedOn w:val="Normal"/>
    <w:link w:val="BalloonTextChar"/>
    <w:uiPriority w:val="99"/>
    <w:semiHidden/>
    <w:unhideWhenUsed/>
    <w:rsid w:val="00F279D2"/>
    <w:rPr>
      <w:rFonts w:ascii="Tahoma" w:hAnsi="Tahoma" w:cs="Tahoma"/>
      <w:sz w:val="16"/>
      <w:szCs w:val="16"/>
    </w:rPr>
  </w:style>
  <w:style w:type="character" w:customStyle="1" w:styleId="BalloonTextChar">
    <w:name w:val="Balloon Text Char"/>
    <w:basedOn w:val="DefaultParagraphFont"/>
    <w:link w:val="BalloonText"/>
    <w:uiPriority w:val="99"/>
    <w:semiHidden/>
    <w:rsid w:val="00F279D2"/>
    <w:rPr>
      <w:rFonts w:ascii="Tahoma" w:hAnsi="Tahoma" w:cs="Tahoma"/>
      <w:sz w:val="16"/>
      <w:szCs w:val="16"/>
    </w:rPr>
  </w:style>
  <w:style w:type="paragraph" w:customStyle="1" w:styleId="Body">
    <w:name w:val="Body"/>
    <w:basedOn w:val="Normal"/>
    <w:rsid w:val="006751F7"/>
    <w:pPr>
      <w:spacing w:line="480" w:lineRule="exact"/>
      <w:ind w:firstLine="1440"/>
    </w:pPr>
    <w:rPr>
      <w:sz w:val="26"/>
    </w:rPr>
  </w:style>
  <w:style w:type="paragraph" w:styleId="ListParagraph">
    <w:name w:val="List Paragraph"/>
    <w:basedOn w:val="Normal"/>
    <w:uiPriority w:val="34"/>
    <w:qFormat/>
    <w:rsid w:val="006751F7"/>
    <w:pPr>
      <w:spacing w:line="508" w:lineRule="exact"/>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251&amp;cite=AZSTS13-3553&amp;originatingDoc=I65ceb221e18f11dcb595a478de34cd72&amp;refType=LQ&amp;originationContext=document&amp;transitionType=DocumentItem&amp;contextData=(sc.Search)" TargetMode="External"/><Relationship Id="rId13" Type="http://schemas.openxmlformats.org/officeDocument/2006/relationships/hyperlink" Target="https://1.next.westlaw.com/Link/Document/FullText?findType=L&amp;pubNum=1000546&amp;cite=47USCAS153&amp;originatingDoc=N6845FD80EAAC11E59D6AA809A725BB7C&amp;refType=LQ&amp;originationContext=document&amp;transitionType=DocumentItem&amp;contextData=(sc.Defau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1.next.westlaw.com/Link/Document/FullText?findType=L&amp;pubNum=1000546&amp;cite=47USCAS230&amp;originatingDoc=N6845FD80EAAC11E59D6AA809A725BB7C&amp;refType=SP&amp;originationContext=document&amp;transitionType=DocumentItem&amp;contextData=(sc.Defau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next.westlaw.com/Link/Document/FullText?findType=L&amp;pubNum=1000251&amp;cite=AZSTRCRPR15.1&amp;originatingDoc=I65ceb221e18f11dcb595a478de34cd72&amp;refType=LQ&amp;originationContext=document&amp;transitionType=DocumentItem&amp;contextData=(sc.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1.next.westlaw.com/Link/Document/FullText?findType=L&amp;pubNum=1000251&amp;cite=AZSTRCRPR15.1&amp;originatingDoc=I65ceb221e18f11dcb595a478de34cd72&amp;refType=LQ&amp;originationContext=document&amp;transitionType=DocumentItem&amp;contextData=(sc.Search)"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Y&amp;serNum=2003639887&amp;pubNum=156&amp;originatingDoc=I65ceb221e18f11dcb595a478de34cd72&amp;refType=RP&amp;fi=co_pp_sp_156_182&amp;originationContext=document&amp;transitionType=DocumentItem&amp;contextData=(sc.Sear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Sherman</dc:creator>
  <cp:lastModifiedBy>Lisa Panahi</cp:lastModifiedBy>
  <cp:revision>3</cp:revision>
  <cp:lastPrinted>2006-01-05T18:10:00Z</cp:lastPrinted>
  <dcterms:created xsi:type="dcterms:W3CDTF">2016-09-16T22:54:00Z</dcterms:created>
  <dcterms:modified xsi:type="dcterms:W3CDTF">2016-09-16T22:55:00Z</dcterms:modified>
</cp:coreProperties>
</file>