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716" w:rsidRDefault="00B43716" w:rsidP="00B43716">
      <w:pPr>
        <w:pStyle w:val="AttorneyName"/>
        <w:tabs>
          <w:tab w:val="left" w:pos="5760"/>
        </w:tabs>
        <w:spacing w:line="276" w:lineRule="auto"/>
        <w:ind w:left="86" w:right="86"/>
        <w:rPr>
          <w:rFonts w:ascii="Times New Roman" w:hAnsi="Times New Roman" w:cs="Times New Roman"/>
          <w:sz w:val="28"/>
          <w:szCs w:val="28"/>
        </w:rPr>
      </w:pPr>
      <w:r>
        <w:rPr>
          <w:rFonts w:ascii="Times New Roman" w:hAnsi="Times New Roman" w:cs="Times New Roman"/>
          <w:sz w:val="28"/>
          <w:szCs w:val="28"/>
        </w:rPr>
        <w:t>Honorable Peter B. Swann</w:t>
      </w:r>
    </w:p>
    <w:p w:rsidR="00B43716" w:rsidRDefault="00B43716" w:rsidP="00B43716">
      <w:pPr>
        <w:pStyle w:val="AttorneyName"/>
        <w:tabs>
          <w:tab w:val="left" w:pos="5760"/>
        </w:tabs>
        <w:spacing w:line="276" w:lineRule="auto"/>
        <w:ind w:left="86" w:right="86"/>
        <w:rPr>
          <w:rFonts w:ascii="Times New Roman" w:hAnsi="Times New Roman" w:cs="Times New Roman"/>
          <w:sz w:val="28"/>
          <w:szCs w:val="28"/>
        </w:rPr>
      </w:pPr>
      <w:r>
        <w:rPr>
          <w:rFonts w:ascii="Times New Roman" w:hAnsi="Times New Roman" w:cs="Times New Roman"/>
          <w:sz w:val="28"/>
          <w:szCs w:val="28"/>
        </w:rPr>
        <w:t>Judge, Arizona Court of Appeals</w:t>
      </w:r>
    </w:p>
    <w:p w:rsidR="00B43716" w:rsidRDefault="00B43716" w:rsidP="00B43716">
      <w:pPr>
        <w:pStyle w:val="AttorneyName"/>
        <w:tabs>
          <w:tab w:val="left" w:pos="5760"/>
        </w:tabs>
        <w:spacing w:line="276" w:lineRule="auto"/>
        <w:ind w:left="86" w:right="86"/>
        <w:rPr>
          <w:rFonts w:ascii="Times New Roman" w:hAnsi="Times New Roman" w:cs="Times New Roman"/>
          <w:sz w:val="28"/>
          <w:szCs w:val="28"/>
        </w:rPr>
      </w:pPr>
      <w:r>
        <w:rPr>
          <w:rFonts w:ascii="Times New Roman" w:hAnsi="Times New Roman" w:cs="Times New Roman"/>
          <w:sz w:val="28"/>
          <w:szCs w:val="28"/>
        </w:rPr>
        <w:t>1501 W. Washington St.</w:t>
      </w:r>
    </w:p>
    <w:p w:rsidR="00B43716" w:rsidRDefault="00B43716" w:rsidP="00B43716">
      <w:pPr>
        <w:pStyle w:val="AttorneyName"/>
        <w:tabs>
          <w:tab w:val="left" w:pos="5760"/>
        </w:tabs>
        <w:spacing w:line="276" w:lineRule="auto"/>
        <w:ind w:left="86" w:right="86"/>
        <w:rPr>
          <w:rFonts w:ascii="Times New Roman" w:hAnsi="Times New Roman" w:cs="Times New Roman"/>
          <w:sz w:val="28"/>
          <w:szCs w:val="28"/>
        </w:rPr>
      </w:pPr>
      <w:r>
        <w:rPr>
          <w:rFonts w:ascii="Times New Roman" w:hAnsi="Times New Roman" w:cs="Times New Roman"/>
          <w:sz w:val="28"/>
          <w:szCs w:val="28"/>
        </w:rPr>
        <w:t>Phoenix, AZ 85007</w:t>
      </w:r>
    </w:p>
    <w:p w:rsidR="00B43716" w:rsidRDefault="00B43716" w:rsidP="00B43716">
      <w:pPr>
        <w:pStyle w:val="AttorneyName"/>
        <w:tabs>
          <w:tab w:val="left" w:pos="5760"/>
        </w:tabs>
        <w:spacing w:line="276" w:lineRule="auto"/>
        <w:ind w:left="86" w:right="86"/>
        <w:rPr>
          <w:rFonts w:ascii="Times New Roman" w:hAnsi="Times New Roman" w:cs="Times New Roman"/>
          <w:sz w:val="28"/>
          <w:szCs w:val="28"/>
        </w:rPr>
      </w:pPr>
    </w:p>
    <w:p w:rsidR="00B43716" w:rsidRDefault="00B43716" w:rsidP="00B43716">
      <w:pPr>
        <w:pStyle w:val="AttorneyName"/>
        <w:tabs>
          <w:tab w:val="left" w:pos="5760"/>
        </w:tabs>
        <w:spacing w:line="276" w:lineRule="auto"/>
        <w:ind w:left="86" w:right="86"/>
        <w:rPr>
          <w:rFonts w:ascii="Times New Roman" w:hAnsi="Times New Roman" w:cs="Times New Roman"/>
          <w:sz w:val="28"/>
          <w:szCs w:val="28"/>
        </w:rPr>
      </w:pPr>
      <w:r w:rsidRPr="00E35D86">
        <w:rPr>
          <w:rFonts w:ascii="Times New Roman" w:hAnsi="Times New Roman" w:cs="Times New Roman"/>
          <w:sz w:val="28"/>
          <w:szCs w:val="28"/>
        </w:rPr>
        <w:t xml:space="preserve">Honorable </w:t>
      </w:r>
      <w:r>
        <w:rPr>
          <w:rFonts w:ascii="Times New Roman" w:hAnsi="Times New Roman" w:cs="Times New Roman"/>
          <w:sz w:val="28"/>
          <w:szCs w:val="28"/>
        </w:rPr>
        <w:t>Paul J. McMurdie</w:t>
      </w:r>
    </w:p>
    <w:p w:rsidR="00B43716" w:rsidRPr="00E35D86" w:rsidRDefault="00B43716" w:rsidP="00B43716">
      <w:pPr>
        <w:pStyle w:val="AttorneyName"/>
        <w:tabs>
          <w:tab w:val="left" w:pos="5760"/>
        </w:tabs>
        <w:spacing w:line="276" w:lineRule="auto"/>
        <w:ind w:left="86" w:right="86"/>
        <w:rPr>
          <w:rFonts w:ascii="Times New Roman" w:hAnsi="Times New Roman" w:cs="Times New Roman"/>
          <w:sz w:val="28"/>
          <w:szCs w:val="28"/>
        </w:rPr>
      </w:pPr>
      <w:r>
        <w:rPr>
          <w:rFonts w:ascii="Times New Roman" w:hAnsi="Times New Roman" w:cs="Times New Roman"/>
          <w:sz w:val="28"/>
          <w:szCs w:val="28"/>
        </w:rPr>
        <w:t xml:space="preserve">Family Court </w:t>
      </w:r>
      <w:r w:rsidRPr="00E35D86">
        <w:rPr>
          <w:rFonts w:ascii="Times New Roman" w:hAnsi="Times New Roman" w:cs="Times New Roman"/>
          <w:sz w:val="28"/>
          <w:szCs w:val="28"/>
        </w:rPr>
        <w:t>Presiding Judge</w:t>
      </w:r>
      <w:r>
        <w:rPr>
          <w:rFonts w:ascii="Times New Roman" w:hAnsi="Times New Roman" w:cs="Times New Roman"/>
          <w:sz w:val="28"/>
          <w:szCs w:val="28"/>
        </w:rPr>
        <w:tab/>
      </w:r>
    </w:p>
    <w:p w:rsidR="00B43716" w:rsidRPr="00E35D86" w:rsidRDefault="00B43716" w:rsidP="00B43716">
      <w:pPr>
        <w:pStyle w:val="AttorneyName"/>
        <w:spacing w:line="276" w:lineRule="auto"/>
        <w:ind w:left="86" w:right="86"/>
        <w:rPr>
          <w:rFonts w:ascii="Times New Roman" w:hAnsi="Times New Roman" w:cs="Times New Roman"/>
          <w:sz w:val="28"/>
          <w:szCs w:val="28"/>
        </w:rPr>
      </w:pPr>
      <w:r w:rsidRPr="00E35D86">
        <w:rPr>
          <w:rFonts w:ascii="Times New Roman" w:hAnsi="Times New Roman" w:cs="Times New Roman"/>
          <w:sz w:val="28"/>
          <w:szCs w:val="28"/>
        </w:rPr>
        <w:t>Superior Court of Arizona, Maricopa County</w:t>
      </w:r>
    </w:p>
    <w:p w:rsidR="00B43716" w:rsidRPr="00E35D86" w:rsidRDefault="00B43716" w:rsidP="00B43716">
      <w:pPr>
        <w:pStyle w:val="AttorneyName"/>
        <w:spacing w:line="276" w:lineRule="auto"/>
        <w:ind w:left="86" w:right="86"/>
        <w:rPr>
          <w:rFonts w:ascii="Times New Roman" w:hAnsi="Times New Roman" w:cs="Times New Roman"/>
          <w:sz w:val="28"/>
          <w:szCs w:val="28"/>
        </w:rPr>
      </w:pPr>
      <w:r>
        <w:rPr>
          <w:rFonts w:ascii="Times New Roman" w:hAnsi="Times New Roman" w:cs="Times New Roman"/>
          <w:sz w:val="28"/>
          <w:szCs w:val="28"/>
        </w:rPr>
        <w:t>201 W. Jefferson</w:t>
      </w:r>
      <w:r w:rsidRPr="00E35D86">
        <w:rPr>
          <w:rFonts w:ascii="Times New Roman" w:hAnsi="Times New Roman" w:cs="Times New Roman"/>
          <w:sz w:val="28"/>
          <w:szCs w:val="28"/>
        </w:rPr>
        <w:t xml:space="preserve"> St.</w:t>
      </w:r>
    </w:p>
    <w:p w:rsidR="00B43716" w:rsidRPr="00E35D86" w:rsidRDefault="00B43716" w:rsidP="00B43716">
      <w:pPr>
        <w:pStyle w:val="AttorneyName"/>
        <w:spacing w:line="276" w:lineRule="auto"/>
        <w:ind w:left="86" w:right="86"/>
        <w:rPr>
          <w:rFonts w:ascii="Times New Roman" w:hAnsi="Times New Roman" w:cs="Times New Roman"/>
          <w:sz w:val="28"/>
          <w:szCs w:val="28"/>
        </w:rPr>
      </w:pPr>
      <w:r w:rsidRPr="00E35D86">
        <w:rPr>
          <w:rFonts w:ascii="Times New Roman" w:hAnsi="Times New Roman" w:cs="Times New Roman"/>
          <w:sz w:val="28"/>
          <w:szCs w:val="28"/>
        </w:rPr>
        <w:t>Phoenix, AZ 85003</w:t>
      </w:r>
    </w:p>
    <w:p w:rsidR="00B43716" w:rsidRDefault="00B43716" w:rsidP="00B43716">
      <w:pPr>
        <w:pStyle w:val="AttorneyName"/>
        <w:spacing w:line="276" w:lineRule="auto"/>
        <w:ind w:left="86" w:right="86"/>
        <w:rPr>
          <w:rFonts w:ascii="Times New Roman" w:hAnsi="Times New Roman" w:cs="Times New Roman"/>
          <w:sz w:val="28"/>
          <w:szCs w:val="28"/>
        </w:rPr>
      </w:pPr>
      <w:r>
        <w:rPr>
          <w:rFonts w:ascii="Times New Roman" w:hAnsi="Times New Roman" w:cs="Times New Roman"/>
          <w:sz w:val="28"/>
          <w:szCs w:val="28"/>
        </w:rPr>
        <w:t>(602) 372-0765</w:t>
      </w:r>
    </w:p>
    <w:p w:rsidR="00B43716" w:rsidRPr="00E35D86" w:rsidRDefault="00B43716" w:rsidP="00B43716">
      <w:pPr>
        <w:pStyle w:val="AttorneyName"/>
        <w:ind w:left="90" w:right="90"/>
        <w:rPr>
          <w:rFonts w:ascii="Times New Roman" w:hAnsi="Times New Roman" w:cs="Times New Roman"/>
          <w:sz w:val="28"/>
          <w:szCs w:val="28"/>
        </w:rPr>
      </w:pPr>
    </w:p>
    <w:p w:rsidR="00B43716" w:rsidRPr="00E35D86" w:rsidRDefault="00B43716" w:rsidP="00B43716">
      <w:pPr>
        <w:ind w:left="90" w:right="90"/>
        <w:jc w:val="center"/>
        <w:outlineLvl w:val="0"/>
        <w:rPr>
          <w:rFonts w:ascii="Times New Roman" w:hAnsi="Times New Roman" w:cs="Times New Roman"/>
          <w:sz w:val="28"/>
          <w:szCs w:val="28"/>
        </w:rPr>
      </w:pPr>
      <w:r w:rsidRPr="00E35D86">
        <w:rPr>
          <w:rFonts w:ascii="Times New Roman" w:hAnsi="Times New Roman" w:cs="Times New Roman"/>
          <w:sz w:val="28"/>
          <w:szCs w:val="28"/>
        </w:rPr>
        <w:t>IN THE SUPREME COURT OF THE STATE OF ARIZONA</w:t>
      </w:r>
    </w:p>
    <w:p w:rsidR="00B43716" w:rsidRPr="00E35D86" w:rsidRDefault="00B43716" w:rsidP="00B43716">
      <w:pPr>
        <w:ind w:left="90" w:right="90"/>
        <w:jc w:val="center"/>
        <w:rPr>
          <w:rFonts w:ascii="Times New Roman" w:hAnsi="Times New Roman" w:cs="Times New Roman"/>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B43716" w:rsidRPr="00E35D86" w:rsidTr="005B63E7">
        <w:tc>
          <w:tcPr>
            <w:tcW w:w="4542" w:type="dxa"/>
            <w:tcBorders>
              <w:bottom w:val="single" w:sz="4" w:space="0" w:color="auto"/>
            </w:tcBorders>
            <w:shd w:val="clear" w:color="auto" w:fill="auto"/>
          </w:tcPr>
          <w:p w:rsidR="00B43716" w:rsidRDefault="00B43716" w:rsidP="005B63E7">
            <w:pPr>
              <w:ind w:right="90"/>
              <w:rPr>
                <w:rFonts w:ascii="Times New Roman" w:hAnsi="Times New Roman" w:cs="Times New Roman"/>
                <w:bCs/>
                <w:sz w:val="28"/>
                <w:szCs w:val="28"/>
              </w:rPr>
            </w:pPr>
            <w:bookmarkStart w:id="0" w:name="Parties"/>
            <w:bookmarkEnd w:id="0"/>
          </w:p>
          <w:p w:rsidR="00B43716" w:rsidRDefault="00B43716" w:rsidP="005B63E7">
            <w:pPr>
              <w:ind w:right="90"/>
              <w:rPr>
                <w:rFonts w:ascii="Times New Roman" w:hAnsi="Times New Roman" w:cs="Times New Roman"/>
                <w:bCs/>
                <w:sz w:val="28"/>
                <w:szCs w:val="28"/>
              </w:rPr>
            </w:pPr>
            <w:r>
              <w:rPr>
                <w:rFonts w:ascii="Times New Roman" w:hAnsi="Times New Roman" w:cs="Times New Roman"/>
                <w:bCs/>
                <w:sz w:val="28"/>
                <w:szCs w:val="28"/>
              </w:rPr>
              <w:t>In the Matter of</w:t>
            </w:r>
          </w:p>
          <w:p w:rsidR="00B43716" w:rsidRDefault="00B43716" w:rsidP="005B63E7">
            <w:pPr>
              <w:ind w:right="90"/>
              <w:rPr>
                <w:rFonts w:ascii="Times New Roman" w:hAnsi="Times New Roman" w:cs="Times New Roman"/>
                <w:bCs/>
                <w:sz w:val="28"/>
                <w:szCs w:val="28"/>
              </w:rPr>
            </w:pPr>
          </w:p>
          <w:p w:rsidR="00B43716" w:rsidRPr="00B17765" w:rsidRDefault="00B43716" w:rsidP="005B63E7">
            <w:pPr>
              <w:ind w:right="90"/>
              <w:rPr>
                <w:rFonts w:ascii="Times New Roman" w:hAnsi="Times New Roman" w:cs="Times New Roman"/>
                <w:sz w:val="28"/>
                <w:szCs w:val="28"/>
              </w:rPr>
            </w:pPr>
            <w:r w:rsidRPr="00B17765">
              <w:rPr>
                <w:rFonts w:ascii="Times New Roman" w:hAnsi="Times New Roman" w:cs="Times New Roman"/>
                <w:bCs/>
                <w:sz w:val="28"/>
                <w:szCs w:val="28"/>
              </w:rPr>
              <w:t xml:space="preserve">PETITION TO AMEND </w:t>
            </w:r>
            <w:r>
              <w:rPr>
                <w:rFonts w:ascii="Times New Roman" w:hAnsi="Times New Roman" w:cs="Times New Roman"/>
                <w:bCs/>
                <w:sz w:val="28"/>
                <w:szCs w:val="28"/>
              </w:rPr>
              <w:t xml:space="preserve">RULE 72 OF THE RULES OF FAMILY LAW PROCEDURE </w:t>
            </w:r>
          </w:p>
        </w:tc>
        <w:tc>
          <w:tcPr>
            <w:tcW w:w="276" w:type="dxa"/>
            <w:shd w:val="clear" w:color="auto" w:fill="auto"/>
          </w:tcPr>
          <w:p w:rsidR="00B43716" w:rsidRPr="00E35D86" w:rsidRDefault="00B43716" w:rsidP="005B63E7">
            <w:pPr>
              <w:pStyle w:val="SingleSpacing"/>
              <w:ind w:left="90" w:right="90"/>
              <w:rPr>
                <w:rFonts w:ascii="Times New Roman" w:hAnsi="Times New Roman" w:cs="Times New Roman"/>
                <w:sz w:val="28"/>
                <w:szCs w:val="28"/>
              </w:rPr>
            </w:pPr>
            <w:r w:rsidRPr="00E35D86">
              <w:rPr>
                <w:rFonts w:ascii="Times New Roman" w:hAnsi="Times New Roman" w:cs="Times New Roman"/>
                <w:sz w:val="28"/>
                <w:szCs w:val="28"/>
              </w:rPr>
              <w:t>)</w:t>
            </w:r>
          </w:p>
          <w:p w:rsidR="00B43716" w:rsidRPr="00E35D86" w:rsidRDefault="00B43716" w:rsidP="005B63E7">
            <w:pPr>
              <w:pStyle w:val="SingleSpacing"/>
              <w:ind w:left="90" w:right="90"/>
              <w:rPr>
                <w:rFonts w:ascii="Times New Roman" w:hAnsi="Times New Roman" w:cs="Times New Roman"/>
                <w:sz w:val="28"/>
                <w:szCs w:val="28"/>
              </w:rPr>
            </w:pPr>
            <w:r w:rsidRPr="00E35D86">
              <w:rPr>
                <w:rFonts w:ascii="Times New Roman" w:hAnsi="Times New Roman" w:cs="Times New Roman"/>
                <w:sz w:val="28"/>
                <w:szCs w:val="28"/>
              </w:rPr>
              <w:t>)</w:t>
            </w:r>
          </w:p>
          <w:p w:rsidR="00B43716" w:rsidRPr="00E35D86" w:rsidRDefault="00B43716" w:rsidP="005B63E7">
            <w:pPr>
              <w:pStyle w:val="SingleSpacing"/>
              <w:ind w:left="90" w:right="90"/>
              <w:rPr>
                <w:rFonts w:ascii="Times New Roman" w:hAnsi="Times New Roman" w:cs="Times New Roman"/>
                <w:sz w:val="28"/>
                <w:szCs w:val="28"/>
              </w:rPr>
            </w:pPr>
            <w:r w:rsidRPr="00E35D86">
              <w:rPr>
                <w:rFonts w:ascii="Times New Roman" w:hAnsi="Times New Roman" w:cs="Times New Roman"/>
                <w:sz w:val="28"/>
                <w:szCs w:val="28"/>
              </w:rPr>
              <w:t>)</w:t>
            </w:r>
          </w:p>
          <w:p w:rsidR="00B43716" w:rsidRPr="00E35D86" w:rsidRDefault="00B43716" w:rsidP="005B63E7">
            <w:pPr>
              <w:pStyle w:val="SingleSpacing"/>
              <w:ind w:left="90" w:right="90"/>
              <w:rPr>
                <w:rFonts w:ascii="Times New Roman" w:hAnsi="Times New Roman" w:cs="Times New Roman"/>
                <w:sz w:val="28"/>
                <w:szCs w:val="28"/>
              </w:rPr>
            </w:pPr>
            <w:r w:rsidRPr="00E35D86">
              <w:rPr>
                <w:rFonts w:ascii="Times New Roman" w:hAnsi="Times New Roman" w:cs="Times New Roman"/>
                <w:sz w:val="28"/>
                <w:szCs w:val="28"/>
              </w:rPr>
              <w:t>)</w:t>
            </w:r>
          </w:p>
          <w:p w:rsidR="00B43716" w:rsidRPr="00E35D86" w:rsidRDefault="00B43716" w:rsidP="005B63E7">
            <w:pPr>
              <w:pStyle w:val="SingleSpacing"/>
              <w:ind w:left="90" w:right="90"/>
              <w:rPr>
                <w:rFonts w:ascii="Times New Roman" w:hAnsi="Times New Roman" w:cs="Times New Roman"/>
                <w:sz w:val="28"/>
                <w:szCs w:val="28"/>
              </w:rPr>
            </w:pPr>
            <w:r w:rsidRPr="00E35D86">
              <w:rPr>
                <w:rFonts w:ascii="Times New Roman" w:hAnsi="Times New Roman" w:cs="Times New Roman"/>
                <w:sz w:val="28"/>
                <w:szCs w:val="28"/>
              </w:rPr>
              <w:t>)</w:t>
            </w:r>
          </w:p>
          <w:p w:rsidR="00B43716" w:rsidRDefault="00B43716" w:rsidP="005B63E7">
            <w:pPr>
              <w:pStyle w:val="SingleSpacing"/>
              <w:ind w:left="90" w:right="90"/>
              <w:rPr>
                <w:rFonts w:ascii="Times New Roman" w:hAnsi="Times New Roman" w:cs="Times New Roman"/>
                <w:sz w:val="28"/>
                <w:szCs w:val="28"/>
              </w:rPr>
            </w:pPr>
            <w:r w:rsidRPr="00E35D86">
              <w:rPr>
                <w:rFonts w:ascii="Times New Roman" w:hAnsi="Times New Roman" w:cs="Times New Roman"/>
                <w:sz w:val="28"/>
                <w:szCs w:val="28"/>
              </w:rPr>
              <w:t>)</w:t>
            </w:r>
          </w:p>
          <w:p w:rsidR="00B43716" w:rsidRPr="00E35D86" w:rsidRDefault="00B43716" w:rsidP="00E14E65">
            <w:pPr>
              <w:pStyle w:val="SingleSpacing"/>
              <w:ind w:left="90" w:right="90"/>
              <w:rPr>
                <w:rFonts w:ascii="Times New Roman" w:hAnsi="Times New Roman" w:cs="Times New Roman"/>
                <w:sz w:val="28"/>
                <w:szCs w:val="28"/>
              </w:rPr>
            </w:pPr>
            <w:r>
              <w:rPr>
                <w:rFonts w:ascii="Times New Roman" w:hAnsi="Times New Roman" w:cs="Times New Roman"/>
                <w:sz w:val="28"/>
                <w:szCs w:val="28"/>
              </w:rPr>
              <w:t>)))</w:t>
            </w:r>
          </w:p>
        </w:tc>
        <w:tc>
          <w:tcPr>
            <w:tcW w:w="4542" w:type="dxa"/>
            <w:shd w:val="clear" w:color="auto" w:fill="auto"/>
          </w:tcPr>
          <w:p w:rsidR="00B43716" w:rsidRPr="007948CC" w:rsidRDefault="00B43716" w:rsidP="005B63E7">
            <w:pPr>
              <w:pStyle w:val="SingleSpacing"/>
              <w:spacing w:line="240" w:lineRule="auto"/>
              <w:ind w:right="86"/>
              <w:rPr>
                <w:rFonts w:ascii="Times New Roman" w:hAnsi="Times New Roman" w:cs="Times New Roman"/>
                <w:sz w:val="28"/>
                <w:szCs w:val="28"/>
              </w:rPr>
            </w:pPr>
            <w:bookmarkStart w:id="1" w:name="CaseNumber"/>
            <w:bookmarkEnd w:id="1"/>
            <w:r>
              <w:rPr>
                <w:rFonts w:ascii="Times New Roman" w:hAnsi="Times New Roman" w:cs="Times New Roman"/>
                <w:sz w:val="28"/>
                <w:szCs w:val="28"/>
              </w:rPr>
              <w:t xml:space="preserve"> </w:t>
            </w:r>
            <w:r w:rsidRPr="00E35D86">
              <w:rPr>
                <w:rFonts w:ascii="Times New Roman" w:hAnsi="Times New Roman" w:cs="Times New Roman"/>
                <w:sz w:val="28"/>
                <w:szCs w:val="28"/>
              </w:rPr>
              <w:t xml:space="preserve">Supreme Court </w:t>
            </w:r>
            <w:r w:rsidRPr="007948CC">
              <w:rPr>
                <w:rFonts w:ascii="Times New Roman" w:hAnsi="Times New Roman" w:cs="Times New Roman"/>
                <w:sz w:val="28"/>
                <w:szCs w:val="28"/>
              </w:rPr>
              <w:t>No. R-</w:t>
            </w:r>
            <w:r>
              <w:rPr>
                <w:rFonts w:ascii="Times New Roman" w:hAnsi="Times New Roman" w:cs="Times New Roman"/>
                <w:sz w:val="28"/>
                <w:szCs w:val="28"/>
              </w:rPr>
              <w:t>16</w:t>
            </w:r>
            <w:r w:rsidRPr="007948CC">
              <w:rPr>
                <w:rFonts w:ascii="Times New Roman" w:hAnsi="Times New Roman" w:cs="Times New Roman"/>
                <w:sz w:val="28"/>
                <w:szCs w:val="28"/>
              </w:rPr>
              <w:t>-</w:t>
            </w:r>
            <w:r>
              <w:rPr>
                <w:rFonts w:ascii="Times New Roman" w:hAnsi="Times New Roman" w:cs="Times New Roman"/>
                <w:sz w:val="28"/>
                <w:szCs w:val="28"/>
              </w:rPr>
              <w:t>0037</w:t>
            </w:r>
          </w:p>
          <w:p w:rsidR="00B43716" w:rsidRPr="00E35D86" w:rsidRDefault="00B43716" w:rsidP="005B63E7">
            <w:pPr>
              <w:pStyle w:val="SingleSpacing"/>
              <w:spacing w:line="240" w:lineRule="auto"/>
              <w:ind w:left="86" w:right="86"/>
              <w:rPr>
                <w:rFonts w:ascii="Times New Roman" w:hAnsi="Times New Roman" w:cs="Times New Roman"/>
                <w:sz w:val="28"/>
                <w:szCs w:val="28"/>
              </w:rPr>
            </w:pPr>
          </w:p>
          <w:p w:rsidR="00B43716" w:rsidRPr="00E35D86" w:rsidRDefault="00B43716" w:rsidP="00E14E65">
            <w:pPr>
              <w:pStyle w:val="SingleSpacing"/>
              <w:spacing w:line="240" w:lineRule="auto"/>
              <w:ind w:left="86" w:right="86"/>
              <w:rPr>
                <w:rFonts w:ascii="Times New Roman" w:hAnsi="Times New Roman" w:cs="Times New Roman"/>
                <w:sz w:val="28"/>
                <w:szCs w:val="28"/>
              </w:rPr>
            </w:pPr>
            <w:r>
              <w:rPr>
                <w:rFonts w:ascii="Times New Roman" w:hAnsi="Times New Roman" w:cs="Times New Roman"/>
                <w:sz w:val="28"/>
                <w:szCs w:val="28"/>
              </w:rPr>
              <w:t>REPLY TO COMMENT TO PETITION TO  AMEND RULE 72 OF THE RULES OF FAMILY LAW PROCEDURE</w:t>
            </w:r>
          </w:p>
        </w:tc>
      </w:tr>
    </w:tbl>
    <w:p w:rsidR="00B43716" w:rsidRPr="00E35D86" w:rsidRDefault="00B43716" w:rsidP="00B43716">
      <w:pPr>
        <w:spacing w:line="200" w:lineRule="exact"/>
        <w:ind w:left="86" w:right="86"/>
        <w:rPr>
          <w:rFonts w:ascii="Times New Roman" w:hAnsi="Times New Roman" w:cs="Times New Roman"/>
          <w:sz w:val="28"/>
          <w:szCs w:val="28"/>
        </w:rPr>
      </w:pPr>
    </w:p>
    <w:p w:rsidR="001B3CE2" w:rsidRPr="005B77DB" w:rsidRDefault="00143EDC" w:rsidP="00B02E7C">
      <w:pPr>
        <w:spacing w:after="120"/>
        <w:rPr>
          <w:rFonts w:ascii="Times New Roman" w:hAnsi="Times New Roman" w:cs="Times New Roman"/>
          <w:sz w:val="28"/>
          <w:szCs w:val="28"/>
        </w:rPr>
      </w:pPr>
      <w:r w:rsidRPr="005B77DB">
        <w:rPr>
          <w:rFonts w:ascii="Times New Roman" w:hAnsi="Times New Roman" w:cs="Times New Roman"/>
          <w:sz w:val="28"/>
          <w:szCs w:val="28"/>
        </w:rPr>
        <w:tab/>
        <w:t xml:space="preserve">This is the </w:t>
      </w:r>
      <w:r w:rsidR="00821B4E">
        <w:rPr>
          <w:rFonts w:ascii="Times New Roman" w:hAnsi="Times New Roman" w:cs="Times New Roman"/>
          <w:sz w:val="28"/>
          <w:szCs w:val="28"/>
        </w:rPr>
        <w:t>reply</w:t>
      </w:r>
      <w:r w:rsidRPr="005B77DB">
        <w:rPr>
          <w:rFonts w:ascii="Times New Roman" w:hAnsi="Times New Roman" w:cs="Times New Roman"/>
          <w:sz w:val="28"/>
          <w:szCs w:val="28"/>
        </w:rPr>
        <w:t xml:space="preserve"> to the c</w:t>
      </w:r>
      <w:r w:rsidR="00B02E7C" w:rsidRPr="005B77DB">
        <w:rPr>
          <w:rFonts w:ascii="Times New Roman" w:hAnsi="Times New Roman" w:cs="Times New Roman"/>
          <w:sz w:val="28"/>
          <w:szCs w:val="28"/>
        </w:rPr>
        <w:t xml:space="preserve">omment submitted by the attorney group to the Petition to Amend Rule 72 of the Arizona Rules of Family Procedure. </w:t>
      </w:r>
    </w:p>
    <w:p w:rsidR="00671018" w:rsidRDefault="00B02E7C" w:rsidP="00B02E7C">
      <w:pPr>
        <w:spacing w:after="120"/>
        <w:jc w:val="both"/>
        <w:rPr>
          <w:rFonts w:ascii="Times New Roman" w:hAnsi="Times New Roman" w:cs="Times New Roman"/>
          <w:sz w:val="28"/>
          <w:szCs w:val="28"/>
        </w:rPr>
      </w:pPr>
      <w:r w:rsidRPr="005B77DB">
        <w:rPr>
          <w:rFonts w:ascii="Times New Roman" w:hAnsi="Times New Roman" w:cs="Times New Roman"/>
          <w:sz w:val="28"/>
          <w:szCs w:val="28"/>
        </w:rPr>
        <w:tab/>
      </w:r>
      <w:r w:rsidR="00671018">
        <w:rPr>
          <w:rFonts w:ascii="Times New Roman" w:hAnsi="Times New Roman" w:cs="Times New Roman"/>
          <w:sz w:val="28"/>
          <w:szCs w:val="28"/>
        </w:rPr>
        <w:t>T</w:t>
      </w:r>
      <w:r w:rsidR="00F25D50">
        <w:rPr>
          <w:rFonts w:ascii="Times New Roman" w:hAnsi="Times New Roman" w:cs="Times New Roman"/>
          <w:sz w:val="28"/>
          <w:szCs w:val="28"/>
        </w:rPr>
        <w:t xml:space="preserve">here are important areas of agreement between Petitioners and the authors of the </w:t>
      </w:r>
      <w:r w:rsidR="00671018">
        <w:rPr>
          <w:rFonts w:ascii="Times New Roman" w:hAnsi="Times New Roman" w:cs="Times New Roman"/>
          <w:sz w:val="28"/>
          <w:szCs w:val="28"/>
        </w:rPr>
        <w:t xml:space="preserve">comment:  </w:t>
      </w:r>
    </w:p>
    <w:p w:rsidR="005E0052" w:rsidRPr="00461FC0" w:rsidRDefault="00671018" w:rsidP="00461FC0">
      <w:pPr>
        <w:pStyle w:val="ListParagraph"/>
        <w:numPr>
          <w:ilvl w:val="0"/>
          <w:numId w:val="1"/>
        </w:numPr>
        <w:spacing w:after="240"/>
        <w:jc w:val="both"/>
        <w:rPr>
          <w:rFonts w:ascii="Times New Roman" w:hAnsi="Times New Roman" w:cs="Times New Roman"/>
          <w:sz w:val="28"/>
          <w:szCs w:val="28"/>
        </w:rPr>
      </w:pPr>
      <w:r w:rsidRPr="00D60F2B">
        <w:rPr>
          <w:rFonts w:ascii="Times New Roman" w:hAnsi="Times New Roman" w:cs="Times New Roman"/>
          <w:sz w:val="28"/>
          <w:szCs w:val="28"/>
        </w:rPr>
        <w:t xml:space="preserve">The commenters support the goal of the petition to eliminate the </w:t>
      </w:r>
      <w:proofErr w:type="spellStart"/>
      <w:r w:rsidRPr="00D60F2B">
        <w:rPr>
          <w:rFonts w:ascii="Times New Roman" w:hAnsi="Times New Roman" w:cs="Times New Roman"/>
          <w:sz w:val="28"/>
          <w:szCs w:val="28"/>
        </w:rPr>
        <w:t>sua</w:t>
      </w:r>
      <w:proofErr w:type="spellEnd"/>
      <w:r w:rsidRPr="00D60F2B">
        <w:rPr>
          <w:rFonts w:ascii="Times New Roman" w:hAnsi="Times New Roman" w:cs="Times New Roman"/>
          <w:sz w:val="28"/>
          <w:szCs w:val="28"/>
        </w:rPr>
        <w:t xml:space="preserve"> </w:t>
      </w:r>
      <w:proofErr w:type="spellStart"/>
      <w:r w:rsidRPr="00D60F2B">
        <w:rPr>
          <w:rFonts w:ascii="Times New Roman" w:hAnsi="Times New Roman" w:cs="Times New Roman"/>
          <w:sz w:val="28"/>
          <w:szCs w:val="28"/>
        </w:rPr>
        <w:t>sponte</w:t>
      </w:r>
      <w:proofErr w:type="spellEnd"/>
      <w:r w:rsidRPr="00D60F2B">
        <w:rPr>
          <w:rFonts w:ascii="Times New Roman" w:hAnsi="Times New Roman" w:cs="Times New Roman"/>
          <w:sz w:val="28"/>
          <w:szCs w:val="28"/>
        </w:rPr>
        <w:t xml:space="preserve"> appointment of special masters when neither party is amenable to their use.  </w:t>
      </w:r>
    </w:p>
    <w:p w:rsidR="00D60F2B" w:rsidRDefault="00D60F2B" w:rsidP="00D60F2B">
      <w:pPr>
        <w:pStyle w:val="ListParagraph"/>
        <w:numPr>
          <w:ilvl w:val="0"/>
          <w:numId w:val="1"/>
        </w:numPr>
        <w:spacing w:after="120"/>
        <w:jc w:val="both"/>
        <w:rPr>
          <w:rFonts w:ascii="Times New Roman" w:hAnsi="Times New Roman" w:cs="Times New Roman"/>
          <w:sz w:val="28"/>
          <w:szCs w:val="28"/>
        </w:rPr>
      </w:pPr>
      <w:r>
        <w:rPr>
          <w:rFonts w:ascii="Times New Roman" w:hAnsi="Times New Roman" w:cs="Times New Roman"/>
          <w:sz w:val="28"/>
          <w:szCs w:val="28"/>
        </w:rPr>
        <w:t xml:space="preserve">Petitioners acknowledge that there are cases in which </w:t>
      </w:r>
      <w:r w:rsidR="005F330A">
        <w:rPr>
          <w:rFonts w:ascii="Times New Roman" w:hAnsi="Times New Roman" w:cs="Times New Roman"/>
          <w:sz w:val="28"/>
          <w:szCs w:val="28"/>
        </w:rPr>
        <w:t>the</w:t>
      </w:r>
      <w:r>
        <w:rPr>
          <w:rFonts w:ascii="Times New Roman" w:hAnsi="Times New Roman" w:cs="Times New Roman"/>
          <w:sz w:val="28"/>
          <w:szCs w:val="28"/>
        </w:rPr>
        <w:t xml:space="preserve"> parties </w:t>
      </w:r>
      <w:r w:rsidR="005F330A">
        <w:rPr>
          <w:rFonts w:ascii="Times New Roman" w:hAnsi="Times New Roman" w:cs="Times New Roman"/>
          <w:sz w:val="28"/>
          <w:szCs w:val="28"/>
        </w:rPr>
        <w:t>do not receive</w:t>
      </w:r>
      <w:r>
        <w:rPr>
          <w:rFonts w:ascii="Times New Roman" w:hAnsi="Times New Roman" w:cs="Times New Roman"/>
          <w:sz w:val="28"/>
          <w:szCs w:val="28"/>
        </w:rPr>
        <w:t xml:space="preserve"> the time they desire to present evidence</w:t>
      </w:r>
      <w:r w:rsidR="005F330A">
        <w:rPr>
          <w:rFonts w:ascii="Times New Roman" w:hAnsi="Times New Roman" w:cs="Times New Roman"/>
          <w:sz w:val="28"/>
          <w:szCs w:val="28"/>
        </w:rPr>
        <w:t>.</w:t>
      </w:r>
      <w:r>
        <w:rPr>
          <w:rFonts w:ascii="Times New Roman" w:hAnsi="Times New Roman" w:cs="Times New Roman"/>
          <w:sz w:val="28"/>
          <w:szCs w:val="28"/>
        </w:rPr>
        <w:t xml:space="preserve"> </w:t>
      </w:r>
    </w:p>
    <w:p w:rsidR="00D60F2B" w:rsidRDefault="00D60F2B" w:rsidP="00D60F2B">
      <w:pPr>
        <w:spacing w:after="120"/>
        <w:ind w:firstLine="720"/>
        <w:jc w:val="both"/>
        <w:rPr>
          <w:rFonts w:ascii="Times New Roman" w:hAnsi="Times New Roman" w:cs="Times New Roman"/>
          <w:sz w:val="28"/>
          <w:szCs w:val="28"/>
        </w:rPr>
      </w:pPr>
      <w:r>
        <w:rPr>
          <w:rFonts w:ascii="Times New Roman" w:hAnsi="Times New Roman" w:cs="Times New Roman"/>
          <w:sz w:val="28"/>
          <w:szCs w:val="28"/>
        </w:rPr>
        <w:t>There are three main areas of disagreement between the Petitioners and the comment.</w:t>
      </w:r>
    </w:p>
    <w:p w:rsidR="00D60F2B" w:rsidRPr="00461FC0" w:rsidRDefault="00D60F2B" w:rsidP="00461FC0">
      <w:pPr>
        <w:pStyle w:val="ListParagraph"/>
        <w:numPr>
          <w:ilvl w:val="0"/>
          <w:numId w:val="1"/>
        </w:numPr>
        <w:spacing w:after="240"/>
        <w:jc w:val="both"/>
        <w:rPr>
          <w:rFonts w:ascii="Times New Roman" w:hAnsi="Times New Roman" w:cs="Times New Roman"/>
          <w:sz w:val="28"/>
          <w:szCs w:val="28"/>
        </w:rPr>
      </w:pPr>
      <w:r>
        <w:rPr>
          <w:rFonts w:ascii="Times New Roman" w:hAnsi="Times New Roman" w:cs="Times New Roman"/>
          <w:sz w:val="28"/>
          <w:szCs w:val="28"/>
        </w:rPr>
        <w:t xml:space="preserve">Petitioners do not agree that the use of a special master over the objection of one of the parties </w:t>
      </w:r>
      <w:r w:rsidR="005F330A">
        <w:rPr>
          <w:rFonts w:ascii="Times New Roman" w:hAnsi="Times New Roman" w:cs="Times New Roman"/>
          <w:sz w:val="28"/>
          <w:szCs w:val="28"/>
        </w:rPr>
        <w:t xml:space="preserve">in a family proceeding </w:t>
      </w:r>
      <w:r>
        <w:rPr>
          <w:rFonts w:ascii="Times New Roman" w:hAnsi="Times New Roman" w:cs="Times New Roman"/>
          <w:sz w:val="28"/>
          <w:szCs w:val="28"/>
        </w:rPr>
        <w:t>is appropriate</w:t>
      </w:r>
      <w:r w:rsidR="005F330A">
        <w:rPr>
          <w:rFonts w:ascii="Times New Roman" w:hAnsi="Times New Roman" w:cs="Times New Roman"/>
          <w:sz w:val="28"/>
          <w:szCs w:val="28"/>
        </w:rPr>
        <w:t>.</w:t>
      </w:r>
      <w:r>
        <w:rPr>
          <w:rFonts w:ascii="Times New Roman" w:hAnsi="Times New Roman" w:cs="Times New Roman"/>
          <w:sz w:val="28"/>
          <w:szCs w:val="28"/>
        </w:rPr>
        <w:t xml:space="preserve"> We maintain that such an appointment is inconsistent with the goal of the Arizona courts to facilitate access to justice, and submit that the courts should lack the power to require parties to spend money on </w:t>
      </w:r>
      <w:r>
        <w:rPr>
          <w:rFonts w:ascii="Times New Roman" w:hAnsi="Times New Roman" w:cs="Times New Roman"/>
          <w:sz w:val="28"/>
          <w:szCs w:val="28"/>
        </w:rPr>
        <w:lastRenderedPageBreak/>
        <w:t>private service providers to the exclusion of their right to public justice.</w:t>
      </w:r>
    </w:p>
    <w:p w:rsidR="005E0052" w:rsidRPr="00461FC0" w:rsidRDefault="00D60F2B" w:rsidP="005E0052">
      <w:pPr>
        <w:pStyle w:val="ListParagraph"/>
        <w:numPr>
          <w:ilvl w:val="0"/>
          <w:numId w:val="1"/>
        </w:numPr>
        <w:spacing w:after="120"/>
        <w:jc w:val="both"/>
        <w:rPr>
          <w:rFonts w:ascii="Times New Roman" w:hAnsi="Times New Roman" w:cs="Times New Roman"/>
          <w:sz w:val="28"/>
          <w:szCs w:val="28"/>
        </w:rPr>
      </w:pPr>
      <w:r>
        <w:rPr>
          <w:rFonts w:ascii="Times New Roman" w:hAnsi="Times New Roman" w:cs="Times New Roman"/>
          <w:sz w:val="28"/>
          <w:szCs w:val="28"/>
        </w:rPr>
        <w:t xml:space="preserve">Petitioners do not agree that appointment of special masters over the objection of any party can be justified by systemic concerns over the amount of time available for evidentiary presentation.  Any perception that sufficient time is lacking should be addressed by the further development of differential case management </w:t>
      </w:r>
      <w:proofErr w:type="gramStart"/>
      <w:r>
        <w:rPr>
          <w:rFonts w:ascii="Times New Roman" w:hAnsi="Times New Roman" w:cs="Times New Roman"/>
          <w:sz w:val="28"/>
          <w:szCs w:val="28"/>
        </w:rPr>
        <w:t>procedures,</w:t>
      </w:r>
      <w:proofErr w:type="gramEnd"/>
      <w:r>
        <w:rPr>
          <w:rFonts w:ascii="Times New Roman" w:hAnsi="Times New Roman" w:cs="Times New Roman"/>
          <w:sz w:val="28"/>
          <w:szCs w:val="28"/>
        </w:rPr>
        <w:t xml:space="preserve"> and not by the erosion of the parties’ right to an inexpensive determination of issues by a duly </w:t>
      </w:r>
      <w:r w:rsidR="005E0052">
        <w:rPr>
          <w:rFonts w:ascii="Times New Roman" w:hAnsi="Times New Roman" w:cs="Times New Roman"/>
          <w:sz w:val="28"/>
          <w:szCs w:val="28"/>
        </w:rPr>
        <w:t>qualified judicial officer.</w:t>
      </w:r>
    </w:p>
    <w:p w:rsidR="005E0052" w:rsidRPr="00D60F2B" w:rsidRDefault="005E0052" w:rsidP="00D60F2B">
      <w:pPr>
        <w:pStyle w:val="ListParagraph"/>
        <w:numPr>
          <w:ilvl w:val="0"/>
          <w:numId w:val="1"/>
        </w:numPr>
        <w:spacing w:after="120"/>
        <w:jc w:val="both"/>
        <w:rPr>
          <w:rFonts w:ascii="Times New Roman" w:hAnsi="Times New Roman" w:cs="Times New Roman"/>
          <w:sz w:val="28"/>
          <w:szCs w:val="28"/>
        </w:rPr>
      </w:pPr>
      <w:r>
        <w:rPr>
          <w:rFonts w:ascii="Times New Roman" w:hAnsi="Times New Roman" w:cs="Times New Roman"/>
          <w:sz w:val="28"/>
          <w:szCs w:val="28"/>
        </w:rPr>
        <w:t xml:space="preserve">Petitioners do not agree that special masters should be permitted under any circumstances to handle issues related to legal decision making or parenting time.  Such an expansion of the power of special masters would constitute an end run around the recent amendments to Rule 74, and contravene the settled legal principle that such determinations must be made independently by the family court.   </w:t>
      </w:r>
      <w:r>
        <w:rPr>
          <w:rFonts w:ascii="Times New Roman" w:hAnsi="Times New Roman" w:cs="Times New Roman"/>
          <w:i/>
          <w:sz w:val="28"/>
          <w:szCs w:val="28"/>
        </w:rPr>
        <w:t xml:space="preserve">See </w:t>
      </w:r>
      <w:proofErr w:type="spellStart"/>
      <w:r w:rsidRPr="005B77DB">
        <w:rPr>
          <w:rFonts w:ascii="Times New Roman" w:eastAsia="Times New Roman" w:hAnsi="Times New Roman" w:cs="Times New Roman"/>
          <w:i/>
          <w:sz w:val="28"/>
          <w:szCs w:val="28"/>
        </w:rPr>
        <w:t>Nold</w:t>
      </w:r>
      <w:proofErr w:type="spellEnd"/>
      <w:r w:rsidRPr="005B77DB">
        <w:rPr>
          <w:rFonts w:ascii="Times New Roman" w:eastAsia="Times New Roman" w:hAnsi="Times New Roman" w:cs="Times New Roman"/>
          <w:i/>
          <w:sz w:val="28"/>
          <w:szCs w:val="28"/>
        </w:rPr>
        <w:t xml:space="preserve"> v. </w:t>
      </w:r>
      <w:proofErr w:type="spellStart"/>
      <w:r w:rsidRPr="005B77DB">
        <w:rPr>
          <w:rFonts w:ascii="Times New Roman" w:eastAsia="Times New Roman" w:hAnsi="Times New Roman" w:cs="Times New Roman"/>
          <w:i/>
          <w:sz w:val="28"/>
          <w:szCs w:val="28"/>
        </w:rPr>
        <w:t>Nold</w:t>
      </w:r>
      <w:proofErr w:type="spellEnd"/>
      <w:r w:rsidRPr="005B77DB">
        <w:rPr>
          <w:rFonts w:ascii="Times New Roman" w:eastAsia="Times New Roman" w:hAnsi="Times New Roman" w:cs="Times New Roman"/>
          <w:sz w:val="28"/>
          <w:szCs w:val="28"/>
        </w:rPr>
        <w:t xml:space="preserve">, 232 Ariz. 270, 273-74 ¶ 14, </w:t>
      </w:r>
      <w:proofErr w:type="gramStart"/>
      <w:r w:rsidRPr="005B77DB">
        <w:rPr>
          <w:rFonts w:ascii="Times New Roman" w:eastAsia="Times New Roman" w:hAnsi="Times New Roman" w:cs="Times New Roman"/>
          <w:sz w:val="28"/>
          <w:szCs w:val="28"/>
        </w:rPr>
        <w:t>304 P.3d 1093,</w:t>
      </w:r>
      <w:proofErr w:type="gramEnd"/>
      <w:r w:rsidRPr="005B77DB">
        <w:rPr>
          <w:rFonts w:ascii="Times New Roman" w:eastAsia="Times New Roman" w:hAnsi="Times New Roman" w:cs="Times New Roman"/>
          <w:sz w:val="28"/>
          <w:szCs w:val="28"/>
        </w:rPr>
        <w:t xml:space="preserve"> 1096-97 ¶ 14 (App. 2013).</w:t>
      </w:r>
    </w:p>
    <w:p w:rsidR="00671018" w:rsidRDefault="005E0052" w:rsidP="005E0052">
      <w:pPr>
        <w:spacing w:after="120"/>
        <w:ind w:firstLine="720"/>
        <w:jc w:val="both"/>
        <w:rPr>
          <w:rFonts w:ascii="Times New Roman" w:hAnsi="Times New Roman" w:cs="Times New Roman"/>
          <w:sz w:val="28"/>
          <w:szCs w:val="28"/>
        </w:rPr>
      </w:pPr>
      <w:r>
        <w:rPr>
          <w:rFonts w:ascii="Times New Roman" w:hAnsi="Times New Roman" w:cs="Times New Roman"/>
          <w:sz w:val="28"/>
          <w:szCs w:val="28"/>
        </w:rPr>
        <w:t>S</w:t>
      </w:r>
      <w:r w:rsidR="00F25D50">
        <w:rPr>
          <w:rFonts w:ascii="Times New Roman" w:hAnsi="Times New Roman" w:cs="Times New Roman"/>
          <w:sz w:val="28"/>
          <w:szCs w:val="28"/>
        </w:rPr>
        <w:t>ome key facts should help to place the main area</w:t>
      </w:r>
      <w:r>
        <w:rPr>
          <w:rFonts w:ascii="Times New Roman" w:hAnsi="Times New Roman" w:cs="Times New Roman"/>
          <w:sz w:val="28"/>
          <w:szCs w:val="28"/>
        </w:rPr>
        <w:t>s</w:t>
      </w:r>
      <w:r w:rsidR="00F25D50">
        <w:rPr>
          <w:rFonts w:ascii="Times New Roman" w:hAnsi="Times New Roman" w:cs="Times New Roman"/>
          <w:sz w:val="28"/>
          <w:szCs w:val="28"/>
        </w:rPr>
        <w:t xml:space="preserve"> of disagreement in perspective</w:t>
      </w:r>
      <w:r w:rsidR="00B02E7C" w:rsidRPr="005B77DB">
        <w:rPr>
          <w:rFonts w:ascii="Times New Roman" w:hAnsi="Times New Roman" w:cs="Times New Roman"/>
          <w:sz w:val="28"/>
          <w:szCs w:val="28"/>
        </w:rPr>
        <w:t xml:space="preserve">. </w:t>
      </w:r>
    </w:p>
    <w:p w:rsidR="00B02E7C" w:rsidRPr="005B77DB" w:rsidRDefault="00B02E7C" w:rsidP="00F25D50">
      <w:pPr>
        <w:spacing w:after="120"/>
        <w:ind w:firstLine="720"/>
        <w:jc w:val="both"/>
        <w:rPr>
          <w:rFonts w:ascii="Times New Roman" w:hAnsi="Times New Roman" w:cs="Times New Roman"/>
          <w:sz w:val="28"/>
          <w:szCs w:val="28"/>
        </w:rPr>
      </w:pPr>
      <w:r w:rsidRPr="005B77DB">
        <w:rPr>
          <w:rFonts w:ascii="Times New Roman" w:hAnsi="Times New Roman" w:cs="Times New Roman"/>
          <w:sz w:val="28"/>
          <w:szCs w:val="28"/>
        </w:rPr>
        <w:t>First</w:t>
      </w:r>
      <w:r w:rsidR="00821B4E">
        <w:rPr>
          <w:rFonts w:ascii="Times New Roman" w:hAnsi="Times New Roman" w:cs="Times New Roman"/>
          <w:sz w:val="28"/>
          <w:szCs w:val="28"/>
        </w:rPr>
        <w:t>,</w:t>
      </w:r>
      <w:r w:rsidRPr="005B77DB">
        <w:rPr>
          <w:rFonts w:ascii="Times New Roman" w:hAnsi="Times New Roman" w:cs="Times New Roman"/>
          <w:sz w:val="28"/>
          <w:szCs w:val="28"/>
        </w:rPr>
        <w:t xml:space="preserve"> </w:t>
      </w:r>
      <w:r w:rsidR="00F25D50">
        <w:rPr>
          <w:rFonts w:ascii="Times New Roman" w:hAnsi="Times New Roman" w:cs="Times New Roman"/>
          <w:sz w:val="28"/>
          <w:szCs w:val="28"/>
        </w:rPr>
        <w:t xml:space="preserve">we note </w:t>
      </w:r>
      <w:r w:rsidRPr="005B77DB">
        <w:rPr>
          <w:rFonts w:ascii="Times New Roman" w:hAnsi="Times New Roman" w:cs="Times New Roman"/>
          <w:sz w:val="28"/>
          <w:szCs w:val="28"/>
        </w:rPr>
        <w:t xml:space="preserve">that </w:t>
      </w:r>
      <w:r w:rsidR="00F25D50">
        <w:rPr>
          <w:rFonts w:ascii="Times New Roman" w:hAnsi="Times New Roman" w:cs="Times New Roman"/>
          <w:sz w:val="28"/>
          <w:szCs w:val="28"/>
        </w:rPr>
        <w:t>the cases in which special masters are even potentially economically justifiable represent a tiny</w:t>
      </w:r>
      <w:r w:rsidRPr="005B77DB">
        <w:rPr>
          <w:rFonts w:ascii="Times New Roman" w:hAnsi="Times New Roman" w:cs="Times New Roman"/>
          <w:sz w:val="28"/>
          <w:szCs w:val="28"/>
        </w:rPr>
        <w:t xml:space="preserve"> percentage of the </w:t>
      </w:r>
      <w:r w:rsidR="00F25D50">
        <w:rPr>
          <w:rFonts w:ascii="Times New Roman" w:hAnsi="Times New Roman" w:cs="Times New Roman"/>
          <w:sz w:val="28"/>
          <w:szCs w:val="28"/>
        </w:rPr>
        <w:t>body</w:t>
      </w:r>
      <w:r w:rsidRPr="005B77DB">
        <w:rPr>
          <w:rFonts w:ascii="Times New Roman" w:hAnsi="Times New Roman" w:cs="Times New Roman"/>
          <w:sz w:val="28"/>
          <w:szCs w:val="28"/>
        </w:rPr>
        <w:t xml:space="preserve"> of family law cases being handled by the superior courts in the State of Arizona. </w:t>
      </w:r>
      <w:r w:rsidR="00F25D50">
        <w:rPr>
          <w:rFonts w:ascii="Times New Roman" w:hAnsi="Times New Roman" w:cs="Times New Roman"/>
          <w:sz w:val="28"/>
          <w:szCs w:val="28"/>
        </w:rPr>
        <w:t xml:space="preserve">Indeed, </w:t>
      </w:r>
      <w:r w:rsidR="00F25D50" w:rsidRPr="005B77DB">
        <w:rPr>
          <w:rFonts w:ascii="Times New Roman" w:hAnsi="Times New Roman" w:cs="Times New Roman"/>
          <w:sz w:val="28"/>
          <w:szCs w:val="28"/>
        </w:rPr>
        <w:t>the vast majority of litigants in family court are self-represented.</w:t>
      </w:r>
      <w:r w:rsidR="00F25D50">
        <w:rPr>
          <w:rFonts w:ascii="Times New Roman" w:hAnsi="Times New Roman" w:cs="Times New Roman"/>
          <w:sz w:val="28"/>
          <w:szCs w:val="28"/>
        </w:rPr>
        <w:t xml:space="preserve"> </w:t>
      </w:r>
      <w:r w:rsidR="00F80FAB" w:rsidRPr="005B77DB">
        <w:rPr>
          <w:rFonts w:ascii="Times New Roman" w:hAnsi="Times New Roman" w:cs="Times New Roman"/>
          <w:sz w:val="28"/>
          <w:szCs w:val="28"/>
        </w:rPr>
        <w:t>For example, i</w:t>
      </w:r>
      <w:r w:rsidRPr="005B77DB">
        <w:rPr>
          <w:rFonts w:ascii="Times New Roman" w:hAnsi="Times New Roman" w:cs="Times New Roman"/>
          <w:sz w:val="28"/>
          <w:szCs w:val="28"/>
        </w:rPr>
        <w:t xml:space="preserve">n Maricopa County </w:t>
      </w:r>
      <w:r w:rsidR="00F80FAB" w:rsidRPr="005B77DB">
        <w:rPr>
          <w:rFonts w:ascii="Times New Roman" w:hAnsi="Times New Roman" w:cs="Times New Roman"/>
          <w:sz w:val="28"/>
          <w:szCs w:val="28"/>
        </w:rPr>
        <w:t>in fiscal year 2015,</w:t>
      </w:r>
      <w:r w:rsidRPr="005B77DB">
        <w:rPr>
          <w:rFonts w:ascii="Times New Roman" w:hAnsi="Times New Roman" w:cs="Times New Roman"/>
          <w:sz w:val="28"/>
          <w:szCs w:val="28"/>
        </w:rPr>
        <w:t xml:space="preserve"> </w:t>
      </w:r>
      <w:r w:rsidR="0055170D">
        <w:rPr>
          <w:rFonts w:ascii="Times New Roman" w:hAnsi="Times New Roman" w:cs="Times New Roman"/>
          <w:sz w:val="28"/>
          <w:szCs w:val="28"/>
        </w:rPr>
        <w:t xml:space="preserve">both parties were unrepresented in </w:t>
      </w:r>
      <w:r w:rsidRPr="005B77DB">
        <w:rPr>
          <w:rFonts w:ascii="Times New Roman" w:hAnsi="Times New Roman" w:cs="Times New Roman"/>
          <w:sz w:val="28"/>
          <w:szCs w:val="28"/>
        </w:rPr>
        <w:t>8</w:t>
      </w:r>
      <w:r w:rsidR="00F80FAB" w:rsidRPr="005B77DB">
        <w:rPr>
          <w:rFonts w:ascii="Times New Roman" w:hAnsi="Times New Roman" w:cs="Times New Roman"/>
          <w:sz w:val="28"/>
          <w:szCs w:val="28"/>
        </w:rPr>
        <w:t>2.9</w:t>
      </w:r>
      <w:r w:rsidRPr="005B77DB">
        <w:rPr>
          <w:rFonts w:ascii="Times New Roman" w:hAnsi="Times New Roman" w:cs="Times New Roman"/>
          <w:sz w:val="28"/>
          <w:szCs w:val="28"/>
        </w:rPr>
        <w:t xml:space="preserve"> percent of the cases</w:t>
      </w:r>
      <w:r w:rsidR="00F80FAB" w:rsidRPr="005B77DB">
        <w:rPr>
          <w:rFonts w:ascii="Times New Roman" w:hAnsi="Times New Roman" w:cs="Times New Roman"/>
          <w:sz w:val="28"/>
          <w:szCs w:val="28"/>
        </w:rPr>
        <w:t>.</w:t>
      </w:r>
      <w:r w:rsidRPr="005B77DB">
        <w:rPr>
          <w:rFonts w:ascii="Times New Roman" w:hAnsi="Times New Roman" w:cs="Times New Roman"/>
          <w:sz w:val="28"/>
          <w:szCs w:val="28"/>
        </w:rPr>
        <w:t xml:space="preserve"> </w:t>
      </w:r>
      <w:r w:rsidR="00F80FAB" w:rsidRPr="005B77DB">
        <w:rPr>
          <w:rFonts w:ascii="Times New Roman" w:hAnsi="Times New Roman" w:cs="Times New Roman"/>
          <w:sz w:val="28"/>
          <w:szCs w:val="28"/>
        </w:rPr>
        <w:t>In that same year</w:t>
      </w:r>
      <w:r w:rsidRPr="005B77DB">
        <w:rPr>
          <w:rFonts w:ascii="Times New Roman" w:hAnsi="Times New Roman" w:cs="Times New Roman"/>
          <w:sz w:val="28"/>
          <w:szCs w:val="28"/>
        </w:rPr>
        <w:t xml:space="preserve">, </w:t>
      </w:r>
      <w:r w:rsidR="0055170D" w:rsidRPr="005B77DB">
        <w:rPr>
          <w:rFonts w:ascii="Times New Roman" w:hAnsi="Times New Roman" w:cs="Times New Roman"/>
          <w:sz w:val="28"/>
          <w:szCs w:val="28"/>
        </w:rPr>
        <w:t xml:space="preserve">one person had representation </w:t>
      </w:r>
      <w:r w:rsidR="0055170D">
        <w:rPr>
          <w:rFonts w:ascii="Times New Roman" w:hAnsi="Times New Roman" w:cs="Times New Roman"/>
          <w:sz w:val="28"/>
          <w:szCs w:val="28"/>
        </w:rPr>
        <w:t xml:space="preserve">in only </w:t>
      </w:r>
      <w:r w:rsidR="00F80FAB" w:rsidRPr="005B77DB">
        <w:rPr>
          <w:rFonts w:ascii="Times New Roman" w:hAnsi="Times New Roman" w:cs="Times New Roman"/>
          <w:sz w:val="28"/>
          <w:szCs w:val="28"/>
        </w:rPr>
        <w:t xml:space="preserve">12.3 percent </w:t>
      </w:r>
      <w:r w:rsidR="0055170D">
        <w:rPr>
          <w:rFonts w:ascii="Times New Roman" w:hAnsi="Times New Roman" w:cs="Times New Roman"/>
          <w:sz w:val="28"/>
          <w:szCs w:val="28"/>
        </w:rPr>
        <w:t>of the cases</w:t>
      </w:r>
      <w:r w:rsidR="00F80FAB" w:rsidRPr="005B77DB">
        <w:rPr>
          <w:rFonts w:ascii="Times New Roman" w:hAnsi="Times New Roman" w:cs="Times New Roman"/>
          <w:sz w:val="28"/>
          <w:szCs w:val="28"/>
        </w:rPr>
        <w:t xml:space="preserve">. </w:t>
      </w:r>
      <w:r w:rsidR="0055170D">
        <w:rPr>
          <w:rFonts w:ascii="Times New Roman" w:hAnsi="Times New Roman" w:cs="Times New Roman"/>
          <w:sz w:val="28"/>
          <w:szCs w:val="28"/>
        </w:rPr>
        <w:t>So in Maricopa County</w:t>
      </w:r>
      <w:r w:rsidR="00F25D50">
        <w:rPr>
          <w:rFonts w:ascii="Times New Roman" w:hAnsi="Times New Roman" w:cs="Times New Roman"/>
          <w:sz w:val="28"/>
          <w:szCs w:val="28"/>
        </w:rPr>
        <w:t xml:space="preserve"> (by far the largest consumer of special masters’ services)</w:t>
      </w:r>
      <w:r w:rsidR="0055170D">
        <w:rPr>
          <w:rFonts w:ascii="Times New Roman" w:hAnsi="Times New Roman" w:cs="Times New Roman"/>
          <w:sz w:val="28"/>
          <w:szCs w:val="28"/>
        </w:rPr>
        <w:t>, o</w:t>
      </w:r>
      <w:r w:rsidR="00F80FAB" w:rsidRPr="005B77DB">
        <w:rPr>
          <w:rFonts w:ascii="Times New Roman" w:hAnsi="Times New Roman" w:cs="Times New Roman"/>
          <w:sz w:val="28"/>
          <w:szCs w:val="28"/>
        </w:rPr>
        <w:t>nly 4.9 percent of the</w:t>
      </w:r>
      <w:r w:rsidR="007638A3">
        <w:rPr>
          <w:rFonts w:ascii="Times New Roman" w:hAnsi="Times New Roman" w:cs="Times New Roman"/>
          <w:sz w:val="28"/>
          <w:szCs w:val="28"/>
        </w:rPr>
        <w:t xml:space="preserve"> cases </w:t>
      </w:r>
      <w:r w:rsidR="00F25D50">
        <w:rPr>
          <w:rFonts w:ascii="Times New Roman" w:hAnsi="Times New Roman" w:cs="Times New Roman"/>
          <w:sz w:val="28"/>
          <w:szCs w:val="28"/>
        </w:rPr>
        <w:t xml:space="preserve">even </w:t>
      </w:r>
      <w:r w:rsidR="007638A3">
        <w:rPr>
          <w:rFonts w:ascii="Times New Roman" w:hAnsi="Times New Roman" w:cs="Times New Roman"/>
          <w:sz w:val="28"/>
          <w:szCs w:val="28"/>
        </w:rPr>
        <w:t xml:space="preserve">had dual representation. </w:t>
      </w:r>
      <w:r w:rsidR="00F25D50">
        <w:rPr>
          <w:rFonts w:ascii="Times New Roman" w:hAnsi="Times New Roman" w:cs="Times New Roman"/>
          <w:sz w:val="28"/>
          <w:szCs w:val="28"/>
        </w:rPr>
        <w:t xml:space="preserve">We submit that those unable to afford an attorney are usually unable to bear the cost of a special master, and certainly should not be </w:t>
      </w:r>
      <w:r w:rsidR="00F25D50" w:rsidRPr="005E0052">
        <w:rPr>
          <w:rFonts w:ascii="Times New Roman" w:hAnsi="Times New Roman" w:cs="Times New Roman"/>
          <w:sz w:val="28"/>
          <w:szCs w:val="28"/>
        </w:rPr>
        <w:t>compelled</w:t>
      </w:r>
      <w:r w:rsidR="00F25D50">
        <w:rPr>
          <w:rFonts w:ascii="Times New Roman" w:hAnsi="Times New Roman" w:cs="Times New Roman"/>
          <w:sz w:val="28"/>
          <w:szCs w:val="28"/>
        </w:rPr>
        <w:t xml:space="preserve"> to do so.  And of those few cases in which both parties have lawyers, only in a small fraction will the parties have the </w:t>
      </w:r>
      <w:r w:rsidR="005E0052">
        <w:rPr>
          <w:rFonts w:ascii="Times New Roman" w:hAnsi="Times New Roman" w:cs="Times New Roman"/>
          <w:sz w:val="28"/>
          <w:szCs w:val="28"/>
        </w:rPr>
        <w:t xml:space="preserve">additional </w:t>
      </w:r>
      <w:r w:rsidR="00F25D50">
        <w:rPr>
          <w:rFonts w:ascii="Times New Roman" w:hAnsi="Times New Roman" w:cs="Times New Roman"/>
          <w:sz w:val="28"/>
          <w:szCs w:val="28"/>
        </w:rPr>
        <w:t xml:space="preserve">resources to spend on private </w:t>
      </w:r>
      <w:r w:rsidR="005F330A">
        <w:rPr>
          <w:rFonts w:ascii="Times New Roman" w:hAnsi="Times New Roman" w:cs="Times New Roman"/>
          <w:sz w:val="28"/>
          <w:szCs w:val="28"/>
        </w:rPr>
        <w:t>service providers</w:t>
      </w:r>
      <w:r w:rsidR="00F25D50">
        <w:rPr>
          <w:rFonts w:ascii="Times New Roman" w:hAnsi="Times New Roman" w:cs="Times New Roman"/>
          <w:sz w:val="28"/>
          <w:szCs w:val="28"/>
        </w:rPr>
        <w:t xml:space="preserve"> without serious </w:t>
      </w:r>
      <w:r w:rsidR="00912952">
        <w:rPr>
          <w:rFonts w:ascii="Times New Roman" w:hAnsi="Times New Roman" w:cs="Times New Roman"/>
          <w:sz w:val="28"/>
          <w:szCs w:val="28"/>
        </w:rPr>
        <w:t>impairment</w:t>
      </w:r>
      <w:r w:rsidR="005E0052">
        <w:rPr>
          <w:rFonts w:ascii="Times New Roman" w:hAnsi="Times New Roman" w:cs="Times New Roman"/>
          <w:sz w:val="28"/>
          <w:szCs w:val="28"/>
        </w:rPr>
        <w:t xml:space="preserve"> of their</w:t>
      </w:r>
      <w:r w:rsidR="00F25D50">
        <w:rPr>
          <w:rFonts w:ascii="Times New Roman" w:hAnsi="Times New Roman" w:cs="Times New Roman"/>
          <w:sz w:val="28"/>
          <w:szCs w:val="28"/>
        </w:rPr>
        <w:t xml:space="preserve"> already-strained economic resources</w:t>
      </w:r>
      <w:r w:rsidR="00912952">
        <w:rPr>
          <w:rFonts w:ascii="Times New Roman" w:hAnsi="Times New Roman" w:cs="Times New Roman"/>
          <w:sz w:val="28"/>
          <w:szCs w:val="28"/>
        </w:rPr>
        <w:t xml:space="preserve">.  We are concerned </w:t>
      </w:r>
      <w:r w:rsidR="00C446C3">
        <w:rPr>
          <w:rFonts w:ascii="Times New Roman" w:hAnsi="Times New Roman" w:cs="Times New Roman"/>
          <w:sz w:val="28"/>
          <w:szCs w:val="28"/>
        </w:rPr>
        <w:t xml:space="preserve">that the approach advocated by the comment would create a rule designed for a tiny </w:t>
      </w:r>
      <w:r w:rsidR="00C446C3" w:rsidRPr="005E0052">
        <w:rPr>
          <w:rFonts w:ascii="Times New Roman" w:hAnsi="Times New Roman" w:cs="Times New Roman"/>
          <w:i/>
          <w:sz w:val="28"/>
          <w:szCs w:val="28"/>
        </w:rPr>
        <w:t>minority</w:t>
      </w:r>
      <w:r w:rsidR="00C446C3">
        <w:rPr>
          <w:rFonts w:ascii="Times New Roman" w:hAnsi="Times New Roman" w:cs="Times New Roman"/>
          <w:sz w:val="28"/>
          <w:szCs w:val="28"/>
        </w:rPr>
        <w:t xml:space="preserve"> of cases, the application of which in the vast </w:t>
      </w:r>
      <w:r w:rsidR="00C446C3" w:rsidRPr="005E0052">
        <w:rPr>
          <w:rFonts w:ascii="Times New Roman" w:hAnsi="Times New Roman" w:cs="Times New Roman"/>
          <w:i/>
          <w:sz w:val="28"/>
          <w:szCs w:val="28"/>
        </w:rPr>
        <w:t>majority</w:t>
      </w:r>
      <w:r w:rsidR="00C446C3">
        <w:rPr>
          <w:rFonts w:ascii="Times New Roman" w:hAnsi="Times New Roman" w:cs="Times New Roman"/>
          <w:sz w:val="28"/>
          <w:szCs w:val="28"/>
        </w:rPr>
        <w:t xml:space="preserve"> </w:t>
      </w:r>
      <w:r w:rsidR="00F41F62">
        <w:rPr>
          <w:rFonts w:ascii="Times New Roman" w:hAnsi="Times New Roman" w:cs="Times New Roman"/>
          <w:sz w:val="28"/>
          <w:szCs w:val="28"/>
        </w:rPr>
        <w:t>of cases would impoverish litigants while denying them their right of access to public justice.</w:t>
      </w:r>
    </w:p>
    <w:p w:rsidR="007D3B78" w:rsidRPr="00C446C3" w:rsidRDefault="00B02E7C" w:rsidP="00C446C3">
      <w:pPr>
        <w:spacing w:after="120"/>
        <w:jc w:val="both"/>
        <w:rPr>
          <w:rFonts w:ascii="Segoe UI" w:hAnsi="Segoe UI" w:cs="Segoe UI"/>
          <w:color w:val="1F497D"/>
          <w:sz w:val="28"/>
          <w:szCs w:val="28"/>
        </w:rPr>
      </w:pPr>
      <w:r w:rsidRPr="005B77DB">
        <w:rPr>
          <w:rFonts w:ascii="Times New Roman" w:hAnsi="Times New Roman" w:cs="Times New Roman"/>
          <w:sz w:val="28"/>
          <w:szCs w:val="28"/>
        </w:rPr>
        <w:tab/>
      </w:r>
      <w:r w:rsidR="00461FC0">
        <w:rPr>
          <w:rFonts w:ascii="Times New Roman" w:hAnsi="Times New Roman" w:cs="Times New Roman"/>
          <w:sz w:val="28"/>
          <w:szCs w:val="28"/>
        </w:rPr>
        <w:t xml:space="preserve">Second, </w:t>
      </w:r>
      <w:r w:rsidR="00F80FAB" w:rsidRPr="005B77DB">
        <w:rPr>
          <w:rFonts w:ascii="Times New Roman" w:hAnsi="Times New Roman" w:cs="Times New Roman"/>
          <w:sz w:val="28"/>
          <w:szCs w:val="28"/>
        </w:rPr>
        <w:t xml:space="preserve">Petitioners </w:t>
      </w:r>
      <w:r w:rsidR="00912952">
        <w:rPr>
          <w:rFonts w:ascii="Times New Roman" w:hAnsi="Times New Roman" w:cs="Times New Roman"/>
          <w:sz w:val="28"/>
          <w:szCs w:val="28"/>
        </w:rPr>
        <w:t xml:space="preserve">are sensitive to the comment’s concern </w:t>
      </w:r>
      <w:r w:rsidRPr="005B77DB">
        <w:rPr>
          <w:rFonts w:ascii="Times New Roman" w:hAnsi="Times New Roman" w:cs="Times New Roman"/>
          <w:sz w:val="28"/>
          <w:szCs w:val="28"/>
        </w:rPr>
        <w:t xml:space="preserve">that </w:t>
      </w:r>
      <w:r w:rsidR="00912952">
        <w:rPr>
          <w:rFonts w:ascii="Times New Roman" w:hAnsi="Times New Roman" w:cs="Times New Roman"/>
          <w:sz w:val="28"/>
          <w:szCs w:val="28"/>
        </w:rPr>
        <w:t>some cases are not afforded adequate trial time</w:t>
      </w:r>
      <w:r w:rsidRPr="005B77DB">
        <w:rPr>
          <w:rFonts w:ascii="Times New Roman" w:hAnsi="Times New Roman" w:cs="Times New Roman"/>
          <w:sz w:val="28"/>
          <w:szCs w:val="28"/>
        </w:rPr>
        <w:t xml:space="preserve">. </w:t>
      </w:r>
      <w:r w:rsidR="005E0052">
        <w:rPr>
          <w:rFonts w:ascii="Times New Roman" w:hAnsi="Times New Roman" w:cs="Times New Roman"/>
          <w:sz w:val="28"/>
          <w:szCs w:val="28"/>
        </w:rPr>
        <w:t xml:space="preserve">In support of their concern, </w:t>
      </w:r>
      <w:r w:rsidR="005E0052" w:rsidRPr="005B77DB">
        <w:rPr>
          <w:rFonts w:ascii="Times New Roman" w:hAnsi="Times New Roman" w:cs="Times New Roman"/>
          <w:sz w:val="28"/>
          <w:szCs w:val="28"/>
        </w:rPr>
        <w:t>t</w:t>
      </w:r>
      <w:r w:rsidRPr="005B77DB">
        <w:rPr>
          <w:rFonts w:ascii="Times New Roman" w:hAnsi="Times New Roman" w:cs="Times New Roman"/>
          <w:sz w:val="28"/>
          <w:szCs w:val="28"/>
        </w:rPr>
        <w:t xml:space="preserve">he </w:t>
      </w:r>
      <w:r w:rsidRPr="005B77DB">
        <w:rPr>
          <w:rFonts w:ascii="Times New Roman" w:hAnsi="Times New Roman" w:cs="Times New Roman"/>
          <w:sz w:val="28"/>
          <w:szCs w:val="28"/>
        </w:rPr>
        <w:lastRenderedPageBreak/>
        <w:t xml:space="preserve">group cites </w:t>
      </w:r>
      <w:r w:rsidRPr="005B77DB">
        <w:rPr>
          <w:rFonts w:ascii="Times New Roman" w:hAnsi="Times New Roman" w:cs="Times New Roman"/>
          <w:i/>
          <w:sz w:val="28"/>
          <w:szCs w:val="28"/>
        </w:rPr>
        <w:t>Volk v. Brame</w:t>
      </w:r>
      <w:r w:rsidRPr="005B77DB">
        <w:rPr>
          <w:rFonts w:ascii="Times New Roman" w:hAnsi="Times New Roman" w:cs="Times New Roman"/>
          <w:sz w:val="28"/>
          <w:szCs w:val="28"/>
        </w:rPr>
        <w:t>, 235 Ariz</w:t>
      </w:r>
      <w:r w:rsidR="00FA6569" w:rsidRPr="005B77DB">
        <w:rPr>
          <w:rFonts w:ascii="Times New Roman" w:hAnsi="Times New Roman" w:cs="Times New Roman"/>
          <w:sz w:val="28"/>
          <w:szCs w:val="28"/>
        </w:rPr>
        <w:t>. 462, 333 P.3d 789 (App. 2014)</w:t>
      </w:r>
      <w:r w:rsidR="00912952">
        <w:rPr>
          <w:rFonts w:ascii="Times New Roman" w:hAnsi="Times New Roman" w:cs="Times New Roman"/>
          <w:sz w:val="28"/>
          <w:szCs w:val="28"/>
        </w:rPr>
        <w:t xml:space="preserve"> (a decision authored by one of the Petitioners).</w:t>
      </w:r>
      <w:r w:rsidR="00FA6569" w:rsidRPr="005B77DB">
        <w:rPr>
          <w:rStyle w:val="FootnoteReference"/>
          <w:rFonts w:ascii="Times New Roman" w:hAnsi="Times New Roman" w:cs="Times New Roman"/>
          <w:sz w:val="28"/>
          <w:szCs w:val="28"/>
        </w:rPr>
        <w:footnoteReference w:id="1"/>
      </w:r>
      <w:r w:rsidRPr="005B77DB">
        <w:rPr>
          <w:rFonts w:ascii="Times New Roman" w:hAnsi="Times New Roman" w:cs="Times New Roman"/>
          <w:sz w:val="28"/>
          <w:szCs w:val="28"/>
        </w:rPr>
        <w:t xml:space="preserve"> </w:t>
      </w:r>
      <w:r w:rsidR="00912952">
        <w:rPr>
          <w:rFonts w:ascii="Times New Roman" w:hAnsi="Times New Roman" w:cs="Times New Roman"/>
          <w:sz w:val="28"/>
          <w:szCs w:val="28"/>
        </w:rPr>
        <w:t xml:space="preserve"> Though</w:t>
      </w:r>
      <w:r w:rsidR="0055170D">
        <w:rPr>
          <w:rFonts w:ascii="Times New Roman" w:hAnsi="Times New Roman" w:cs="Times New Roman"/>
          <w:sz w:val="28"/>
          <w:szCs w:val="28"/>
        </w:rPr>
        <w:t xml:space="preserve"> </w:t>
      </w:r>
      <w:r w:rsidR="00912952">
        <w:rPr>
          <w:rFonts w:ascii="Times New Roman" w:hAnsi="Times New Roman" w:cs="Times New Roman"/>
          <w:i/>
          <w:sz w:val="28"/>
          <w:szCs w:val="28"/>
        </w:rPr>
        <w:t xml:space="preserve">Volk </w:t>
      </w:r>
      <w:r w:rsidR="00912952">
        <w:rPr>
          <w:rFonts w:ascii="Times New Roman" w:hAnsi="Times New Roman" w:cs="Times New Roman"/>
          <w:sz w:val="28"/>
          <w:szCs w:val="28"/>
        </w:rPr>
        <w:t xml:space="preserve">represents an extreme example of a case in which the time for evidentiary hearing was restricted, and underscores the importance of the due process implications of overly-aggressive time limits, the court should not be left with the impression that the facts in </w:t>
      </w:r>
      <w:r w:rsidR="00912952">
        <w:rPr>
          <w:rFonts w:ascii="Times New Roman" w:hAnsi="Times New Roman" w:cs="Times New Roman"/>
          <w:i/>
          <w:sz w:val="28"/>
          <w:szCs w:val="28"/>
        </w:rPr>
        <w:t xml:space="preserve">Volk </w:t>
      </w:r>
      <w:r w:rsidR="00912952">
        <w:rPr>
          <w:rFonts w:ascii="Times New Roman" w:hAnsi="Times New Roman" w:cs="Times New Roman"/>
          <w:sz w:val="28"/>
          <w:szCs w:val="28"/>
        </w:rPr>
        <w:t xml:space="preserve">represent a norm in </w:t>
      </w:r>
      <w:r w:rsidR="005E0052">
        <w:rPr>
          <w:rFonts w:ascii="Times New Roman" w:hAnsi="Times New Roman" w:cs="Times New Roman"/>
          <w:sz w:val="28"/>
          <w:szCs w:val="28"/>
        </w:rPr>
        <w:t xml:space="preserve">any </w:t>
      </w:r>
      <w:r w:rsidR="00912952">
        <w:rPr>
          <w:rFonts w:ascii="Times New Roman" w:hAnsi="Times New Roman" w:cs="Times New Roman"/>
          <w:sz w:val="28"/>
          <w:szCs w:val="28"/>
        </w:rPr>
        <w:t>superior court.</w:t>
      </w:r>
      <w:r w:rsidR="00912952">
        <w:rPr>
          <w:rStyle w:val="FootnoteReference"/>
          <w:rFonts w:ascii="Times New Roman" w:hAnsi="Times New Roman" w:cs="Times New Roman"/>
          <w:sz w:val="28"/>
          <w:szCs w:val="28"/>
        </w:rPr>
        <w:footnoteReference w:id="2"/>
      </w:r>
      <w:r w:rsidR="00912952">
        <w:rPr>
          <w:rFonts w:ascii="Times New Roman" w:hAnsi="Times New Roman" w:cs="Times New Roman"/>
          <w:sz w:val="28"/>
          <w:szCs w:val="28"/>
        </w:rPr>
        <w:t xml:space="preserve"> </w:t>
      </w:r>
    </w:p>
    <w:p w:rsidR="00627780" w:rsidRPr="005B77DB" w:rsidRDefault="007D3B78" w:rsidP="00665D17">
      <w:pPr>
        <w:spacing w:after="120"/>
        <w:jc w:val="both"/>
        <w:rPr>
          <w:rFonts w:ascii="Times New Roman" w:hAnsi="Times New Roman" w:cs="Times New Roman"/>
          <w:sz w:val="28"/>
          <w:szCs w:val="28"/>
        </w:rPr>
      </w:pPr>
      <w:r w:rsidRPr="005B77DB">
        <w:rPr>
          <w:rFonts w:ascii="Times New Roman" w:hAnsi="Times New Roman" w:cs="Times New Roman"/>
          <w:sz w:val="28"/>
          <w:szCs w:val="28"/>
        </w:rPr>
        <w:tab/>
        <w:t xml:space="preserve">A superior court judge </w:t>
      </w:r>
      <w:r w:rsidR="00A9697D" w:rsidRPr="005B77DB">
        <w:rPr>
          <w:rFonts w:ascii="Times New Roman" w:hAnsi="Times New Roman" w:cs="Times New Roman"/>
          <w:sz w:val="28"/>
          <w:szCs w:val="28"/>
        </w:rPr>
        <w:t xml:space="preserve">in Maricopa County </w:t>
      </w:r>
      <w:r w:rsidRPr="005B77DB">
        <w:rPr>
          <w:rFonts w:ascii="Times New Roman" w:hAnsi="Times New Roman" w:cs="Times New Roman"/>
          <w:sz w:val="28"/>
          <w:szCs w:val="28"/>
        </w:rPr>
        <w:t>handles the case</w:t>
      </w:r>
      <w:r w:rsidR="00046963" w:rsidRPr="005B77DB">
        <w:rPr>
          <w:rFonts w:ascii="Times New Roman" w:hAnsi="Times New Roman" w:cs="Times New Roman"/>
          <w:sz w:val="28"/>
          <w:szCs w:val="28"/>
        </w:rPr>
        <w:t>s</w:t>
      </w:r>
      <w:r w:rsidRPr="005B77DB">
        <w:rPr>
          <w:rFonts w:ascii="Times New Roman" w:hAnsi="Times New Roman" w:cs="Times New Roman"/>
          <w:sz w:val="28"/>
          <w:szCs w:val="28"/>
        </w:rPr>
        <w:t xml:space="preserve"> that cannot be resolved by </w:t>
      </w:r>
      <w:r w:rsidR="009A4E51" w:rsidRPr="005B77DB">
        <w:rPr>
          <w:rFonts w:ascii="Times New Roman" w:hAnsi="Times New Roman" w:cs="Times New Roman"/>
          <w:sz w:val="28"/>
          <w:szCs w:val="28"/>
        </w:rPr>
        <w:t xml:space="preserve">consent or </w:t>
      </w:r>
      <w:r w:rsidR="00A9697D" w:rsidRPr="005B77DB">
        <w:rPr>
          <w:rFonts w:ascii="Times New Roman" w:hAnsi="Times New Roman" w:cs="Times New Roman"/>
          <w:sz w:val="28"/>
          <w:szCs w:val="28"/>
        </w:rPr>
        <w:t>on a commissioner</w:t>
      </w:r>
      <w:r w:rsidR="0025617C" w:rsidRPr="005B77DB">
        <w:rPr>
          <w:rFonts w:ascii="Times New Roman" w:hAnsi="Times New Roman" w:cs="Times New Roman"/>
          <w:sz w:val="28"/>
          <w:szCs w:val="28"/>
        </w:rPr>
        <w:t>’s</w:t>
      </w:r>
      <w:r w:rsidR="00A9697D" w:rsidRPr="005B77DB">
        <w:rPr>
          <w:rFonts w:ascii="Times New Roman" w:hAnsi="Times New Roman" w:cs="Times New Roman"/>
          <w:sz w:val="28"/>
          <w:szCs w:val="28"/>
        </w:rPr>
        <w:t xml:space="preserve"> calendar</w:t>
      </w:r>
      <w:r w:rsidRPr="005B77DB">
        <w:rPr>
          <w:rFonts w:ascii="Times New Roman" w:hAnsi="Times New Roman" w:cs="Times New Roman"/>
          <w:sz w:val="28"/>
          <w:szCs w:val="28"/>
        </w:rPr>
        <w:t xml:space="preserve">. While not intended to be exclusive, here is a brief list of </w:t>
      </w:r>
      <w:r w:rsidR="000815CC" w:rsidRPr="005B77DB">
        <w:rPr>
          <w:rFonts w:ascii="Times New Roman" w:hAnsi="Times New Roman" w:cs="Times New Roman"/>
          <w:sz w:val="28"/>
          <w:szCs w:val="28"/>
        </w:rPr>
        <w:t xml:space="preserve">recent </w:t>
      </w:r>
      <w:r w:rsidRPr="005B77DB">
        <w:rPr>
          <w:rFonts w:ascii="Times New Roman" w:hAnsi="Times New Roman" w:cs="Times New Roman"/>
          <w:sz w:val="28"/>
          <w:szCs w:val="28"/>
        </w:rPr>
        <w:t xml:space="preserve">cases where a day or more was given to litigants to present their case. </w:t>
      </w:r>
      <w:r w:rsidR="00A9697D" w:rsidRPr="005B77DB">
        <w:rPr>
          <w:rFonts w:ascii="Times New Roman" w:hAnsi="Times New Roman" w:cs="Times New Roman"/>
          <w:sz w:val="28"/>
          <w:szCs w:val="28"/>
        </w:rPr>
        <w:t xml:space="preserve">See, </w:t>
      </w:r>
      <w:r w:rsidR="00665D17" w:rsidRPr="005B77DB">
        <w:rPr>
          <w:rFonts w:ascii="Times New Roman" w:hAnsi="Times New Roman" w:cs="Times New Roman"/>
          <w:i/>
          <w:sz w:val="28"/>
          <w:szCs w:val="28"/>
        </w:rPr>
        <w:t>Elio v. Flanagan</w:t>
      </w:r>
      <w:r w:rsidR="00665D17" w:rsidRPr="005B77DB">
        <w:rPr>
          <w:rFonts w:ascii="Times New Roman" w:hAnsi="Times New Roman" w:cs="Times New Roman"/>
          <w:sz w:val="28"/>
          <w:szCs w:val="28"/>
        </w:rPr>
        <w:t xml:space="preserve">, FC2010-051045 (4 days, dates not available as case is sealed); </w:t>
      </w:r>
      <w:r w:rsidR="00665D17" w:rsidRPr="005B77DB">
        <w:rPr>
          <w:rFonts w:ascii="Times New Roman" w:hAnsi="Times New Roman" w:cs="Times New Roman"/>
          <w:i/>
          <w:sz w:val="28"/>
          <w:szCs w:val="28"/>
        </w:rPr>
        <w:t>Noble v. Noble</w:t>
      </w:r>
      <w:r w:rsidR="00665D17" w:rsidRPr="005B77DB">
        <w:rPr>
          <w:rFonts w:ascii="Times New Roman" w:hAnsi="Times New Roman" w:cs="Times New Roman"/>
          <w:sz w:val="28"/>
          <w:szCs w:val="28"/>
        </w:rPr>
        <w:t xml:space="preserve">, FC2013-001272 (3 days 6/6/, 6/8, 6/9/2016); </w:t>
      </w:r>
      <w:r w:rsidR="00665D17" w:rsidRPr="005B77DB">
        <w:rPr>
          <w:rFonts w:ascii="Times New Roman" w:hAnsi="Times New Roman" w:cs="Times New Roman"/>
          <w:i/>
          <w:sz w:val="28"/>
          <w:szCs w:val="28"/>
        </w:rPr>
        <w:t>Williams v. Williams</w:t>
      </w:r>
      <w:r w:rsidR="00665D17" w:rsidRPr="005B77DB">
        <w:rPr>
          <w:rFonts w:ascii="Times New Roman" w:hAnsi="Times New Roman" w:cs="Times New Roman"/>
          <w:sz w:val="28"/>
          <w:szCs w:val="28"/>
        </w:rPr>
        <w:t xml:space="preserve">, FN2013-051684 (6/27, 6/28, 6/29/2016); </w:t>
      </w:r>
      <w:r w:rsidR="00392FD5" w:rsidRPr="005B77DB">
        <w:rPr>
          <w:rFonts w:ascii="Times New Roman" w:hAnsi="Times New Roman" w:cs="Times New Roman"/>
          <w:i/>
          <w:sz w:val="28"/>
          <w:szCs w:val="28"/>
        </w:rPr>
        <w:t>Herter v. Herter,</w:t>
      </w:r>
      <w:r w:rsidR="00392FD5" w:rsidRPr="005B77DB">
        <w:rPr>
          <w:rFonts w:ascii="Times New Roman" w:hAnsi="Times New Roman" w:cs="Times New Roman"/>
          <w:sz w:val="28"/>
          <w:szCs w:val="28"/>
        </w:rPr>
        <w:t xml:space="preserve"> FC2013-092298 (3 days 2/26, 2/29, 3/1/16); </w:t>
      </w:r>
      <w:r w:rsidR="00A01263" w:rsidRPr="005B77DB">
        <w:rPr>
          <w:rFonts w:ascii="Times New Roman" w:hAnsi="Times New Roman" w:cs="Times New Roman"/>
          <w:i/>
          <w:sz w:val="28"/>
          <w:szCs w:val="28"/>
        </w:rPr>
        <w:t xml:space="preserve">Prouty v. Hughes and Prouty v. Kafka, </w:t>
      </w:r>
      <w:r w:rsidR="00A01263" w:rsidRPr="005B77DB">
        <w:rPr>
          <w:rFonts w:ascii="Times New Roman" w:hAnsi="Times New Roman" w:cs="Times New Roman"/>
          <w:sz w:val="28"/>
          <w:szCs w:val="28"/>
        </w:rPr>
        <w:t xml:space="preserve">FC2012-053300 and FC2012-094898 (3 days 1/12, 1/13, 1/15/2016); </w:t>
      </w:r>
      <w:r w:rsidR="00392FD5" w:rsidRPr="005B77DB">
        <w:rPr>
          <w:rFonts w:ascii="Times New Roman" w:hAnsi="Times New Roman" w:cs="Times New Roman"/>
          <w:i/>
          <w:sz w:val="28"/>
          <w:szCs w:val="28"/>
        </w:rPr>
        <w:t>Levine v. Levine,</w:t>
      </w:r>
      <w:r w:rsidR="00392FD5" w:rsidRPr="005B77DB">
        <w:rPr>
          <w:rFonts w:ascii="Times New Roman" w:hAnsi="Times New Roman" w:cs="Times New Roman"/>
          <w:sz w:val="28"/>
          <w:szCs w:val="28"/>
        </w:rPr>
        <w:t xml:space="preserve"> FC2014-002546 (3 days 3/28, 3/29, 3/30/16); </w:t>
      </w:r>
      <w:r w:rsidR="00392FD5" w:rsidRPr="005B77DB">
        <w:rPr>
          <w:rFonts w:ascii="Times New Roman" w:hAnsi="Times New Roman" w:cs="Times New Roman"/>
          <w:i/>
          <w:sz w:val="28"/>
          <w:szCs w:val="28"/>
        </w:rPr>
        <w:t>Bowe v. Vogel</w:t>
      </w:r>
      <w:r w:rsidR="00392FD5" w:rsidRPr="005B77DB">
        <w:rPr>
          <w:rFonts w:ascii="Times New Roman" w:hAnsi="Times New Roman" w:cs="Times New Roman"/>
          <w:sz w:val="28"/>
          <w:szCs w:val="28"/>
        </w:rPr>
        <w:t xml:space="preserve">, FC2014-001952 (3 days 4/19, 4/20, 4/29/16); </w:t>
      </w:r>
      <w:proofErr w:type="spellStart"/>
      <w:r w:rsidR="00A9697D" w:rsidRPr="005B77DB">
        <w:rPr>
          <w:rFonts w:ascii="Times New Roman" w:hAnsi="Times New Roman" w:cs="Times New Roman"/>
          <w:i/>
          <w:sz w:val="28"/>
          <w:szCs w:val="28"/>
        </w:rPr>
        <w:t>Tani</w:t>
      </w:r>
      <w:proofErr w:type="spellEnd"/>
      <w:r w:rsidR="00A9697D" w:rsidRPr="005B77DB">
        <w:rPr>
          <w:rFonts w:ascii="Times New Roman" w:hAnsi="Times New Roman" w:cs="Times New Roman"/>
          <w:i/>
          <w:sz w:val="28"/>
          <w:szCs w:val="28"/>
        </w:rPr>
        <w:t xml:space="preserve"> v. </w:t>
      </w:r>
      <w:proofErr w:type="spellStart"/>
      <w:r w:rsidR="00A9697D" w:rsidRPr="005B77DB">
        <w:rPr>
          <w:rFonts w:ascii="Times New Roman" w:hAnsi="Times New Roman" w:cs="Times New Roman"/>
          <w:i/>
          <w:sz w:val="28"/>
          <w:szCs w:val="28"/>
        </w:rPr>
        <w:t>Tani</w:t>
      </w:r>
      <w:proofErr w:type="spellEnd"/>
      <w:r w:rsidR="00A9697D" w:rsidRPr="005B77DB">
        <w:rPr>
          <w:rFonts w:ascii="Times New Roman" w:hAnsi="Times New Roman" w:cs="Times New Roman"/>
          <w:sz w:val="28"/>
          <w:szCs w:val="28"/>
        </w:rPr>
        <w:t>, FC2012-094832 (2 days 9/28</w:t>
      </w:r>
      <w:r w:rsidR="00F83F31" w:rsidRPr="005B77DB">
        <w:rPr>
          <w:rFonts w:ascii="Times New Roman" w:hAnsi="Times New Roman" w:cs="Times New Roman"/>
          <w:sz w:val="28"/>
          <w:szCs w:val="28"/>
        </w:rPr>
        <w:t xml:space="preserve">, </w:t>
      </w:r>
      <w:r w:rsidR="00A9697D" w:rsidRPr="005B77DB">
        <w:rPr>
          <w:rFonts w:ascii="Times New Roman" w:hAnsi="Times New Roman" w:cs="Times New Roman"/>
          <w:sz w:val="28"/>
          <w:szCs w:val="28"/>
        </w:rPr>
        <w:t xml:space="preserve">9/29/15), </w:t>
      </w:r>
      <w:proofErr w:type="spellStart"/>
      <w:r w:rsidR="00392FD5" w:rsidRPr="005B77DB">
        <w:rPr>
          <w:rFonts w:ascii="Times New Roman" w:hAnsi="Times New Roman" w:cs="Times New Roman"/>
          <w:i/>
          <w:sz w:val="28"/>
          <w:szCs w:val="28"/>
        </w:rPr>
        <w:t>Kadiyala</w:t>
      </w:r>
      <w:proofErr w:type="spellEnd"/>
      <w:r w:rsidR="00392FD5" w:rsidRPr="005B77DB">
        <w:rPr>
          <w:rFonts w:ascii="Times New Roman" w:hAnsi="Times New Roman" w:cs="Times New Roman"/>
          <w:i/>
          <w:sz w:val="28"/>
          <w:szCs w:val="28"/>
        </w:rPr>
        <w:t xml:space="preserve"> v. </w:t>
      </w:r>
      <w:proofErr w:type="spellStart"/>
      <w:r w:rsidR="00392FD5" w:rsidRPr="005B77DB">
        <w:rPr>
          <w:rFonts w:ascii="Times New Roman" w:hAnsi="Times New Roman" w:cs="Times New Roman"/>
          <w:i/>
          <w:sz w:val="28"/>
          <w:szCs w:val="28"/>
        </w:rPr>
        <w:t>Vemulapalli</w:t>
      </w:r>
      <w:proofErr w:type="spellEnd"/>
      <w:r w:rsidR="00392FD5" w:rsidRPr="005B77DB">
        <w:rPr>
          <w:rFonts w:ascii="Times New Roman" w:hAnsi="Times New Roman" w:cs="Times New Roman"/>
          <w:sz w:val="28"/>
          <w:szCs w:val="28"/>
        </w:rPr>
        <w:t>, FC2014-095577 (2 days 10/7, 11/9/15);</w:t>
      </w:r>
      <w:r w:rsidR="00637BE2" w:rsidRPr="005B77DB">
        <w:rPr>
          <w:rFonts w:ascii="Times New Roman" w:hAnsi="Times New Roman" w:cs="Times New Roman"/>
          <w:sz w:val="28"/>
          <w:szCs w:val="28"/>
        </w:rPr>
        <w:t xml:space="preserve"> </w:t>
      </w:r>
      <w:proofErr w:type="spellStart"/>
      <w:r w:rsidR="000720F1" w:rsidRPr="005B77DB">
        <w:rPr>
          <w:rFonts w:ascii="Times New Roman" w:hAnsi="Times New Roman" w:cs="Times New Roman"/>
          <w:i/>
          <w:sz w:val="28"/>
          <w:szCs w:val="28"/>
        </w:rPr>
        <w:t>Askari</w:t>
      </w:r>
      <w:proofErr w:type="spellEnd"/>
      <w:r w:rsidR="000720F1" w:rsidRPr="005B77DB">
        <w:rPr>
          <w:rFonts w:ascii="Times New Roman" w:hAnsi="Times New Roman" w:cs="Times New Roman"/>
          <w:i/>
          <w:sz w:val="28"/>
          <w:szCs w:val="28"/>
        </w:rPr>
        <w:t xml:space="preserve"> v. </w:t>
      </w:r>
      <w:proofErr w:type="spellStart"/>
      <w:r w:rsidR="000720F1" w:rsidRPr="005B77DB">
        <w:rPr>
          <w:rFonts w:ascii="Times New Roman" w:hAnsi="Times New Roman" w:cs="Times New Roman"/>
          <w:i/>
          <w:sz w:val="28"/>
          <w:szCs w:val="28"/>
        </w:rPr>
        <w:t>Askari</w:t>
      </w:r>
      <w:proofErr w:type="spellEnd"/>
      <w:r w:rsidR="000720F1" w:rsidRPr="005B77DB">
        <w:rPr>
          <w:rFonts w:ascii="Times New Roman" w:hAnsi="Times New Roman" w:cs="Times New Roman"/>
          <w:i/>
          <w:sz w:val="28"/>
          <w:szCs w:val="28"/>
        </w:rPr>
        <w:t xml:space="preserve">, </w:t>
      </w:r>
      <w:r w:rsidR="000720F1" w:rsidRPr="005B77DB">
        <w:rPr>
          <w:rFonts w:ascii="Times New Roman" w:hAnsi="Times New Roman" w:cs="Times New Roman"/>
          <w:sz w:val="28"/>
          <w:szCs w:val="28"/>
        </w:rPr>
        <w:t>FC2013-004222 (2 days</w:t>
      </w:r>
      <w:r w:rsidR="00A01263" w:rsidRPr="005B77DB">
        <w:rPr>
          <w:rFonts w:ascii="Times New Roman" w:hAnsi="Times New Roman" w:cs="Times New Roman"/>
          <w:sz w:val="28"/>
          <w:szCs w:val="28"/>
        </w:rPr>
        <w:t xml:space="preserve"> 1/6, 1/7/2016); </w:t>
      </w:r>
      <w:r w:rsidR="00392FD5" w:rsidRPr="005B77DB">
        <w:rPr>
          <w:rFonts w:ascii="Times New Roman" w:hAnsi="Times New Roman" w:cs="Times New Roman"/>
          <w:i/>
          <w:sz w:val="28"/>
          <w:szCs w:val="28"/>
        </w:rPr>
        <w:t>Perez v. Perez</w:t>
      </w:r>
      <w:r w:rsidR="00392FD5" w:rsidRPr="005B77DB">
        <w:rPr>
          <w:rFonts w:ascii="Times New Roman" w:hAnsi="Times New Roman" w:cs="Times New Roman"/>
          <w:sz w:val="28"/>
          <w:szCs w:val="28"/>
        </w:rPr>
        <w:t xml:space="preserve">, FC2013-007512 (2 days </w:t>
      </w:r>
      <w:r w:rsidR="00756C5B" w:rsidRPr="005B77DB">
        <w:rPr>
          <w:rFonts w:ascii="Times New Roman" w:hAnsi="Times New Roman" w:cs="Times New Roman"/>
          <w:sz w:val="28"/>
          <w:szCs w:val="28"/>
        </w:rPr>
        <w:t>1/6</w:t>
      </w:r>
      <w:r w:rsidR="00392FD5" w:rsidRPr="005B77DB">
        <w:rPr>
          <w:rFonts w:ascii="Times New Roman" w:hAnsi="Times New Roman" w:cs="Times New Roman"/>
          <w:sz w:val="28"/>
          <w:szCs w:val="28"/>
        </w:rPr>
        <w:t xml:space="preserve">, 2/6/16); </w:t>
      </w:r>
      <w:r w:rsidR="00392FD5" w:rsidRPr="005B77DB">
        <w:rPr>
          <w:rFonts w:ascii="Times New Roman" w:hAnsi="Times New Roman" w:cs="Times New Roman"/>
          <w:i/>
          <w:sz w:val="28"/>
          <w:szCs w:val="28"/>
        </w:rPr>
        <w:t>Broom v. Rogers</w:t>
      </w:r>
      <w:r w:rsidR="00392FD5" w:rsidRPr="005B77DB">
        <w:rPr>
          <w:rFonts w:ascii="Times New Roman" w:hAnsi="Times New Roman" w:cs="Times New Roman"/>
          <w:sz w:val="28"/>
          <w:szCs w:val="28"/>
        </w:rPr>
        <w:t>, FC2014-094378 (1 day 4/28/16)</w:t>
      </w:r>
      <w:r w:rsidR="00392FD5" w:rsidRPr="005B77DB">
        <w:rPr>
          <w:rFonts w:ascii="Times New Roman" w:hAnsi="Times New Roman" w:cs="Times New Roman"/>
          <w:i/>
          <w:sz w:val="28"/>
          <w:szCs w:val="28"/>
        </w:rPr>
        <w:t xml:space="preserve">; </w:t>
      </w:r>
      <w:proofErr w:type="spellStart"/>
      <w:r w:rsidR="00F83F31" w:rsidRPr="005B77DB">
        <w:rPr>
          <w:rFonts w:ascii="Times New Roman" w:hAnsi="Times New Roman" w:cs="Times New Roman"/>
          <w:i/>
          <w:sz w:val="28"/>
          <w:szCs w:val="28"/>
        </w:rPr>
        <w:t>Hermling</w:t>
      </w:r>
      <w:proofErr w:type="spellEnd"/>
      <w:r w:rsidR="00F83F31" w:rsidRPr="005B77DB">
        <w:rPr>
          <w:rFonts w:ascii="Times New Roman" w:hAnsi="Times New Roman" w:cs="Times New Roman"/>
          <w:i/>
          <w:sz w:val="28"/>
          <w:szCs w:val="28"/>
        </w:rPr>
        <w:t xml:space="preserve"> v </w:t>
      </w:r>
      <w:proofErr w:type="spellStart"/>
      <w:r w:rsidR="00F83F31" w:rsidRPr="005B77DB">
        <w:rPr>
          <w:rFonts w:ascii="Times New Roman" w:hAnsi="Times New Roman" w:cs="Times New Roman"/>
          <w:i/>
          <w:sz w:val="28"/>
          <w:szCs w:val="28"/>
        </w:rPr>
        <w:t>Hermling</w:t>
      </w:r>
      <w:proofErr w:type="spellEnd"/>
      <w:r w:rsidR="00F83F31" w:rsidRPr="005B77DB">
        <w:rPr>
          <w:rFonts w:ascii="Times New Roman" w:hAnsi="Times New Roman" w:cs="Times New Roman"/>
          <w:sz w:val="28"/>
          <w:szCs w:val="28"/>
        </w:rPr>
        <w:t xml:space="preserve">, FC2014-006516 (1 day 5/23/2016); </w:t>
      </w:r>
      <w:r w:rsidR="00392FD5" w:rsidRPr="005B77DB">
        <w:rPr>
          <w:rFonts w:ascii="Times New Roman" w:hAnsi="Times New Roman" w:cs="Times New Roman"/>
          <w:i/>
          <w:sz w:val="28"/>
          <w:szCs w:val="28"/>
        </w:rPr>
        <w:t>Lang v. Lang</w:t>
      </w:r>
      <w:r w:rsidR="00392FD5" w:rsidRPr="005B77DB">
        <w:rPr>
          <w:rFonts w:ascii="Times New Roman" w:hAnsi="Times New Roman" w:cs="Times New Roman"/>
          <w:sz w:val="28"/>
          <w:szCs w:val="28"/>
        </w:rPr>
        <w:t>, FC2013-090787 (1 day 2/11/16)</w:t>
      </w:r>
      <w:r w:rsidR="000720F1" w:rsidRPr="005B77DB">
        <w:rPr>
          <w:rFonts w:ascii="Times New Roman" w:hAnsi="Times New Roman" w:cs="Times New Roman"/>
          <w:sz w:val="28"/>
          <w:szCs w:val="28"/>
        </w:rPr>
        <w:t xml:space="preserve">; </w:t>
      </w:r>
      <w:r w:rsidR="000720F1" w:rsidRPr="005B77DB">
        <w:rPr>
          <w:rFonts w:ascii="Times New Roman" w:hAnsi="Times New Roman" w:cs="Times New Roman"/>
          <w:i/>
          <w:sz w:val="28"/>
          <w:szCs w:val="28"/>
        </w:rPr>
        <w:t xml:space="preserve">Edmonson v. Bradshaw, </w:t>
      </w:r>
      <w:r w:rsidR="000720F1" w:rsidRPr="005B77DB">
        <w:rPr>
          <w:rFonts w:ascii="Times New Roman" w:hAnsi="Times New Roman" w:cs="Times New Roman"/>
          <w:sz w:val="28"/>
          <w:szCs w:val="28"/>
        </w:rPr>
        <w:t xml:space="preserve"> FC2001-009100 (1 day 7/29/15); </w:t>
      </w:r>
      <w:r w:rsidR="000720F1" w:rsidRPr="005B77DB">
        <w:rPr>
          <w:rFonts w:ascii="Times New Roman" w:hAnsi="Times New Roman" w:cs="Times New Roman"/>
          <w:i/>
          <w:sz w:val="28"/>
          <w:szCs w:val="28"/>
        </w:rPr>
        <w:t xml:space="preserve">Whipple v. </w:t>
      </w:r>
      <w:proofErr w:type="spellStart"/>
      <w:r w:rsidR="000720F1" w:rsidRPr="005B77DB">
        <w:rPr>
          <w:rFonts w:ascii="Times New Roman" w:hAnsi="Times New Roman" w:cs="Times New Roman"/>
          <w:i/>
          <w:sz w:val="28"/>
          <w:szCs w:val="28"/>
        </w:rPr>
        <w:t>Mattice</w:t>
      </w:r>
      <w:proofErr w:type="spellEnd"/>
      <w:r w:rsidR="000720F1" w:rsidRPr="005B77DB">
        <w:rPr>
          <w:rFonts w:ascii="Times New Roman" w:hAnsi="Times New Roman" w:cs="Times New Roman"/>
          <w:sz w:val="28"/>
          <w:szCs w:val="28"/>
        </w:rPr>
        <w:t xml:space="preserve">,  FC2014-052405 (1 day 8/17/15); </w:t>
      </w:r>
      <w:r w:rsidR="000720F1" w:rsidRPr="005B77DB">
        <w:rPr>
          <w:rFonts w:ascii="Times New Roman" w:hAnsi="Times New Roman" w:cs="Times New Roman"/>
          <w:i/>
          <w:sz w:val="28"/>
          <w:szCs w:val="28"/>
        </w:rPr>
        <w:t>O’Connor v. O’Connor</w:t>
      </w:r>
      <w:r w:rsidR="000720F1" w:rsidRPr="005B77DB">
        <w:rPr>
          <w:rFonts w:ascii="Times New Roman" w:hAnsi="Times New Roman" w:cs="Times New Roman"/>
          <w:sz w:val="28"/>
          <w:szCs w:val="28"/>
        </w:rPr>
        <w:t xml:space="preserve">, FC2012-093245 (1 day 4/25/16); </w:t>
      </w:r>
      <w:r w:rsidR="00C17AEB" w:rsidRPr="005B77DB">
        <w:rPr>
          <w:rFonts w:ascii="Times New Roman" w:hAnsi="Times New Roman" w:cs="Times New Roman"/>
          <w:i/>
          <w:sz w:val="28"/>
          <w:szCs w:val="28"/>
        </w:rPr>
        <w:t>Baldwin v. Baldwin</w:t>
      </w:r>
      <w:r w:rsidR="00627780" w:rsidRPr="005B77DB">
        <w:rPr>
          <w:rFonts w:ascii="Times New Roman" w:hAnsi="Times New Roman" w:cs="Times New Roman"/>
          <w:i/>
          <w:sz w:val="28"/>
          <w:szCs w:val="28"/>
        </w:rPr>
        <w:t>,</w:t>
      </w:r>
      <w:r w:rsidR="009F61DC" w:rsidRPr="005B77DB">
        <w:rPr>
          <w:rFonts w:ascii="Times New Roman" w:hAnsi="Times New Roman" w:cs="Times New Roman"/>
          <w:i/>
          <w:sz w:val="28"/>
          <w:szCs w:val="28"/>
        </w:rPr>
        <w:t xml:space="preserve"> </w:t>
      </w:r>
      <w:r w:rsidR="00C17AEB" w:rsidRPr="005B77DB">
        <w:rPr>
          <w:rFonts w:ascii="Times New Roman" w:hAnsi="Times New Roman" w:cs="Times New Roman"/>
          <w:bCs/>
          <w:sz w:val="28"/>
          <w:szCs w:val="28"/>
        </w:rPr>
        <w:t>FN</w:t>
      </w:r>
      <w:r w:rsidR="00C17AEB" w:rsidRPr="005B77DB">
        <w:rPr>
          <w:rFonts w:ascii="Times New Roman" w:hAnsi="Times New Roman" w:cs="Times New Roman"/>
          <w:sz w:val="28"/>
          <w:szCs w:val="28"/>
        </w:rPr>
        <w:t xml:space="preserve">2015-002466 (1 day 1/5/16); </w:t>
      </w:r>
      <w:r w:rsidR="00C17AEB" w:rsidRPr="005B77DB">
        <w:rPr>
          <w:rFonts w:ascii="Times New Roman" w:hAnsi="Times New Roman" w:cs="Times New Roman"/>
          <w:i/>
          <w:sz w:val="28"/>
          <w:szCs w:val="28"/>
        </w:rPr>
        <w:t>Andrus v. Andrus</w:t>
      </w:r>
      <w:r w:rsidR="00C17AEB" w:rsidRPr="005B77DB">
        <w:rPr>
          <w:rFonts w:ascii="Times New Roman" w:hAnsi="Times New Roman" w:cs="Times New Roman"/>
          <w:sz w:val="28"/>
          <w:szCs w:val="28"/>
        </w:rPr>
        <w:t xml:space="preserve">, FC2014-000420 (1 day 12/15/15); </w:t>
      </w:r>
      <w:r w:rsidR="00C17AEB" w:rsidRPr="005B77DB">
        <w:rPr>
          <w:rFonts w:ascii="Times New Roman" w:hAnsi="Times New Roman" w:cs="Times New Roman"/>
          <w:i/>
          <w:sz w:val="28"/>
          <w:szCs w:val="28"/>
        </w:rPr>
        <w:t>Grossman v. Grossman</w:t>
      </w:r>
      <w:r w:rsidR="00C17AEB" w:rsidRPr="005B77DB">
        <w:rPr>
          <w:rFonts w:ascii="Times New Roman" w:hAnsi="Times New Roman" w:cs="Times New Roman"/>
          <w:sz w:val="28"/>
          <w:szCs w:val="28"/>
        </w:rPr>
        <w:t xml:space="preserve">, FC2012-003376 (1 day 12/8/15); </w:t>
      </w:r>
      <w:r w:rsidR="00C17AEB" w:rsidRPr="005B77DB">
        <w:rPr>
          <w:rFonts w:ascii="Times New Roman" w:hAnsi="Times New Roman" w:cs="Times New Roman"/>
          <w:i/>
          <w:sz w:val="28"/>
          <w:szCs w:val="28"/>
        </w:rPr>
        <w:t>McIntyre v. McIntyre</w:t>
      </w:r>
      <w:r w:rsidR="00C17AEB" w:rsidRPr="005B77DB">
        <w:rPr>
          <w:rFonts w:ascii="Times New Roman" w:hAnsi="Times New Roman" w:cs="Times New Roman"/>
          <w:sz w:val="28"/>
          <w:szCs w:val="28"/>
        </w:rPr>
        <w:t xml:space="preserve">,  FC2014-001316 (1 day 7/15/15); </w:t>
      </w:r>
      <w:proofErr w:type="spellStart"/>
      <w:r w:rsidR="00C17AEB" w:rsidRPr="005B77DB">
        <w:rPr>
          <w:rFonts w:ascii="Times New Roman" w:hAnsi="Times New Roman" w:cs="Times New Roman"/>
          <w:sz w:val="28"/>
          <w:szCs w:val="28"/>
        </w:rPr>
        <w:t>Zech</w:t>
      </w:r>
      <w:proofErr w:type="spellEnd"/>
      <w:r w:rsidR="00C17AEB" w:rsidRPr="005B77DB">
        <w:rPr>
          <w:rFonts w:ascii="Times New Roman" w:hAnsi="Times New Roman" w:cs="Times New Roman"/>
          <w:sz w:val="28"/>
          <w:szCs w:val="28"/>
        </w:rPr>
        <w:t xml:space="preserve"> v. </w:t>
      </w:r>
      <w:proofErr w:type="spellStart"/>
      <w:r w:rsidR="00C17AEB" w:rsidRPr="005B77DB">
        <w:rPr>
          <w:rFonts w:ascii="Times New Roman" w:hAnsi="Times New Roman" w:cs="Times New Roman"/>
          <w:sz w:val="28"/>
          <w:szCs w:val="28"/>
        </w:rPr>
        <w:t>Zech</w:t>
      </w:r>
      <w:proofErr w:type="spellEnd"/>
      <w:r w:rsidR="00C17AEB" w:rsidRPr="005B77DB">
        <w:rPr>
          <w:rFonts w:ascii="Times New Roman" w:hAnsi="Times New Roman" w:cs="Times New Roman"/>
          <w:sz w:val="28"/>
          <w:szCs w:val="28"/>
        </w:rPr>
        <w:t xml:space="preserve">, FN2014-000888 (1 day 7/9/15); </w:t>
      </w:r>
      <w:r w:rsidR="00C17AEB" w:rsidRPr="005B77DB">
        <w:rPr>
          <w:rFonts w:ascii="Times New Roman" w:hAnsi="Times New Roman" w:cs="Times New Roman"/>
          <w:i/>
          <w:sz w:val="28"/>
          <w:szCs w:val="28"/>
        </w:rPr>
        <w:t xml:space="preserve">Monte v. </w:t>
      </w:r>
      <w:proofErr w:type="spellStart"/>
      <w:r w:rsidR="00C17AEB" w:rsidRPr="005B77DB">
        <w:rPr>
          <w:rFonts w:ascii="Times New Roman" w:hAnsi="Times New Roman" w:cs="Times New Roman"/>
          <w:i/>
          <w:sz w:val="28"/>
          <w:szCs w:val="28"/>
        </w:rPr>
        <w:t>Bertsch</w:t>
      </w:r>
      <w:proofErr w:type="spellEnd"/>
      <w:r w:rsidR="00C17AEB" w:rsidRPr="005B77DB">
        <w:rPr>
          <w:rFonts w:ascii="Times New Roman" w:hAnsi="Times New Roman" w:cs="Times New Roman"/>
          <w:sz w:val="28"/>
          <w:szCs w:val="28"/>
        </w:rPr>
        <w:t>, DR2000-000598 (1 day, 6/1</w:t>
      </w:r>
      <w:r w:rsidR="000815CC" w:rsidRPr="005B77DB">
        <w:rPr>
          <w:rFonts w:ascii="Times New Roman" w:hAnsi="Times New Roman" w:cs="Times New Roman"/>
          <w:sz w:val="28"/>
          <w:szCs w:val="28"/>
        </w:rPr>
        <w:t>/</w:t>
      </w:r>
      <w:r w:rsidR="00C17AEB" w:rsidRPr="005B77DB">
        <w:rPr>
          <w:rFonts w:ascii="Times New Roman" w:hAnsi="Times New Roman" w:cs="Times New Roman"/>
          <w:sz w:val="28"/>
          <w:szCs w:val="28"/>
        </w:rPr>
        <w:t>15</w:t>
      </w:r>
      <w:r w:rsidR="000815CC" w:rsidRPr="005B77DB">
        <w:rPr>
          <w:rFonts w:ascii="Times New Roman" w:hAnsi="Times New Roman" w:cs="Times New Roman"/>
          <w:sz w:val="28"/>
          <w:szCs w:val="28"/>
        </w:rPr>
        <w:t>);</w:t>
      </w:r>
      <w:r w:rsidR="00627780" w:rsidRPr="005B77DB">
        <w:rPr>
          <w:rFonts w:ascii="Times New Roman" w:hAnsi="Times New Roman" w:cs="Times New Roman"/>
          <w:sz w:val="28"/>
          <w:szCs w:val="28"/>
        </w:rPr>
        <w:t xml:space="preserve"> </w:t>
      </w:r>
      <w:r w:rsidR="00627780" w:rsidRPr="005B77DB">
        <w:rPr>
          <w:rFonts w:ascii="Times New Roman" w:hAnsi="Times New Roman" w:cs="Times New Roman"/>
          <w:i/>
          <w:sz w:val="28"/>
          <w:szCs w:val="28"/>
        </w:rPr>
        <w:t>Schreiner v. Schreiner</w:t>
      </w:r>
      <w:r w:rsidR="00627780" w:rsidRPr="005B77DB">
        <w:rPr>
          <w:rFonts w:ascii="Times New Roman" w:hAnsi="Times New Roman" w:cs="Times New Roman"/>
          <w:sz w:val="28"/>
          <w:szCs w:val="28"/>
        </w:rPr>
        <w:t>, FC2014-004798 (1 day 3/21/16)</w:t>
      </w:r>
      <w:r w:rsidR="0025617C" w:rsidRPr="005B77DB">
        <w:rPr>
          <w:rFonts w:ascii="Times New Roman" w:hAnsi="Times New Roman" w:cs="Times New Roman"/>
          <w:sz w:val="28"/>
          <w:szCs w:val="28"/>
        </w:rPr>
        <w:t xml:space="preserve">; </w:t>
      </w:r>
      <w:proofErr w:type="spellStart"/>
      <w:r w:rsidR="0025617C" w:rsidRPr="005B77DB">
        <w:rPr>
          <w:rFonts w:ascii="Times New Roman" w:hAnsi="Times New Roman" w:cs="Times New Roman"/>
          <w:i/>
          <w:sz w:val="28"/>
          <w:szCs w:val="28"/>
        </w:rPr>
        <w:t>Engstrom</w:t>
      </w:r>
      <w:proofErr w:type="spellEnd"/>
      <w:r w:rsidR="0025617C" w:rsidRPr="005B77DB">
        <w:rPr>
          <w:rFonts w:ascii="Times New Roman" w:hAnsi="Times New Roman" w:cs="Times New Roman"/>
          <w:i/>
          <w:sz w:val="28"/>
          <w:szCs w:val="28"/>
        </w:rPr>
        <w:t xml:space="preserve"> v. McCarthy</w:t>
      </w:r>
      <w:r w:rsidR="0025617C" w:rsidRPr="005B77DB">
        <w:rPr>
          <w:rFonts w:ascii="Times New Roman" w:hAnsi="Times New Roman" w:cs="Times New Roman"/>
          <w:sz w:val="28"/>
          <w:szCs w:val="28"/>
        </w:rPr>
        <w:t xml:space="preserve">, FC2014-053640 (1 day 6/27/16); </w:t>
      </w:r>
      <w:proofErr w:type="spellStart"/>
      <w:r w:rsidR="0025617C" w:rsidRPr="005B77DB">
        <w:rPr>
          <w:rFonts w:ascii="Times New Roman" w:hAnsi="Times New Roman" w:cs="Times New Roman"/>
          <w:i/>
          <w:sz w:val="28"/>
          <w:szCs w:val="28"/>
        </w:rPr>
        <w:t>Gerdes</w:t>
      </w:r>
      <w:proofErr w:type="spellEnd"/>
      <w:r w:rsidR="0025617C" w:rsidRPr="005B77DB">
        <w:rPr>
          <w:rFonts w:ascii="Times New Roman" w:hAnsi="Times New Roman" w:cs="Times New Roman"/>
          <w:i/>
          <w:sz w:val="28"/>
          <w:szCs w:val="28"/>
        </w:rPr>
        <w:t xml:space="preserve"> v. </w:t>
      </w:r>
      <w:proofErr w:type="spellStart"/>
      <w:r w:rsidR="0025617C" w:rsidRPr="005B77DB">
        <w:rPr>
          <w:rFonts w:ascii="Times New Roman" w:hAnsi="Times New Roman" w:cs="Times New Roman"/>
          <w:i/>
          <w:sz w:val="28"/>
          <w:szCs w:val="28"/>
        </w:rPr>
        <w:t>Branstrator</w:t>
      </w:r>
      <w:proofErr w:type="spellEnd"/>
      <w:r w:rsidR="0025617C" w:rsidRPr="005B77DB">
        <w:rPr>
          <w:rFonts w:ascii="Times New Roman" w:hAnsi="Times New Roman" w:cs="Times New Roman"/>
          <w:sz w:val="28"/>
          <w:szCs w:val="28"/>
        </w:rPr>
        <w:t>, FC2014-054126 (1 day 4/1/16)</w:t>
      </w:r>
      <w:r w:rsidR="00756C5B" w:rsidRPr="005B77DB">
        <w:rPr>
          <w:rFonts w:ascii="Times New Roman" w:hAnsi="Times New Roman" w:cs="Times New Roman"/>
          <w:sz w:val="28"/>
          <w:szCs w:val="28"/>
        </w:rPr>
        <w:t xml:space="preserve">; </w:t>
      </w:r>
      <w:proofErr w:type="spellStart"/>
      <w:r w:rsidR="00756C5B" w:rsidRPr="005B77DB">
        <w:rPr>
          <w:rFonts w:ascii="Times New Roman" w:hAnsi="Times New Roman" w:cs="Times New Roman"/>
          <w:i/>
          <w:sz w:val="28"/>
          <w:szCs w:val="28"/>
        </w:rPr>
        <w:t>Madoski</w:t>
      </w:r>
      <w:proofErr w:type="spellEnd"/>
      <w:r w:rsidR="00756C5B" w:rsidRPr="005B77DB">
        <w:rPr>
          <w:rFonts w:ascii="Times New Roman" w:hAnsi="Times New Roman" w:cs="Times New Roman"/>
          <w:i/>
          <w:sz w:val="28"/>
          <w:szCs w:val="28"/>
        </w:rPr>
        <w:t xml:space="preserve"> v. </w:t>
      </w:r>
      <w:proofErr w:type="spellStart"/>
      <w:r w:rsidR="00756C5B" w:rsidRPr="005B77DB">
        <w:rPr>
          <w:rFonts w:ascii="Times New Roman" w:hAnsi="Times New Roman" w:cs="Times New Roman"/>
          <w:i/>
          <w:sz w:val="28"/>
          <w:szCs w:val="28"/>
        </w:rPr>
        <w:t>Madoski</w:t>
      </w:r>
      <w:proofErr w:type="spellEnd"/>
      <w:r w:rsidR="00756C5B" w:rsidRPr="005B77DB">
        <w:rPr>
          <w:rFonts w:ascii="Times New Roman" w:hAnsi="Times New Roman" w:cs="Times New Roman"/>
          <w:sz w:val="28"/>
          <w:szCs w:val="28"/>
        </w:rPr>
        <w:t xml:space="preserve"> FC2014-091961 (1 day 09/16/15); </w:t>
      </w:r>
      <w:r w:rsidR="00756C5B" w:rsidRPr="005B77DB">
        <w:rPr>
          <w:rFonts w:ascii="Times New Roman" w:hAnsi="Times New Roman" w:cs="Times New Roman"/>
          <w:i/>
          <w:sz w:val="28"/>
          <w:szCs w:val="28"/>
        </w:rPr>
        <w:t>Jackman v. McCann,</w:t>
      </w:r>
      <w:r w:rsidR="00756C5B" w:rsidRPr="005B77DB">
        <w:rPr>
          <w:rFonts w:ascii="Times New Roman" w:hAnsi="Times New Roman" w:cs="Times New Roman"/>
          <w:sz w:val="28"/>
          <w:szCs w:val="28"/>
        </w:rPr>
        <w:t xml:space="preserve"> FC2014-096241 (1 day, 01/07/16); </w:t>
      </w:r>
      <w:proofErr w:type="spellStart"/>
      <w:r w:rsidR="00756C5B" w:rsidRPr="005B77DB">
        <w:rPr>
          <w:rFonts w:ascii="Times New Roman" w:hAnsi="Times New Roman" w:cs="Times New Roman"/>
          <w:i/>
          <w:sz w:val="28"/>
          <w:szCs w:val="28"/>
        </w:rPr>
        <w:t>Wiscombe</w:t>
      </w:r>
      <w:proofErr w:type="spellEnd"/>
      <w:r w:rsidR="00756C5B" w:rsidRPr="005B77DB">
        <w:rPr>
          <w:rFonts w:ascii="Times New Roman" w:hAnsi="Times New Roman" w:cs="Times New Roman"/>
          <w:i/>
          <w:sz w:val="28"/>
          <w:szCs w:val="28"/>
        </w:rPr>
        <w:t xml:space="preserve"> v. </w:t>
      </w:r>
      <w:proofErr w:type="spellStart"/>
      <w:r w:rsidR="00756C5B" w:rsidRPr="005B77DB">
        <w:rPr>
          <w:rFonts w:ascii="Times New Roman" w:hAnsi="Times New Roman" w:cs="Times New Roman"/>
          <w:i/>
          <w:sz w:val="28"/>
          <w:szCs w:val="28"/>
        </w:rPr>
        <w:t>Wiscombe</w:t>
      </w:r>
      <w:proofErr w:type="spellEnd"/>
      <w:r w:rsidR="00756C5B" w:rsidRPr="005B77DB">
        <w:rPr>
          <w:rFonts w:ascii="Times New Roman" w:hAnsi="Times New Roman" w:cs="Times New Roman"/>
          <w:sz w:val="28"/>
          <w:szCs w:val="28"/>
        </w:rPr>
        <w:t xml:space="preserve">, FC2015-091785 (1 day 02/02/16); </w:t>
      </w:r>
      <w:r w:rsidR="00756C5B" w:rsidRPr="005B77DB">
        <w:rPr>
          <w:rFonts w:ascii="Times New Roman" w:hAnsi="Times New Roman" w:cs="Times New Roman"/>
          <w:i/>
          <w:sz w:val="28"/>
          <w:szCs w:val="28"/>
        </w:rPr>
        <w:t>Flynn v. Brown,</w:t>
      </w:r>
      <w:r w:rsidR="00756C5B" w:rsidRPr="005B77DB">
        <w:rPr>
          <w:rFonts w:ascii="Times New Roman" w:hAnsi="Times New Roman" w:cs="Times New Roman"/>
          <w:sz w:val="28"/>
          <w:szCs w:val="28"/>
        </w:rPr>
        <w:t xml:space="preserve"> FC2010-092975 (1 day 03/01/16); and </w:t>
      </w:r>
      <w:r w:rsidR="00756C5B" w:rsidRPr="005B77DB">
        <w:rPr>
          <w:rFonts w:ascii="Times New Roman" w:hAnsi="Times New Roman" w:cs="Times New Roman"/>
          <w:i/>
          <w:sz w:val="28"/>
          <w:szCs w:val="28"/>
        </w:rPr>
        <w:t>Smith v. Smith,</w:t>
      </w:r>
      <w:r w:rsidR="00756C5B" w:rsidRPr="005B77DB">
        <w:rPr>
          <w:rFonts w:ascii="Times New Roman" w:hAnsi="Times New Roman" w:cs="Times New Roman"/>
          <w:sz w:val="28"/>
          <w:szCs w:val="28"/>
        </w:rPr>
        <w:t xml:space="preserve"> FC2012-090788 (1 day 03/07/16)</w:t>
      </w:r>
      <w:r w:rsidR="00A01263" w:rsidRPr="005B77DB">
        <w:rPr>
          <w:rFonts w:ascii="Times New Roman" w:hAnsi="Times New Roman" w:cs="Times New Roman"/>
          <w:sz w:val="28"/>
          <w:szCs w:val="28"/>
        </w:rPr>
        <w:t xml:space="preserve">; </w:t>
      </w:r>
      <w:r w:rsidR="00A01263" w:rsidRPr="005B77DB">
        <w:rPr>
          <w:rFonts w:ascii="Times New Roman" w:hAnsi="Times New Roman" w:cs="Times New Roman"/>
          <w:i/>
          <w:sz w:val="28"/>
          <w:szCs w:val="28"/>
        </w:rPr>
        <w:t xml:space="preserve">Hill v. Hill, </w:t>
      </w:r>
      <w:r w:rsidR="00A01263" w:rsidRPr="005B77DB">
        <w:rPr>
          <w:rFonts w:ascii="Times New Roman" w:hAnsi="Times New Roman" w:cs="Times New Roman"/>
          <w:sz w:val="28"/>
          <w:szCs w:val="28"/>
        </w:rPr>
        <w:t xml:space="preserve">FN2012-052777 (1 day 1/26/2016); </w:t>
      </w:r>
      <w:proofErr w:type="spellStart"/>
      <w:r w:rsidR="00A01263" w:rsidRPr="005B77DB">
        <w:rPr>
          <w:rFonts w:ascii="Times New Roman" w:hAnsi="Times New Roman" w:cs="Times New Roman"/>
          <w:i/>
          <w:sz w:val="28"/>
          <w:szCs w:val="28"/>
        </w:rPr>
        <w:t>Rosaci</w:t>
      </w:r>
      <w:proofErr w:type="spellEnd"/>
      <w:r w:rsidR="00A01263" w:rsidRPr="005B77DB">
        <w:rPr>
          <w:rFonts w:ascii="Times New Roman" w:hAnsi="Times New Roman" w:cs="Times New Roman"/>
          <w:i/>
          <w:sz w:val="28"/>
          <w:szCs w:val="28"/>
        </w:rPr>
        <w:t xml:space="preserve"> v. </w:t>
      </w:r>
      <w:proofErr w:type="spellStart"/>
      <w:r w:rsidR="00A01263" w:rsidRPr="005B77DB">
        <w:rPr>
          <w:rFonts w:ascii="Times New Roman" w:hAnsi="Times New Roman" w:cs="Times New Roman"/>
          <w:i/>
          <w:sz w:val="28"/>
          <w:szCs w:val="28"/>
        </w:rPr>
        <w:t>Rosaci</w:t>
      </w:r>
      <w:proofErr w:type="spellEnd"/>
      <w:r w:rsidR="00A01263" w:rsidRPr="005B77DB">
        <w:rPr>
          <w:rFonts w:ascii="Times New Roman" w:hAnsi="Times New Roman" w:cs="Times New Roman"/>
          <w:i/>
          <w:sz w:val="28"/>
          <w:szCs w:val="28"/>
        </w:rPr>
        <w:t xml:space="preserve">, </w:t>
      </w:r>
      <w:r w:rsidR="00A01263" w:rsidRPr="005B77DB">
        <w:rPr>
          <w:rFonts w:ascii="Times New Roman" w:hAnsi="Times New Roman" w:cs="Times New Roman"/>
          <w:sz w:val="28"/>
          <w:szCs w:val="28"/>
        </w:rPr>
        <w:t xml:space="preserve">FC2014-055022 (1 day 1/19/2016); </w:t>
      </w:r>
      <w:r w:rsidR="00A01263" w:rsidRPr="005B77DB">
        <w:rPr>
          <w:rFonts w:ascii="Times New Roman" w:hAnsi="Times New Roman" w:cs="Times New Roman"/>
          <w:i/>
          <w:sz w:val="28"/>
          <w:szCs w:val="28"/>
        </w:rPr>
        <w:t xml:space="preserve">Levine v. Levine, </w:t>
      </w:r>
      <w:r w:rsidR="00A01263" w:rsidRPr="005B77DB">
        <w:rPr>
          <w:rFonts w:ascii="Times New Roman" w:hAnsi="Times New Roman" w:cs="Times New Roman"/>
          <w:sz w:val="28"/>
          <w:szCs w:val="28"/>
        </w:rPr>
        <w:t>FC2014-055022 (1 day 1/14/2016)</w:t>
      </w:r>
      <w:r w:rsidR="00627780" w:rsidRPr="005B77DB">
        <w:rPr>
          <w:rFonts w:ascii="Times New Roman" w:hAnsi="Times New Roman" w:cs="Times New Roman"/>
          <w:sz w:val="28"/>
          <w:szCs w:val="28"/>
        </w:rPr>
        <w:t>.</w:t>
      </w:r>
    </w:p>
    <w:p w:rsidR="007D3B78" w:rsidRPr="005B77DB" w:rsidRDefault="009A6223" w:rsidP="007D3B78">
      <w:pPr>
        <w:spacing w:after="120"/>
        <w:jc w:val="both"/>
        <w:rPr>
          <w:rFonts w:ascii="Times New Roman" w:hAnsi="Times New Roman" w:cs="Times New Roman"/>
          <w:sz w:val="28"/>
          <w:szCs w:val="28"/>
        </w:rPr>
      </w:pPr>
      <w:r w:rsidRPr="005B77DB">
        <w:rPr>
          <w:rFonts w:ascii="Times New Roman" w:hAnsi="Times New Roman" w:cs="Times New Roman"/>
          <w:sz w:val="28"/>
          <w:szCs w:val="28"/>
        </w:rPr>
        <w:tab/>
        <w:t xml:space="preserve">Petitioners do not disagree with the group’s </w:t>
      </w:r>
      <w:r w:rsidR="005F330A">
        <w:rPr>
          <w:rFonts w:ascii="Times New Roman" w:hAnsi="Times New Roman" w:cs="Times New Roman"/>
          <w:sz w:val="28"/>
          <w:szCs w:val="28"/>
        </w:rPr>
        <w:t>perception that family court judges face a heavy workload</w:t>
      </w:r>
      <w:r w:rsidRPr="005B77DB">
        <w:rPr>
          <w:rFonts w:ascii="Times New Roman" w:hAnsi="Times New Roman" w:cs="Times New Roman"/>
          <w:sz w:val="28"/>
          <w:szCs w:val="28"/>
        </w:rPr>
        <w:t xml:space="preserve">. </w:t>
      </w:r>
      <w:r w:rsidR="00474434" w:rsidRPr="005B77DB">
        <w:rPr>
          <w:rFonts w:ascii="Times New Roman" w:hAnsi="Times New Roman" w:cs="Times New Roman"/>
          <w:sz w:val="28"/>
          <w:szCs w:val="28"/>
        </w:rPr>
        <w:t>For example i</w:t>
      </w:r>
      <w:r w:rsidRPr="005B77DB">
        <w:rPr>
          <w:rFonts w:ascii="Times New Roman" w:hAnsi="Times New Roman" w:cs="Times New Roman"/>
          <w:sz w:val="28"/>
          <w:szCs w:val="28"/>
        </w:rPr>
        <w:t xml:space="preserve">n May 2016, the Maricopa </w:t>
      </w:r>
      <w:r w:rsidR="00B977BA" w:rsidRPr="005B77DB">
        <w:rPr>
          <w:rFonts w:ascii="Times New Roman" w:hAnsi="Times New Roman" w:cs="Times New Roman"/>
          <w:sz w:val="28"/>
          <w:szCs w:val="28"/>
        </w:rPr>
        <w:t xml:space="preserve">County </w:t>
      </w:r>
      <w:r w:rsidRPr="005B77DB">
        <w:rPr>
          <w:rFonts w:ascii="Times New Roman" w:hAnsi="Times New Roman" w:cs="Times New Roman"/>
          <w:sz w:val="28"/>
          <w:szCs w:val="28"/>
        </w:rPr>
        <w:t>Superior Court received 5,018 new petition</w:t>
      </w:r>
      <w:r w:rsidR="00474434" w:rsidRPr="005B77DB">
        <w:rPr>
          <w:rFonts w:ascii="Times New Roman" w:hAnsi="Times New Roman" w:cs="Times New Roman"/>
          <w:sz w:val="28"/>
          <w:szCs w:val="28"/>
        </w:rPr>
        <w:t>s</w:t>
      </w:r>
      <w:r w:rsidRPr="005B77DB">
        <w:rPr>
          <w:rFonts w:ascii="Times New Roman" w:hAnsi="Times New Roman" w:cs="Times New Roman"/>
          <w:sz w:val="28"/>
          <w:szCs w:val="28"/>
        </w:rPr>
        <w:t xml:space="preserve"> (2,937 new filing</w:t>
      </w:r>
      <w:r w:rsidR="00474434" w:rsidRPr="005B77DB">
        <w:rPr>
          <w:rFonts w:ascii="Times New Roman" w:hAnsi="Times New Roman" w:cs="Times New Roman"/>
          <w:sz w:val="28"/>
          <w:szCs w:val="28"/>
        </w:rPr>
        <w:t>s, 2081 post-</w:t>
      </w:r>
      <w:r w:rsidRPr="005B77DB">
        <w:rPr>
          <w:rFonts w:ascii="Times New Roman" w:hAnsi="Times New Roman" w:cs="Times New Roman"/>
          <w:sz w:val="28"/>
          <w:szCs w:val="28"/>
        </w:rPr>
        <w:t xml:space="preserve">degree petitions). </w:t>
      </w:r>
      <w:r w:rsidR="00474434" w:rsidRPr="005B77DB">
        <w:rPr>
          <w:rFonts w:ascii="Times New Roman" w:hAnsi="Times New Roman" w:cs="Times New Roman"/>
          <w:sz w:val="28"/>
          <w:szCs w:val="28"/>
        </w:rPr>
        <w:t>Yet, with sound management p</w:t>
      </w:r>
      <w:r w:rsidR="00B977BA" w:rsidRPr="005B77DB">
        <w:rPr>
          <w:rFonts w:ascii="Times New Roman" w:hAnsi="Times New Roman" w:cs="Times New Roman"/>
          <w:sz w:val="28"/>
          <w:szCs w:val="28"/>
        </w:rPr>
        <w:t xml:space="preserve">ractices and controlling </w:t>
      </w:r>
      <w:r w:rsidR="00474434" w:rsidRPr="005B77DB">
        <w:rPr>
          <w:rFonts w:ascii="Times New Roman" w:hAnsi="Times New Roman" w:cs="Times New Roman"/>
          <w:sz w:val="28"/>
          <w:szCs w:val="28"/>
        </w:rPr>
        <w:t xml:space="preserve">the time on the courts’ calendar, the family department was able to meet this Court’s time standards in </w:t>
      </w:r>
      <w:r w:rsidR="00B977BA" w:rsidRPr="005B77DB">
        <w:rPr>
          <w:rFonts w:ascii="Times New Roman" w:hAnsi="Times New Roman" w:cs="Times New Roman"/>
          <w:sz w:val="28"/>
          <w:szCs w:val="28"/>
        </w:rPr>
        <w:t>nearly every</w:t>
      </w:r>
      <w:r w:rsidR="00474434" w:rsidRPr="005B77DB">
        <w:rPr>
          <w:rFonts w:ascii="Times New Roman" w:hAnsi="Times New Roman" w:cs="Times New Roman"/>
          <w:sz w:val="28"/>
          <w:szCs w:val="28"/>
        </w:rPr>
        <w:t xml:space="preserve"> categor</w:t>
      </w:r>
      <w:r w:rsidR="00B977BA" w:rsidRPr="005B77DB">
        <w:rPr>
          <w:rFonts w:ascii="Times New Roman" w:hAnsi="Times New Roman" w:cs="Times New Roman"/>
          <w:sz w:val="28"/>
          <w:szCs w:val="28"/>
        </w:rPr>
        <w:t>y</w:t>
      </w:r>
      <w:r w:rsidR="00474434" w:rsidRPr="005B77DB">
        <w:rPr>
          <w:rFonts w:ascii="Times New Roman" w:hAnsi="Times New Roman" w:cs="Times New Roman"/>
          <w:sz w:val="28"/>
          <w:szCs w:val="28"/>
        </w:rPr>
        <w:t xml:space="preserve">. (See exhibit </w:t>
      </w:r>
      <w:r w:rsidR="00B977BA" w:rsidRPr="005B77DB">
        <w:rPr>
          <w:rFonts w:ascii="Times New Roman" w:hAnsi="Times New Roman" w:cs="Times New Roman"/>
          <w:sz w:val="28"/>
          <w:szCs w:val="28"/>
        </w:rPr>
        <w:t>No. 1</w:t>
      </w:r>
      <w:r w:rsidR="00474434" w:rsidRPr="005B77DB">
        <w:rPr>
          <w:rFonts w:ascii="Times New Roman" w:hAnsi="Times New Roman" w:cs="Times New Roman"/>
          <w:sz w:val="28"/>
          <w:szCs w:val="28"/>
        </w:rPr>
        <w:t>)</w:t>
      </w:r>
      <w:r w:rsidR="00046963" w:rsidRPr="005B77DB">
        <w:rPr>
          <w:rFonts w:ascii="Times New Roman" w:hAnsi="Times New Roman" w:cs="Times New Roman"/>
          <w:sz w:val="28"/>
          <w:szCs w:val="28"/>
        </w:rPr>
        <w:t xml:space="preserve"> </w:t>
      </w:r>
      <w:r w:rsidR="00C446C3">
        <w:rPr>
          <w:rFonts w:ascii="Times New Roman" w:hAnsi="Times New Roman" w:cs="Times New Roman"/>
          <w:sz w:val="28"/>
          <w:szCs w:val="28"/>
        </w:rPr>
        <w:t>Though Petitioners support</w:t>
      </w:r>
      <w:r w:rsidR="0055170D">
        <w:rPr>
          <w:rFonts w:ascii="Times New Roman" w:hAnsi="Times New Roman" w:cs="Times New Roman"/>
          <w:sz w:val="28"/>
          <w:szCs w:val="28"/>
        </w:rPr>
        <w:t xml:space="preserve"> </w:t>
      </w:r>
      <w:r w:rsidR="00C446C3">
        <w:rPr>
          <w:rFonts w:ascii="Times New Roman" w:hAnsi="Times New Roman" w:cs="Times New Roman"/>
          <w:sz w:val="28"/>
          <w:szCs w:val="28"/>
        </w:rPr>
        <w:t xml:space="preserve">the development of a differentiated case management approach that would allow </w:t>
      </w:r>
      <w:r w:rsidR="00F41F62">
        <w:rPr>
          <w:rFonts w:ascii="Times New Roman" w:hAnsi="Times New Roman" w:cs="Times New Roman"/>
          <w:sz w:val="28"/>
          <w:szCs w:val="28"/>
        </w:rPr>
        <w:t xml:space="preserve">even </w:t>
      </w:r>
      <w:r w:rsidR="00C446C3">
        <w:rPr>
          <w:rFonts w:ascii="Times New Roman" w:hAnsi="Times New Roman" w:cs="Times New Roman"/>
          <w:sz w:val="28"/>
          <w:szCs w:val="28"/>
        </w:rPr>
        <w:t xml:space="preserve">more time for presentation of evidence in cases that require it, we </w:t>
      </w:r>
      <w:r w:rsidR="00046963" w:rsidRPr="005B77DB">
        <w:rPr>
          <w:rFonts w:ascii="Times New Roman" w:hAnsi="Times New Roman" w:cs="Times New Roman"/>
          <w:sz w:val="28"/>
          <w:szCs w:val="28"/>
        </w:rPr>
        <w:t xml:space="preserve">disagree with group’s premise that </w:t>
      </w:r>
      <w:r w:rsidR="00C446C3">
        <w:rPr>
          <w:rFonts w:ascii="Times New Roman" w:hAnsi="Times New Roman" w:cs="Times New Roman"/>
          <w:sz w:val="28"/>
          <w:szCs w:val="28"/>
        </w:rPr>
        <w:t xml:space="preserve">time constraints </w:t>
      </w:r>
      <w:r w:rsidR="002D2016">
        <w:rPr>
          <w:rFonts w:ascii="Times New Roman" w:hAnsi="Times New Roman" w:cs="Times New Roman"/>
          <w:sz w:val="28"/>
          <w:szCs w:val="28"/>
        </w:rPr>
        <w:t>can or should</w:t>
      </w:r>
      <w:r w:rsidR="00D754EC">
        <w:rPr>
          <w:rFonts w:ascii="Times New Roman" w:hAnsi="Times New Roman" w:cs="Times New Roman"/>
          <w:sz w:val="28"/>
          <w:szCs w:val="28"/>
        </w:rPr>
        <w:t xml:space="preserve"> be addressed by</w:t>
      </w:r>
      <w:r w:rsidR="00046963" w:rsidRPr="005B77DB">
        <w:rPr>
          <w:rFonts w:ascii="Times New Roman" w:hAnsi="Times New Roman" w:cs="Times New Roman"/>
          <w:sz w:val="28"/>
          <w:szCs w:val="28"/>
        </w:rPr>
        <w:t xml:space="preserve"> the appointment of special masters in cases where one party objects</w:t>
      </w:r>
      <w:r w:rsidR="00C446C3">
        <w:rPr>
          <w:rFonts w:ascii="Times New Roman" w:hAnsi="Times New Roman" w:cs="Times New Roman"/>
          <w:sz w:val="28"/>
          <w:szCs w:val="28"/>
        </w:rPr>
        <w:t xml:space="preserve">. </w:t>
      </w:r>
    </w:p>
    <w:p w:rsidR="00046963" w:rsidRPr="0055170D" w:rsidRDefault="00382AA3" w:rsidP="007D3B78">
      <w:pPr>
        <w:spacing w:after="120"/>
        <w:jc w:val="both"/>
        <w:rPr>
          <w:rFonts w:ascii="Times New Roman" w:hAnsi="Times New Roman" w:cs="Times New Roman"/>
          <w:sz w:val="28"/>
          <w:szCs w:val="28"/>
          <w:u w:val="single"/>
        </w:rPr>
      </w:pPr>
      <w:r w:rsidRPr="0055170D">
        <w:rPr>
          <w:rFonts w:ascii="Times New Roman" w:hAnsi="Times New Roman" w:cs="Times New Roman"/>
          <w:sz w:val="28"/>
          <w:szCs w:val="28"/>
          <w:u w:val="single"/>
        </w:rPr>
        <w:t>Rule 72 and Rule 74</w:t>
      </w:r>
    </w:p>
    <w:p w:rsidR="0099291E" w:rsidRDefault="00382AA3" w:rsidP="0099291E">
      <w:pPr>
        <w:spacing w:after="120"/>
        <w:jc w:val="both"/>
        <w:rPr>
          <w:rFonts w:ascii="Times New Roman" w:eastAsia="Times New Roman" w:hAnsi="Times New Roman" w:cs="Times New Roman"/>
          <w:sz w:val="28"/>
          <w:szCs w:val="28"/>
        </w:rPr>
      </w:pPr>
      <w:r w:rsidRPr="005B77DB">
        <w:rPr>
          <w:rFonts w:ascii="Times New Roman" w:hAnsi="Times New Roman" w:cs="Times New Roman"/>
          <w:sz w:val="28"/>
          <w:szCs w:val="28"/>
        </w:rPr>
        <w:tab/>
        <w:t xml:space="preserve">Petitioners disagree with the group that special masters can be appointed to deal with Legal Decision Making and Parenting Time issues. </w:t>
      </w:r>
      <w:r w:rsidRPr="005B77DB">
        <w:rPr>
          <w:rFonts w:ascii="Times New Roman" w:eastAsia="Times New Roman" w:hAnsi="Times New Roman" w:cs="Times New Roman"/>
          <w:sz w:val="28"/>
          <w:szCs w:val="28"/>
        </w:rPr>
        <w:t>A.R.S. § 25–403.B explicitly requires that “the court shall make specific findings on the record about all relevant factors and the reasons for which the decision is in the best interests of the child.” The rationale for why this requirement exists is not only to aid an appellat</w:t>
      </w:r>
      <w:r w:rsidR="00AF580F">
        <w:rPr>
          <w:rFonts w:ascii="Times New Roman" w:eastAsia="Times New Roman" w:hAnsi="Times New Roman" w:cs="Times New Roman"/>
          <w:sz w:val="28"/>
          <w:szCs w:val="28"/>
        </w:rPr>
        <w:t>e</w:t>
      </w:r>
      <w:r w:rsidRPr="005B77DB">
        <w:rPr>
          <w:rFonts w:ascii="Times New Roman" w:eastAsia="Times New Roman" w:hAnsi="Times New Roman" w:cs="Times New Roman"/>
          <w:sz w:val="28"/>
          <w:szCs w:val="28"/>
        </w:rPr>
        <w:t xml:space="preserve"> court, but also to “</w:t>
      </w:r>
      <w:proofErr w:type="gramStart"/>
      <w:r w:rsidRPr="005B77DB">
        <w:rPr>
          <w:rFonts w:ascii="Times New Roman" w:eastAsia="Times New Roman" w:hAnsi="Times New Roman" w:cs="Times New Roman"/>
          <w:sz w:val="28"/>
          <w:szCs w:val="28"/>
        </w:rPr>
        <w:t>aid[</w:t>
      </w:r>
      <w:proofErr w:type="gramEnd"/>
      <w:r w:rsidRPr="005B77DB">
        <w:rPr>
          <w:rFonts w:ascii="Times New Roman" w:eastAsia="Times New Roman" w:hAnsi="Times New Roman" w:cs="Times New Roman"/>
          <w:sz w:val="28"/>
          <w:szCs w:val="28"/>
        </w:rPr>
        <w:t>] all parties and the family court in determining the best interests of the child or children both currently and in the future.</w:t>
      </w:r>
      <w:r w:rsidR="006D4EE6">
        <w:rPr>
          <w:rFonts w:ascii="Times New Roman" w:eastAsia="Times New Roman" w:hAnsi="Times New Roman" w:cs="Times New Roman"/>
          <w:sz w:val="28"/>
          <w:szCs w:val="28"/>
        </w:rPr>
        <w:t>”</w:t>
      </w:r>
      <w:r w:rsidRPr="005B77DB">
        <w:rPr>
          <w:rFonts w:ascii="Times New Roman" w:eastAsia="Times New Roman" w:hAnsi="Times New Roman" w:cs="Times New Roman"/>
          <w:sz w:val="28"/>
          <w:szCs w:val="28"/>
        </w:rPr>
        <w:t xml:space="preserve"> </w:t>
      </w:r>
      <w:proofErr w:type="gramStart"/>
      <w:r w:rsidRPr="00382AA3">
        <w:rPr>
          <w:rFonts w:ascii="Times New Roman" w:eastAsia="Times New Roman" w:hAnsi="Times New Roman" w:cs="Times New Roman"/>
          <w:i/>
          <w:sz w:val="28"/>
          <w:szCs w:val="28"/>
        </w:rPr>
        <w:t>Reid v. Reid</w:t>
      </w:r>
      <w:r w:rsidRPr="00382AA3">
        <w:rPr>
          <w:rFonts w:ascii="Times New Roman" w:eastAsia="Times New Roman" w:hAnsi="Times New Roman" w:cs="Times New Roman"/>
          <w:sz w:val="28"/>
          <w:szCs w:val="28"/>
        </w:rPr>
        <w:t>, 222 Ariz. 204, 209, 213 P.3d 353, 358 (App. 2009)</w:t>
      </w:r>
      <w:r w:rsidRPr="005B77DB">
        <w:rPr>
          <w:rFonts w:ascii="Times New Roman" w:eastAsia="Times New Roman" w:hAnsi="Times New Roman" w:cs="Times New Roman"/>
          <w:sz w:val="28"/>
          <w:szCs w:val="28"/>
        </w:rPr>
        <w:t>.</w:t>
      </w:r>
      <w:proofErr w:type="gramEnd"/>
      <w:r w:rsidRPr="005B77DB">
        <w:rPr>
          <w:rFonts w:ascii="Times New Roman" w:eastAsia="Times New Roman" w:hAnsi="Times New Roman" w:cs="Times New Roman"/>
          <w:sz w:val="28"/>
          <w:szCs w:val="28"/>
        </w:rPr>
        <w:t xml:space="preserve"> As cited in the </w:t>
      </w:r>
      <w:r w:rsidR="00821B4E">
        <w:rPr>
          <w:rFonts w:ascii="Times New Roman" w:eastAsia="Times New Roman" w:hAnsi="Times New Roman" w:cs="Times New Roman"/>
          <w:sz w:val="28"/>
          <w:szCs w:val="28"/>
        </w:rPr>
        <w:t>P</w:t>
      </w:r>
      <w:r w:rsidRPr="005B77DB">
        <w:rPr>
          <w:rFonts w:ascii="Times New Roman" w:eastAsia="Times New Roman" w:hAnsi="Times New Roman" w:cs="Times New Roman"/>
          <w:sz w:val="28"/>
          <w:szCs w:val="28"/>
        </w:rPr>
        <w:t xml:space="preserve">etition to </w:t>
      </w:r>
      <w:r w:rsidR="00821B4E">
        <w:rPr>
          <w:rFonts w:ascii="Times New Roman" w:eastAsia="Times New Roman" w:hAnsi="Times New Roman" w:cs="Times New Roman"/>
          <w:sz w:val="28"/>
          <w:szCs w:val="28"/>
        </w:rPr>
        <w:t>A</w:t>
      </w:r>
      <w:r w:rsidRPr="005B77DB">
        <w:rPr>
          <w:rFonts w:ascii="Times New Roman" w:eastAsia="Times New Roman" w:hAnsi="Times New Roman" w:cs="Times New Roman"/>
          <w:sz w:val="28"/>
          <w:szCs w:val="28"/>
        </w:rPr>
        <w:t xml:space="preserve">mend Rule 72, this obligation requires “the family court … to </w:t>
      </w:r>
      <w:r w:rsidR="005B77DB" w:rsidRPr="005B77DB">
        <w:rPr>
          <w:rFonts w:ascii="Times New Roman" w:eastAsia="Times New Roman" w:hAnsi="Times New Roman" w:cs="Times New Roman"/>
          <w:sz w:val="28"/>
          <w:szCs w:val="28"/>
        </w:rPr>
        <w:t>independently</w:t>
      </w:r>
      <w:r w:rsidRPr="005B77DB">
        <w:rPr>
          <w:rFonts w:ascii="Times New Roman" w:eastAsia="Times New Roman" w:hAnsi="Times New Roman" w:cs="Times New Roman"/>
          <w:sz w:val="28"/>
          <w:szCs w:val="28"/>
        </w:rPr>
        <w:t xml:space="preserve"> weigh the evidence in determi</w:t>
      </w:r>
      <w:r w:rsidR="005B77DB" w:rsidRPr="005B77DB">
        <w:rPr>
          <w:rFonts w:ascii="Times New Roman" w:eastAsia="Times New Roman" w:hAnsi="Times New Roman" w:cs="Times New Roman"/>
          <w:sz w:val="28"/>
          <w:szCs w:val="28"/>
        </w:rPr>
        <w:t>ni</w:t>
      </w:r>
      <w:r w:rsidRPr="005B77DB">
        <w:rPr>
          <w:rFonts w:ascii="Times New Roman" w:eastAsia="Times New Roman" w:hAnsi="Times New Roman" w:cs="Times New Roman"/>
          <w:sz w:val="28"/>
          <w:szCs w:val="28"/>
        </w:rPr>
        <w:t>ng the children’</w:t>
      </w:r>
      <w:r w:rsidR="005B77DB" w:rsidRPr="005B77DB">
        <w:rPr>
          <w:rFonts w:ascii="Times New Roman" w:eastAsia="Times New Roman" w:hAnsi="Times New Roman" w:cs="Times New Roman"/>
          <w:sz w:val="28"/>
          <w:szCs w:val="28"/>
        </w:rPr>
        <w:t xml:space="preserve">s best interests.” </w:t>
      </w:r>
      <w:proofErr w:type="spellStart"/>
      <w:proofErr w:type="gramStart"/>
      <w:r w:rsidR="005B77DB" w:rsidRPr="005B77DB">
        <w:rPr>
          <w:rFonts w:ascii="Times New Roman" w:eastAsia="Times New Roman" w:hAnsi="Times New Roman" w:cs="Times New Roman"/>
          <w:i/>
          <w:sz w:val="28"/>
          <w:szCs w:val="28"/>
        </w:rPr>
        <w:t>Nold</w:t>
      </w:r>
      <w:proofErr w:type="spellEnd"/>
      <w:r w:rsidR="005B77DB" w:rsidRPr="005B77DB">
        <w:rPr>
          <w:rFonts w:ascii="Times New Roman" w:eastAsia="Times New Roman" w:hAnsi="Times New Roman" w:cs="Times New Roman"/>
          <w:i/>
          <w:sz w:val="28"/>
          <w:szCs w:val="28"/>
        </w:rPr>
        <w:t xml:space="preserve"> v. </w:t>
      </w:r>
      <w:proofErr w:type="spellStart"/>
      <w:r w:rsidR="005B77DB" w:rsidRPr="005B77DB">
        <w:rPr>
          <w:rFonts w:ascii="Times New Roman" w:eastAsia="Times New Roman" w:hAnsi="Times New Roman" w:cs="Times New Roman"/>
          <w:i/>
          <w:sz w:val="28"/>
          <w:szCs w:val="28"/>
        </w:rPr>
        <w:t>Nold</w:t>
      </w:r>
      <w:proofErr w:type="spellEnd"/>
      <w:r w:rsidR="005B77DB" w:rsidRPr="005B77DB">
        <w:rPr>
          <w:rFonts w:ascii="Times New Roman" w:eastAsia="Times New Roman" w:hAnsi="Times New Roman" w:cs="Times New Roman"/>
          <w:sz w:val="28"/>
          <w:szCs w:val="28"/>
        </w:rPr>
        <w:t>, 232 Ariz. 270, 273-74 ¶ 14, 304 P.3d 1093, 1096-97 ¶ 14 (App. 2013).</w:t>
      </w:r>
      <w:proofErr w:type="gramEnd"/>
      <w:r w:rsidR="005B77DB" w:rsidRPr="005B77DB">
        <w:rPr>
          <w:rFonts w:ascii="Times New Roman" w:eastAsia="Times New Roman" w:hAnsi="Times New Roman" w:cs="Times New Roman"/>
          <w:sz w:val="28"/>
          <w:szCs w:val="28"/>
        </w:rPr>
        <w:t xml:space="preserve"> The Court in </w:t>
      </w:r>
      <w:proofErr w:type="spellStart"/>
      <w:r w:rsidR="005B77DB" w:rsidRPr="005B77DB">
        <w:rPr>
          <w:rFonts w:ascii="Times New Roman" w:eastAsia="Times New Roman" w:hAnsi="Times New Roman" w:cs="Times New Roman"/>
          <w:i/>
          <w:sz w:val="28"/>
          <w:szCs w:val="28"/>
        </w:rPr>
        <w:t>Nold</w:t>
      </w:r>
      <w:proofErr w:type="spellEnd"/>
      <w:r w:rsidR="005B77DB" w:rsidRPr="005B77DB">
        <w:rPr>
          <w:rFonts w:ascii="Times New Roman" w:eastAsia="Times New Roman" w:hAnsi="Times New Roman" w:cs="Times New Roman"/>
          <w:i/>
          <w:sz w:val="28"/>
          <w:szCs w:val="28"/>
        </w:rPr>
        <w:t xml:space="preserve"> </w:t>
      </w:r>
      <w:r w:rsidR="005B77DB" w:rsidRPr="005B77DB">
        <w:rPr>
          <w:rFonts w:ascii="Times New Roman" w:eastAsia="Times New Roman" w:hAnsi="Times New Roman" w:cs="Times New Roman"/>
          <w:sz w:val="28"/>
          <w:szCs w:val="28"/>
        </w:rPr>
        <w:t>held</w:t>
      </w:r>
    </w:p>
    <w:p w:rsidR="0099291E" w:rsidRDefault="0099291E" w:rsidP="0099291E">
      <w:pPr>
        <w:spacing w:after="120"/>
        <w:ind w:left="720" w:righ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5B77DB" w:rsidRPr="005B77DB">
        <w:rPr>
          <w:rFonts w:ascii="Times New Roman" w:eastAsia="Times New Roman" w:hAnsi="Times New Roman" w:cs="Times New Roman"/>
          <w:sz w:val="28"/>
          <w:szCs w:val="28"/>
        </w:rPr>
        <w:t xml:space="preserve">he family court </w:t>
      </w:r>
      <w:r w:rsidR="005B77DB">
        <w:rPr>
          <w:rFonts w:ascii="Times New Roman" w:eastAsia="Times New Roman" w:hAnsi="Times New Roman" w:cs="Times New Roman"/>
          <w:sz w:val="28"/>
          <w:szCs w:val="28"/>
        </w:rPr>
        <w:t>‘</w:t>
      </w:r>
      <w:r w:rsidR="005B77DB" w:rsidRPr="005B77DB">
        <w:rPr>
          <w:rFonts w:ascii="Times New Roman" w:eastAsia="Times New Roman" w:hAnsi="Times New Roman" w:cs="Times New Roman"/>
          <w:sz w:val="28"/>
          <w:szCs w:val="28"/>
        </w:rPr>
        <w:t>can neither delegate a judicial decision to an expert witness nor abdicate its responsibility to exercise independent judgment.</w:t>
      </w:r>
      <w:r>
        <w:rPr>
          <w:rFonts w:ascii="Times New Roman" w:eastAsia="Times New Roman" w:hAnsi="Times New Roman" w:cs="Times New Roman"/>
          <w:sz w:val="28"/>
          <w:szCs w:val="28"/>
        </w:rPr>
        <w:t xml:space="preserve"> The best interests of the child . . .  are for the [family] court alone to decide.’</w:t>
      </w:r>
    </w:p>
    <w:p w:rsidR="005B77DB" w:rsidRDefault="005B77DB" w:rsidP="0099291E">
      <w:pPr>
        <w:spacing w:after="120"/>
        <w:jc w:val="both"/>
        <w:rPr>
          <w:rFonts w:ascii="Times New Roman" w:eastAsia="Times New Roman" w:hAnsi="Times New Roman" w:cs="Times New Roman"/>
          <w:sz w:val="28"/>
          <w:szCs w:val="28"/>
        </w:rPr>
      </w:pPr>
      <w:r w:rsidRPr="005B77DB">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Nold</w:t>
      </w:r>
      <w:proofErr w:type="spellEnd"/>
      <w:r>
        <w:rPr>
          <w:rFonts w:ascii="Times New Roman" w:eastAsia="Times New Roman" w:hAnsi="Times New Roman" w:cs="Times New Roman"/>
          <w:i/>
          <w:sz w:val="28"/>
          <w:szCs w:val="28"/>
        </w:rPr>
        <w:t>;</w:t>
      </w:r>
      <w:r w:rsidR="0099291E">
        <w:rPr>
          <w:rFonts w:ascii="Times New Roman" w:eastAsia="Times New Roman" w:hAnsi="Times New Roman" w:cs="Times New Roman"/>
          <w:i/>
          <w:sz w:val="28"/>
          <w:szCs w:val="28"/>
        </w:rPr>
        <w:t xml:space="preserve"> supra; citing </w:t>
      </w:r>
      <w:proofErr w:type="spellStart"/>
      <w:r>
        <w:rPr>
          <w:rFonts w:ascii="Times New Roman" w:eastAsia="Times New Roman" w:hAnsi="Times New Roman" w:cs="Times New Roman"/>
          <w:i/>
          <w:iCs/>
          <w:sz w:val="28"/>
          <w:szCs w:val="28"/>
        </w:rPr>
        <w:t>DePasquale</w:t>
      </w:r>
      <w:proofErr w:type="spellEnd"/>
      <w:r>
        <w:rPr>
          <w:rFonts w:ascii="Times New Roman" w:eastAsia="Times New Roman" w:hAnsi="Times New Roman" w:cs="Times New Roman"/>
          <w:i/>
          <w:iCs/>
          <w:sz w:val="28"/>
          <w:szCs w:val="28"/>
        </w:rPr>
        <w:t xml:space="preserve"> v. Superior Court (Thrasher), </w:t>
      </w:r>
      <w:r>
        <w:rPr>
          <w:rFonts w:ascii="Times New Roman" w:eastAsia="Times New Roman" w:hAnsi="Times New Roman" w:cs="Times New Roman"/>
          <w:sz w:val="28"/>
          <w:szCs w:val="28"/>
        </w:rPr>
        <w:t>181 Ariz. 333, 336, 890 P.2d 628, 631 (App.1995).</w:t>
      </w:r>
    </w:p>
    <w:p w:rsidR="0099291E" w:rsidRDefault="0099291E" w:rsidP="0099291E">
      <w:pPr>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If the trial court cannot abdicate its responsibility to exercise independent judgment regarding parenting time and legal decision making, it </w:t>
      </w:r>
      <w:r w:rsidR="005E0052">
        <w:rPr>
          <w:rFonts w:ascii="Times New Roman" w:eastAsia="Times New Roman" w:hAnsi="Times New Roman" w:cs="Times New Roman"/>
          <w:sz w:val="28"/>
          <w:szCs w:val="28"/>
        </w:rPr>
        <w:t>logically follows</w:t>
      </w:r>
      <w:r>
        <w:rPr>
          <w:rFonts w:ascii="Times New Roman" w:eastAsia="Times New Roman" w:hAnsi="Times New Roman" w:cs="Times New Roman"/>
          <w:sz w:val="28"/>
          <w:szCs w:val="28"/>
        </w:rPr>
        <w:t xml:space="preserve"> that a referral of those duties to a special master is not authorized even by stipulation. This Court in amending Rule </w:t>
      </w:r>
      <w:r w:rsidR="001F428C">
        <w:rPr>
          <w:rFonts w:ascii="Times New Roman" w:eastAsia="Times New Roman" w:hAnsi="Times New Roman" w:cs="Times New Roman"/>
          <w:sz w:val="28"/>
          <w:szCs w:val="28"/>
        </w:rPr>
        <w:t>74</w:t>
      </w:r>
      <w:r>
        <w:rPr>
          <w:rFonts w:ascii="Times New Roman" w:eastAsia="Times New Roman" w:hAnsi="Times New Roman" w:cs="Times New Roman"/>
          <w:sz w:val="28"/>
          <w:szCs w:val="28"/>
        </w:rPr>
        <w:t xml:space="preserve"> implicitly recognized </w:t>
      </w:r>
      <w:r w:rsidR="001F428C">
        <w:rPr>
          <w:rFonts w:ascii="Times New Roman" w:eastAsia="Times New Roman" w:hAnsi="Times New Roman" w:cs="Times New Roman"/>
          <w:sz w:val="28"/>
          <w:szCs w:val="28"/>
        </w:rPr>
        <w:t xml:space="preserve">that such responsibility cannot be referred to a non-judicial officer by stipulation. See Rule 74.h, </w:t>
      </w:r>
      <w:proofErr w:type="spellStart"/>
      <w:r w:rsidR="001F428C">
        <w:rPr>
          <w:rFonts w:ascii="Times New Roman" w:eastAsia="Times New Roman" w:hAnsi="Times New Roman" w:cs="Times New Roman"/>
          <w:sz w:val="28"/>
          <w:szCs w:val="28"/>
        </w:rPr>
        <w:t>Ariz.R.Fam.Pro</w:t>
      </w:r>
      <w:proofErr w:type="spellEnd"/>
      <w:r w:rsidR="001F428C">
        <w:rPr>
          <w:rFonts w:ascii="Times New Roman" w:eastAsia="Times New Roman" w:hAnsi="Times New Roman" w:cs="Times New Roman"/>
          <w:sz w:val="28"/>
          <w:szCs w:val="28"/>
        </w:rPr>
        <w:t>. (</w:t>
      </w:r>
      <w:proofErr w:type="gramStart"/>
      <w:r w:rsidR="001F428C">
        <w:rPr>
          <w:rFonts w:ascii="Times New Roman" w:eastAsia="Times New Roman" w:hAnsi="Times New Roman" w:cs="Times New Roman"/>
          <w:sz w:val="28"/>
          <w:szCs w:val="28"/>
        </w:rPr>
        <w:t>prohibiting</w:t>
      </w:r>
      <w:proofErr w:type="gramEnd"/>
      <w:r w:rsidR="001F428C">
        <w:rPr>
          <w:rFonts w:ascii="Times New Roman" w:eastAsia="Times New Roman" w:hAnsi="Times New Roman" w:cs="Times New Roman"/>
          <w:sz w:val="28"/>
          <w:szCs w:val="28"/>
        </w:rPr>
        <w:t xml:space="preserve"> a parenting coordinator from addressing legal decision making or substantially changing parenting time). </w:t>
      </w:r>
    </w:p>
    <w:p w:rsidR="001F428C" w:rsidRDefault="001F428C" w:rsidP="0099291E">
      <w:pPr>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To avoid the conflict with the statute, the </w:t>
      </w:r>
      <w:r w:rsidR="00777F4A">
        <w:rPr>
          <w:rFonts w:ascii="Times New Roman" w:eastAsia="Times New Roman" w:hAnsi="Times New Roman" w:cs="Times New Roman"/>
          <w:sz w:val="28"/>
          <w:szCs w:val="28"/>
        </w:rPr>
        <w:t>comment</w:t>
      </w:r>
      <w:r>
        <w:rPr>
          <w:rFonts w:ascii="Times New Roman" w:eastAsia="Times New Roman" w:hAnsi="Times New Roman" w:cs="Times New Roman"/>
          <w:sz w:val="28"/>
          <w:szCs w:val="28"/>
        </w:rPr>
        <w:t xml:space="preserve"> proposes that after </w:t>
      </w:r>
      <w:r w:rsidR="00777F4A">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 special master rules on issues of parenting time and legal decision making, that the trial court shall review those findings </w:t>
      </w:r>
      <w:r w:rsidRPr="001F428C">
        <w:rPr>
          <w:rFonts w:ascii="Times New Roman" w:eastAsia="Times New Roman" w:hAnsi="Times New Roman" w:cs="Times New Roman"/>
          <w:i/>
          <w:sz w:val="28"/>
          <w:szCs w:val="28"/>
        </w:rPr>
        <w:t>de novo</w:t>
      </w:r>
      <w:r>
        <w:rPr>
          <w:rFonts w:ascii="Times New Roman" w:eastAsia="Times New Roman" w:hAnsi="Times New Roman" w:cs="Times New Roman"/>
          <w:sz w:val="28"/>
          <w:szCs w:val="28"/>
        </w:rPr>
        <w:t xml:space="preserve">. Such a procedure would simply make the special master hearing a </w:t>
      </w:r>
      <w:r w:rsidR="00777F4A">
        <w:rPr>
          <w:rFonts w:ascii="Times New Roman" w:eastAsia="Times New Roman" w:hAnsi="Times New Roman" w:cs="Times New Roman"/>
          <w:sz w:val="28"/>
          <w:szCs w:val="28"/>
        </w:rPr>
        <w:t xml:space="preserve">costly </w:t>
      </w:r>
      <w:r>
        <w:rPr>
          <w:rFonts w:ascii="Times New Roman" w:eastAsia="Times New Roman" w:hAnsi="Times New Roman" w:cs="Times New Roman"/>
          <w:sz w:val="28"/>
          <w:szCs w:val="28"/>
        </w:rPr>
        <w:t xml:space="preserve">dry run for the main event before the trial court. As the </w:t>
      </w:r>
      <w:r w:rsidRPr="001F428C">
        <w:rPr>
          <w:rFonts w:ascii="Times New Roman" w:eastAsia="Times New Roman" w:hAnsi="Times New Roman" w:cs="Times New Roman"/>
          <w:i/>
          <w:sz w:val="28"/>
          <w:szCs w:val="28"/>
        </w:rPr>
        <w:t>Volk</w:t>
      </w:r>
      <w:r>
        <w:rPr>
          <w:rFonts w:ascii="Times New Roman" w:eastAsia="Times New Roman" w:hAnsi="Times New Roman" w:cs="Times New Roman"/>
          <w:sz w:val="28"/>
          <w:szCs w:val="28"/>
        </w:rPr>
        <w:t xml:space="preserve"> court noted, to make the best interest determination</w:t>
      </w:r>
      <w:r w:rsidR="00777F4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the trial court </w:t>
      </w:r>
      <w:r w:rsidR="00777F4A">
        <w:rPr>
          <w:rFonts w:ascii="Times New Roman" w:eastAsia="Times New Roman" w:hAnsi="Times New Roman" w:cs="Times New Roman"/>
          <w:sz w:val="28"/>
          <w:szCs w:val="28"/>
        </w:rPr>
        <w:t>may</w:t>
      </w:r>
      <w:r>
        <w:rPr>
          <w:rFonts w:ascii="Times New Roman" w:eastAsia="Times New Roman" w:hAnsi="Times New Roman" w:cs="Times New Roman"/>
          <w:sz w:val="28"/>
          <w:szCs w:val="28"/>
        </w:rPr>
        <w:t xml:space="preserve"> not </w:t>
      </w:r>
      <w:r w:rsidR="00777F4A">
        <w:rPr>
          <w:rFonts w:ascii="Times New Roman" w:eastAsia="Times New Roman" w:hAnsi="Times New Roman" w:cs="Times New Roman"/>
          <w:sz w:val="28"/>
          <w:szCs w:val="28"/>
        </w:rPr>
        <w:t>simply</w:t>
      </w:r>
      <w:r>
        <w:rPr>
          <w:rFonts w:ascii="Times New Roman" w:eastAsia="Times New Roman" w:hAnsi="Times New Roman" w:cs="Times New Roman"/>
          <w:sz w:val="28"/>
          <w:szCs w:val="28"/>
        </w:rPr>
        <w:t xml:space="preserve"> rely on affidavits. </w:t>
      </w:r>
      <w:r w:rsidR="00BB60F8">
        <w:rPr>
          <w:rFonts w:ascii="Times New Roman" w:eastAsia="Times New Roman" w:hAnsi="Times New Roman" w:cs="Times New Roman"/>
          <w:sz w:val="28"/>
          <w:szCs w:val="28"/>
        </w:rPr>
        <w:t xml:space="preserve">To independently assess the credibility of the evidence regarding the best interest of the children, the trial </w:t>
      </w:r>
      <w:r w:rsidR="007638A3">
        <w:rPr>
          <w:rFonts w:ascii="Times New Roman" w:eastAsia="Times New Roman" w:hAnsi="Times New Roman" w:cs="Times New Roman"/>
          <w:sz w:val="28"/>
          <w:szCs w:val="28"/>
        </w:rPr>
        <w:t>court assesses</w:t>
      </w:r>
      <w:r w:rsidR="00BB60F8">
        <w:rPr>
          <w:rFonts w:ascii="Times New Roman" w:eastAsia="Times New Roman" w:hAnsi="Times New Roman" w:cs="Times New Roman"/>
          <w:sz w:val="28"/>
          <w:szCs w:val="28"/>
        </w:rPr>
        <w:t xml:space="preserve"> the credibility of </w:t>
      </w:r>
      <w:r w:rsidR="007638A3">
        <w:rPr>
          <w:rFonts w:ascii="Times New Roman" w:eastAsia="Times New Roman" w:hAnsi="Times New Roman" w:cs="Times New Roman"/>
          <w:sz w:val="28"/>
          <w:szCs w:val="28"/>
        </w:rPr>
        <w:t>each</w:t>
      </w:r>
      <w:r w:rsidR="00BB60F8">
        <w:rPr>
          <w:rFonts w:ascii="Times New Roman" w:eastAsia="Times New Roman" w:hAnsi="Times New Roman" w:cs="Times New Roman"/>
          <w:sz w:val="28"/>
          <w:szCs w:val="28"/>
        </w:rPr>
        <w:t xml:space="preserve"> wi</w:t>
      </w:r>
      <w:r w:rsidR="007638A3">
        <w:rPr>
          <w:rFonts w:ascii="Times New Roman" w:eastAsia="Times New Roman" w:hAnsi="Times New Roman" w:cs="Times New Roman"/>
          <w:sz w:val="28"/>
          <w:szCs w:val="28"/>
        </w:rPr>
        <w:t xml:space="preserve">tness. </w:t>
      </w:r>
      <w:r w:rsidR="00AE6ACA">
        <w:rPr>
          <w:rFonts w:ascii="Times New Roman" w:eastAsia="Times New Roman" w:hAnsi="Times New Roman" w:cs="Times New Roman"/>
          <w:sz w:val="28"/>
          <w:szCs w:val="28"/>
        </w:rPr>
        <w:t xml:space="preserve">This can be done only by presenting the evidence to the trial court in a hearing. A referral to a special master would only expand the cost of litigation; it would </w:t>
      </w:r>
      <w:r w:rsidR="00777F4A" w:rsidRPr="00777F4A">
        <w:rPr>
          <w:rFonts w:ascii="Times New Roman" w:eastAsia="Times New Roman" w:hAnsi="Times New Roman" w:cs="Times New Roman"/>
          <w:i/>
          <w:sz w:val="28"/>
          <w:szCs w:val="28"/>
        </w:rPr>
        <w:t>lengthen</w:t>
      </w:r>
      <w:r w:rsidR="00AE6ACA">
        <w:rPr>
          <w:rFonts w:ascii="Times New Roman" w:eastAsia="Times New Roman" w:hAnsi="Times New Roman" w:cs="Times New Roman"/>
          <w:sz w:val="28"/>
          <w:szCs w:val="28"/>
        </w:rPr>
        <w:t xml:space="preserve"> the time to resolution </w:t>
      </w:r>
      <w:r w:rsidR="00777F4A">
        <w:rPr>
          <w:rFonts w:ascii="Times New Roman" w:eastAsia="Times New Roman" w:hAnsi="Times New Roman" w:cs="Times New Roman"/>
          <w:sz w:val="28"/>
          <w:szCs w:val="28"/>
        </w:rPr>
        <w:t xml:space="preserve">without </w:t>
      </w:r>
      <w:r w:rsidR="00AE6ACA">
        <w:rPr>
          <w:rFonts w:ascii="Times New Roman" w:eastAsia="Times New Roman" w:hAnsi="Times New Roman" w:cs="Times New Roman"/>
          <w:sz w:val="28"/>
          <w:szCs w:val="28"/>
        </w:rPr>
        <w:t>lessen</w:t>
      </w:r>
      <w:r w:rsidR="00777F4A">
        <w:rPr>
          <w:rFonts w:ascii="Times New Roman" w:eastAsia="Times New Roman" w:hAnsi="Times New Roman" w:cs="Times New Roman"/>
          <w:sz w:val="28"/>
          <w:szCs w:val="28"/>
        </w:rPr>
        <w:t>ing</w:t>
      </w:r>
      <w:r w:rsidR="00AE6ACA">
        <w:rPr>
          <w:rFonts w:ascii="Times New Roman" w:eastAsia="Times New Roman" w:hAnsi="Times New Roman" w:cs="Times New Roman"/>
          <w:sz w:val="28"/>
          <w:szCs w:val="28"/>
        </w:rPr>
        <w:t xml:space="preserve"> the burden on the family court judge. </w:t>
      </w:r>
    </w:p>
    <w:p w:rsidR="005E0052" w:rsidRDefault="00777F4A" w:rsidP="00D3423B">
      <w:pPr>
        <w:spacing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One might ask why Petitioners take this position in the face of the long history of Rule 53 in the civil arena in federal and state courts.  </w:t>
      </w:r>
      <w:r w:rsidR="005F330A">
        <w:rPr>
          <w:rFonts w:ascii="Times New Roman" w:eastAsia="Times New Roman" w:hAnsi="Times New Roman" w:cs="Times New Roman"/>
          <w:sz w:val="28"/>
          <w:szCs w:val="28"/>
        </w:rPr>
        <w:t>The answer is clear</w:t>
      </w:r>
      <w:r w:rsidR="00D3423B">
        <w:rPr>
          <w:rFonts w:ascii="Times New Roman" w:eastAsia="Times New Roman" w:hAnsi="Times New Roman" w:cs="Times New Roman"/>
          <w:sz w:val="28"/>
          <w:szCs w:val="28"/>
        </w:rPr>
        <w:t>.</w:t>
      </w:r>
      <w:r w:rsidR="005F330A">
        <w:rPr>
          <w:rFonts w:ascii="Times New Roman" w:eastAsia="Times New Roman" w:hAnsi="Times New Roman" w:cs="Times New Roman"/>
          <w:sz w:val="28"/>
          <w:szCs w:val="28"/>
        </w:rPr>
        <w:t xml:space="preserve">  F</w:t>
      </w:r>
      <w:r w:rsidR="00D3423B">
        <w:rPr>
          <w:rFonts w:ascii="Times New Roman" w:eastAsia="Times New Roman" w:hAnsi="Times New Roman" w:cs="Times New Roman"/>
          <w:sz w:val="28"/>
          <w:szCs w:val="28"/>
        </w:rPr>
        <w:t xml:space="preserve">amily cases are unlike civil cases in that there is no right to a jury – most determinations in family court go to ultimate issues in the case.  Though federal courts do not handle any family law matters, the federal courts of appeal have held that substitution of a special master for the court on ultimate issues </w:t>
      </w:r>
      <w:r w:rsidR="005F330A">
        <w:rPr>
          <w:rFonts w:ascii="Times New Roman" w:eastAsia="Times New Roman" w:hAnsi="Times New Roman" w:cs="Times New Roman"/>
          <w:sz w:val="28"/>
          <w:szCs w:val="28"/>
        </w:rPr>
        <w:t>is</w:t>
      </w:r>
      <w:r w:rsidR="00D3423B">
        <w:rPr>
          <w:rFonts w:ascii="Times New Roman" w:eastAsia="Times New Roman" w:hAnsi="Times New Roman" w:cs="Times New Roman"/>
          <w:sz w:val="28"/>
          <w:szCs w:val="28"/>
        </w:rPr>
        <w:t xml:space="preserve"> impermissible when even one party objects.  </w:t>
      </w:r>
      <w:r w:rsidR="00D3423B" w:rsidRPr="00D3423B">
        <w:rPr>
          <w:rFonts w:ascii="Times New Roman" w:eastAsia="Times New Roman" w:hAnsi="Times New Roman" w:cs="Times New Roman"/>
          <w:i/>
          <w:sz w:val="28"/>
          <w:szCs w:val="28"/>
        </w:rPr>
        <w:t>See</w:t>
      </w:r>
      <w:r w:rsidR="00D3423B" w:rsidRPr="00D3423B">
        <w:rPr>
          <w:rFonts w:ascii="Times New Roman" w:eastAsia="Times New Roman" w:hAnsi="Times New Roman" w:cs="Times New Roman"/>
          <w:u w:val="single"/>
        </w:rPr>
        <w:t xml:space="preserve"> </w:t>
      </w:r>
      <w:r w:rsidR="00D3423B" w:rsidRPr="00671018">
        <w:rPr>
          <w:rFonts w:ascii="Times New Roman" w:eastAsia="Times New Roman" w:hAnsi="Times New Roman" w:cs="Times New Roman"/>
          <w:i/>
          <w:sz w:val="28"/>
          <w:szCs w:val="28"/>
        </w:rPr>
        <w:t xml:space="preserve">In re Bituminous Coal Operators' </w:t>
      </w:r>
      <w:proofErr w:type="spellStart"/>
      <w:r w:rsidR="00D3423B" w:rsidRPr="00671018">
        <w:rPr>
          <w:rFonts w:ascii="Times New Roman" w:eastAsia="Times New Roman" w:hAnsi="Times New Roman" w:cs="Times New Roman"/>
          <w:i/>
          <w:sz w:val="28"/>
          <w:szCs w:val="28"/>
        </w:rPr>
        <w:t>Ass'n</w:t>
      </w:r>
      <w:proofErr w:type="spellEnd"/>
      <w:r w:rsidR="00D3423B" w:rsidRPr="00671018">
        <w:rPr>
          <w:rFonts w:ascii="Times New Roman" w:eastAsia="Times New Roman" w:hAnsi="Times New Roman" w:cs="Times New Roman"/>
          <w:i/>
          <w:sz w:val="28"/>
          <w:szCs w:val="28"/>
        </w:rPr>
        <w:t>, Inc.,</w:t>
      </w:r>
      <w:r w:rsidR="00D3423B" w:rsidRPr="00671018">
        <w:rPr>
          <w:rFonts w:ascii="Times New Roman" w:eastAsia="Times New Roman" w:hAnsi="Times New Roman" w:cs="Times New Roman"/>
          <w:sz w:val="28"/>
          <w:szCs w:val="28"/>
        </w:rPr>
        <w:t xml:space="preserve"> </w:t>
      </w:r>
      <w:proofErr w:type="gramStart"/>
      <w:r w:rsidR="00D3423B" w:rsidRPr="00671018">
        <w:rPr>
          <w:rFonts w:ascii="Times New Roman" w:eastAsia="Times New Roman" w:hAnsi="Times New Roman" w:cs="Times New Roman"/>
          <w:sz w:val="28"/>
          <w:szCs w:val="28"/>
        </w:rPr>
        <w:t>949 F.2d 1165, 1169</w:t>
      </w:r>
      <w:proofErr w:type="gramEnd"/>
      <w:r w:rsidR="00D3423B" w:rsidRPr="00671018">
        <w:rPr>
          <w:rFonts w:ascii="Times New Roman" w:eastAsia="Times New Roman" w:hAnsi="Times New Roman" w:cs="Times New Roman"/>
          <w:sz w:val="28"/>
          <w:szCs w:val="28"/>
        </w:rPr>
        <w:t xml:space="preserve"> (D.C. Cir. 1991)</w:t>
      </w:r>
      <w:r w:rsidR="00D3423B" w:rsidRPr="00D3423B">
        <w:rPr>
          <w:rFonts w:ascii="Times New Roman" w:eastAsia="Times New Roman" w:hAnsi="Times New Roman" w:cs="Times New Roman"/>
          <w:sz w:val="28"/>
          <w:szCs w:val="28"/>
        </w:rPr>
        <w:t xml:space="preserve"> (R.B. Ginsburg, J.) (“</w:t>
      </w:r>
      <w:proofErr w:type="gramStart"/>
      <w:r w:rsidR="00D3423B" w:rsidRPr="00671018">
        <w:rPr>
          <w:rFonts w:ascii="Times New Roman" w:eastAsia="Times New Roman" w:hAnsi="Times New Roman" w:cs="Times New Roman"/>
          <w:sz w:val="28"/>
          <w:szCs w:val="28"/>
        </w:rPr>
        <w:t>it</w:t>
      </w:r>
      <w:proofErr w:type="gramEnd"/>
      <w:r w:rsidR="00D3423B" w:rsidRPr="00671018">
        <w:rPr>
          <w:rFonts w:ascii="Times New Roman" w:eastAsia="Times New Roman" w:hAnsi="Times New Roman" w:cs="Times New Roman"/>
          <w:sz w:val="28"/>
          <w:szCs w:val="28"/>
        </w:rPr>
        <w:t xml:space="preserve"> is the function of the district judge, in a non-jury civil case, to decide dispositive issues of fact and law genuinely disputed by the parties. The judge may not impose on the parties, </w:t>
      </w:r>
      <w:r w:rsidR="00D3423B" w:rsidRPr="00D3423B">
        <w:rPr>
          <w:rFonts w:ascii="Times New Roman" w:eastAsia="Times New Roman" w:hAnsi="Times New Roman" w:cs="Times New Roman"/>
          <w:sz w:val="28"/>
          <w:szCs w:val="28"/>
        </w:rPr>
        <w:t>over</w:t>
      </w:r>
      <w:r w:rsidR="00D3423B" w:rsidRPr="00671018">
        <w:rPr>
          <w:rFonts w:ascii="Times New Roman" w:eastAsia="Times New Roman" w:hAnsi="Times New Roman" w:cs="Times New Roman"/>
          <w:sz w:val="28"/>
          <w:szCs w:val="28"/>
        </w:rPr>
        <w:t xml:space="preserve"> the </w:t>
      </w:r>
      <w:r w:rsidR="00D3423B" w:rsidRPr="00D3423B">
        <w:rPr>
          <w:rFonts w:ascii="Times New Roman" w:eastAsia="Times New Roman" w:hAnsi="Times New Roman" w:cs="Times New Roman"/>
          <w:sz w:val="28"/>
          <w:szCs w:val="28"/>
        </w:rPr>
        <w:t>objection</w:t>
      </w:r>
      <w:r w:rsidR="00D3423B" w:rsidRPr="00671018">
        <w:rPr>
          <w:rFonts w:ascii="Times New Roman" w:eastAsia="Times New Roman" w:hAnsi="Times New Roman" w:cs="Times New Roman"/>
          <w:sz w:val="28"/>
          <w:szCs w:val="28"/>
        </w:rPr>
        <w:t xml:space="preserve"> of at least one of them, a magistrate or master as “a surrogate judge” to try the controversy and determine liability.</w:t>
      </w:r>
      <w:r w:rsidR="00D3423B" w:rsidRPr="00D3423B">
        <w:rPr>
          <w:rFonts w:ascii="Times New Roman" w:eastAsia="Times New Roman" w:hAnsi="Times New Roman" w:cs="Times New Roman"/>
          <w:sz w:val="28"/>
          <w:szCs w:val="28"/>
        </w:rPr>
        <w:t>”);</w:t>
      </w:r>
      <w:r w:rsidR="00D3423B" w:rsidRPr="00D3423B">
        <w:rPr>
          <w:rFonts w:ascii="Times New Roman" w:eastAsia="Times New Roman" w:hAnsi="Times New Roman" w:cs="Times New Roman"/>
          <w:sz w:val="28"/>
          <w:szCs w:val="28"/>
          <w:u w:val="single"/>
        </w:rPr>
        <w:t xml:space="preserve"> </w:t>
      </w:r>
      <w:proofErr w:type="spellStart"/>
      <w:r w:rsidR="00D3423B" w:rsidRPr="00671018">
        <w:rPr>
          <w:rFonts w:ascii="Times New Roman" w:eastAsia="Times New Roman" w:hAnsi="Times New Roman" w:cs="Times New Roman"/>
          <w:i/>
          <w:sz w:val="28"/>
          <w:szCs w:val="28"/>
        </w:rPr>
        <w:t>Stauble</w:t>
      </w:r>
      <w:proofErr w:type="spellEnd"/>
      <w:r w:rsidR="00D3423B" w:rsidRPr="00671018">
        <w:rPr>
          <w:rFonts w:ascii="Times New Roman" w:eastAsia="Times New Roman" w:hAnsi="Times New Roman" w:cs="Times New Roman"/>
          <w:i/>
          <w:sz w:val="28"/>
          <w:szCs w:val="28"/>
        </w:rPr>
        <w:t xml:space="preserve"> v. </w:t>
      </w:r>
      <w:proofErr w:type="spellStart"/>
      <w:r w:rsidR="00D3423B" w:rsidRPr="00671018">
        <w:rPr>
          <w:rFonts w:ascii="Times New Roman" w:eastAsia="Times New Roman" w:hAnsi="Times New Roman" w:cs="Times New Roman"/>
          <w:i/>
          <w:sz w:val="28"/>
          <w:szCs w:val="28"/>
        </w:rPr>
        <w:t>Warrob</w:t>
      </w:r>
      <w:proofErr w:type="spellEnd"/>
      <w:r w:rsidR="00D3423B" w:rsidRPr="00671018">
        <w:rPr>
          <w:rFonts w:ascii="Times New Roman" w:eastAsia="Times New Roman" w:hAnsi="Times New Roman" w:cs="Times New Roman"/>
          <w:sz w:val="28"/>
          <w:szCs w:val="28"/>
          <w:u w:val="single"/>
        </w:rPr>
        <w:t>, Inc.</w:t>
      </w:r>
      <w:r w:rsidR="00D3423B" w:rsidRPr="00671018">
        <w:rPr>
          <w:rFonts w:ascii="Times New Roman" w:eastAsia="Times New Roman" w:hAnsi="Times New Roman" w:cs="Times New Roman"/>
          <w:sz w:val="28"/>
          <w:szCs w:val="28"/>
        </w:rPr>
        <w:t>, 977 F.2d 690, 691 (1st Cir. 1992)</w:t>
      </w:r>
      <w:r w:rsidR="00D3423B" w:rsidRPr="00D3423B">
        <w:rPr>
          <w:rFonts w:ascii="Times New Roman" w:eastAsia="Times New Roman" w:hAnsi="Times New Roman" w:cs="Times New Roman"/>
          <w:sz w:val="28"/>
          <w:szCs w:val="28"/>
        </w:rPr>
        <w:t xml:space="preserve"> (“</w:t>
      </w:r>
      <w:r w:rsidR="005E0052" w:rsidRPr="00671018">
        <w:rPr>
          <w:rFonts w:ascii="Times New Roman" w:eastAsia="Times New Roman" w:hAnsi="Times New Roman" w:cs="Times New Roman"/>
          <w:sz w:val="28"/>
          <w:szCs w:val="28"/>
        </w:rPr>
        <w:t xml:space="preserve">referring fundamental issues of liability to a master for adjudication, </w:t>
      </w:r>
      <w:r w:rsidR="005E0052" w:rsidRPr="00D3423B">
        <w:rPr>
          <w:rFonts w:ascii="Times New Roman" w:eastAsia="Times New Roman" w:hAnsi="Times New Roman" w:cs="Times New Roman"/>
          <w:sz w:val="28"/>
          <w:szCs w:val="28"/>
        </w:rPr>
        <w:t>over</w:t>
      </w:r>
      <w:r w:rsidR="005E0052" w:rsidRPr="00671018">
        <w:rPr>
          <w:rFonts w:ascii="Times New Roman" w:eastAsia="Times New Roman" w:hAnsi="Times New Roman" w:cs="Times New Roman"/>
          <w:sz w:val="28"/>
          <w:szCs w:val="28"/>
        </w:rPr>
        <w:t xml:space="preserve"> </w:t>
      </w:r>
      <w:r w:rsidR="005E0052" w:rsidRPr="00D3423B">
        <w:rPr>
          <w:rFonts w:ascii="Times New Roman" w:eastAsia="Times New Roman" w:hAnsi="Times New Roman" w:cs="Times New Roman"/>
          <w:sz w:val="28"/>
          <w:szCs w:val="28"/>
        </w:rPr>
        <w:t>objection</w:t>
      </w:r>
      <w:r w:rsidR="005E0052" w:rsidRPr="00671018">
        <w:rPr>
          <w:rFonts w:ascii="Times New Roman" w:eastAsia="Times New Roman" w:hAnsi="Times New Roman" w:cs="Times New Roman"/>
          <w:sz w:val="28"/>
          <w:szCs w:val="28"/>
        </w:rPr>
        <w:t>, is impermissible.</w:t>
      </w:r>
      <w:r w:rsidR="00D3423B" w:rsidRPr="00D3423B">
        <w:rPr>
          <w:rFonts w:ascii="Times New Roman" w:eastAsia="Times New Roman" w:hAnsi="Times New Roman" w:cs="Times New Roman"/>
          <w:sz w:val="28"/>
          <w:szCs w:val="28"/>
        </w:rPr>
        <w:t>”).</w:t>
      </w:r>
      <w:r w:rsidR="00D3423B">
        <w:rPr>
          <w:rFonts w:ascii="Times New Roman" w:eastAsia="Times New Roman" w:hAnsi="Times New Roman" w:cs="Times New Roman"/>
          <w:sz w:val="28"/>
          <w:szCs w:val="28"/>
        </w:rPr>
        <w:t xml:space="preserve">  The functions that the comment would seek to have masters perform over objection are closely analogous to those prohibited in federal courts.</w:t>
      </w:r>
    </w:p>
    <w:p w:rsidR="00CC3F61" w:rsidRPr="00CC3F61" w:rsidRDefault="00CC3F61" w:rsidP="00CC3F61">
      <w:pPr>
        <w:pStyle w:val="NoSpacing"/>
        <w:rPr>
          <w:rFonts w:ascii="Times New Roman" w:hAnsi="Times New Roman" w:cs="Times New Roman"/>
          <w:sz w:val="28"/>
          <w:szCs w:val="28"/>
        </w:rPr>
      </w:pPr>
      <w:r w:rsidRPr="00CC3F61">
        <w:rPr>
          <w:rFonts w:ascii="Times New Roman" w:hAnsi="Times New Roman" w:cs="Times New Roman"/>
          <w:sz w:val="28"/>
          <w:szCs w:val="28"/>
        </w:rPr>
        <w:tab/>
      </w:r>
      <w:proofErr w:type="gramStart"/>
      <w:r w:rsidRPr="00CC3F61">
        <w:rPr>
          <w:rFonts w:ascii="Times New Roman" w:hAnsi="Times New Roman" w:cs="Times New Roman"/>
          <w:sz w:val="28"/>
          <w:szCs w:val="28"/>
        </w:rPr>
        <w:t>Respectfully submitted this 4</w:t>
      </w:r>
      <w:r w:rsidRPr="00CC3F61">
        <w:rPr>
          <w:rFonts w:ascii="Times New Roman" w:hAnsi="Times New Roman" w:cs="Times New Roman"/>
          <w:sz w:val="28"/>
          <w:szCs w:val="28"/>
          <w:vertAlign w:val="superscript"/>
        </w:rPr>
        <w:t>th</w:t>
      </w:r>
      <w:r w:rsidRPr="00CC3F61">
        <w:rPr>
          <w:rFonts w:ascii="Times New Roman" w:hAnsi="Times New Roman" w:cs="Times New Roman"/>
          <w:sz w:val="28"/>
          <w:szCs w:val="28"/>
        </w:rPr>
        <w:t xml:space="preserve"> day of August, 2016.</w:t>
      </w:r>
      <w:proofErr w:type="gramEnd"/>
    </w:p>
    <w:p w:rsidR="00CC3F61" w:rsidRPr="00CC3F61" w:rsidRDefault="00CC3F61" w:rsidP="00CC3F61">
      <w:pPr>
        <w:pStyle w:val="NoSpacing"/>
        <w:rPr>
          <w:rFonts w:ascii="Times New Roman" w:hAnsi="Times New Roman" w:cs="Times New Roman"/>
          <w:sz w:val="28"/>
          <w:szCs w:val="28"/>
        </w:rPr>
      </w:pPr>
    </w:p>
    <w:p w:rsidR="00CC3F61" w:rsidRPr="00CC3F61" w:rsidRDefault="00D148E9" w:rsidP="00CC3F61">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 Janet E. Barton, for</w:t>
      </w:r>
    </w:p>
    <w:p w:rsidR="00CC3F61" w:rsidRPr="00CC3F61" w:rsidRDefault="00CC3F61" w:rsidP="00CC3F61">
      <w:pPr>
        <w:pStyle w:val="NoSpacing"/>
        <w:rPr>
          <w:rFonts w:ascii="Times New Roman" w:hAnsi="Times New Roman" w:cs="Times New Roman"/>
          <w:sz w:val="28"/>
          <w:szCs w:val="28"/>
        </w:rPr>
      </w:pPr>
      <w:r w:rsidRPr="00CC3F61">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C3F61">
        <w:rPr>
          <w:rFonts w:ascii="Times New Roman" w:hAnsi="Times New Roman" w:cs="Times New Roman"/>
          <w:sz w:val="28"/>
          <w:szCs w:val="28"/>
        </w:rPr>
        <w:t>__________________________</w:t>
      </w:r>
      <w:r w:rsidR="00811157">
        <w:rPr>
          <w:rFonts w:ascii="Times New Roman" w:hAnsi="Times New Roman" w:cs="Times New Roman"/>
          <w:sz w:val="28"/>
          <w:szCs w:val="28"/>
        </w:rPr>
        <w:t>_______</w:t>
      </w:r>
      <w:r w:rsidRPr="00CC3F61">
        <w:rPr>
          <w:rFonts w:ascii="Times New Roman" w:hAnsi="Times New Roman" w:cs="Times New Roman"/>
          <w:sz w:val="28"/>
          <w:szCs w:val="28"/>
        </w:rPr>
        <w:t>____</w:t>
      </w:r>
    </w:p>
    <w:p w:rsidR="00CC3F61" w:rsidRPr="00CC3F61" w:rsidRDefault="00CC3F61" w:rsidP="00CC3F61">
      <w:pPr>
        <w:pStyle w:val="NoSpacing"/>
        <w:rPr>
          <w:rFonts w:ascii="Times New Roman" w:hAnsi="Times New Roman" w:cs="Times New Roman"/>
          <w:sz w:val="28"/>
          <w:szCs w:val="28"/>
        </w:rPr>
      </w:pPr>
      <w:r w:rsidRPr="00CC3F61">
        <w:rPr>
          <w:rFonts w:ascii="Times New Roman" w:hAnsi="Times New Roman" w:cs="Times New Roman"/>
          <w:sz w:val="28"/>
          <w:szCs w:val="28"/>
        </w:rPr>
        <w:tab/>
      </w:r>
      <w:r w:rsidRPr="00CC3F61">
        <w:rPr>
          <w:rFonts w:ascii="Times New Roman" w:hAnsi="Times New Roman" w:cs="Times New Roman"/>
          <w:sz w:val="28"/>
          <w:szCs w:val="28"/>
        </w:rPr>
        <w:tab/>
      </w:r>
      <w:r w:rsidRPr="00CC3F61">
        <w:rPr>
          <w:rFonts w:ascii="Times New Roman" w:hAnsi="Times New Roman" w:cs="Times New Roman"/>
          <w:sz w:val="28"/>
          <w:szCs w:val="28"/>
        </w:rPr>
        <w:tab/>
      </w:r>
      <w:r w:rsidRPr="00CC3F61">
        <w:rPr>
          <w:rFonts w:ascii="Times New Roman" w:hAnsi="Times New Roman" w:cs="Times New Roman"/>
          <w:sz w:val="28"/>
          <w:szCs w:val="28"/>
        </w:rPr>
        <w:tab/>
        <w:t>Hon. Paul J. McMurdie</w:t>
      </w:r>
    </w:p>
    <w:p w:rsidR="00CC3F61" w:rsidRPr="00CC3F61" w:rsidRDefault="00CC3F61" w:rsidP="00CC3F61">
      <w:pPr>
        <w:pStyle w:val="NoSpacing"/>
        <w:rPr>
          <w:rFonts w:ascii="Times New Roman" w:hAnsi="Times New Roman" w:cs="Times New Roman"/>
          <w:sz w:val="28"/>
          <w:szCs w:val="28"/>
        </w:rPr>
      </w:pPr>
      <w:r w:rsidRPr="00CC3F61">
        <w:rPr>
          <w:rFonts w:ascii="Times New Roman" w:hAnsi="Times New Roman" w:cs="Times New Roman"/>
          <w:sz w:val="28"/>
          <w:szCs w:val="28"/>
        </w:rPr>
        <w:tab/>
      </w:r>
      <w:r w:rsidRPr="00CC3F61">
        <w:rPr>
          <w:rFonts w:ascii="Times New Roman" w:hAnsi="Times New Roman" w:cs="Times New Roman"/>
          <w:sz w:val="28"/>
          <w:szCs w:val="28"/>
        </w:rPr>
        <w:tab/>
      </w:r>
      <w:r w:rsidRPr="00CC3F61">
        <w:rPr>
          <w:rFonts w:ascii="Times New Roman" w:hAnsi="Times New Roman" w:cs="Times New Roman"/>
          <w:sz w:val="28"/>
          <w:szCs w:val="28"/>
        </w:rPr>
        <w:tab/>
      </w:r>
      <w:r w:rsidRPr="00CC3F61">
        <w:rPr>
          <w:rFonts w:ascii="Times New Roman" w:hAnsi="Times New Roman" w:cs="Times New Roman"/>
          <w:sz w:val="28"/>
          <w:szCs w:val="28"/>
        </w:rPr>
        <w:tab/>
        <w:t>Family Court Presiding Judge</w:t>
      </w:r>
    </w:p>
    <w:p w:rsidR="00CC3F61" w:rsidRPr="00CC3F61" w:rsidRDefault="00CC3F61" w:rsidP="00CC3F61">
      <w:pPr>
        <w:pStyle w:val="NoSpacing"/>
        <w:rPr>
          <w:rFonts w:ascii="Times New Roman" w:hAnsi="Times New Roman" w:cs="Times New Roman"/>
          <w:sz w:val="28"/>
          <w:szCs w:val="28"/>
        </w:rPr>
      </w:pPr>
      <w:r w:rsidRPr="00CC3F61">
        <w:rPr>
          <w:rFonts w:ascii="Times New Roman" w:hAnsi="Times New Roman" w:cs="Times New Roman"/>
          <w:sz w:val="28"/>
          <w:szCs w:val="28"/>
        </w:rPr>
        <w:tab/>
      </w:r>
      <w:r w:rsidRPr="00CC3F61">
        <w:rPr>
          <w:rFonts w:ascii="Times New Roman" w:hAnsi="Times New Roman" w:cs="Times New Roman"/>
          <w:sz w:val="28"/>
          <w:szCs w:val="28"/>
        </w:rPr>
        <w:tab/>
      </w:r>
      <w:r w:rsidRPr="00CC3F61">
        <w:rPr>
          <w:rFonts w:ascii="Times New Roman" w:hAnsi="Times New Roman" w:cs="Times New Roman"/>
          <w:sz w:val="28"/>
          <w:szCs w:val="28"/>
        </w:rPr>
        <w:tab/>
      </w:r>
      <w:r w:rsidRPr="00CC3F61">
        <w:rPr>
          <w:rFonts w:ascii="Times New Roman" w:hAnsi="Times New Roman" w:cs="Times New Roman"/>
          <w:sz w:val="28"/>
          <w:szCs w:val="28"/>
        </w:rPr>
        <w:tab/>
        <w:t>Superior Court of Arizona, Maricopa County</w:t>
      </w:r>
    </w:p>
    <w:p w:rsidR="00D3423B" w:rsidRPr="00CC3F61" w:rsidRDefault="00D3423B" w:rsidP="00CC3F61">
      <w:pPr>
        <w:pStyle w:val="NoSpacing"/>
        <w:rPr>
          <w:rFonts w:ascii="Times New Roman" w:hAnsi="Times New Roman" w:cs="Times New Roman"/>
          <w:sz w:val="28"/>
          <w:szCs w:val="28"/>
        </w:rPr>
      </w:pPr>
    </w:p>
    <w:p w:rsidR="00CC3F61" w:rsidRPr="00CC3F61" w:rsidRDefault="00D148E9" w:rsidP="00CC3F61">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 Janet E. Barton, for</w:t>
      </w:r>
    </w:p>
    <w:p w:rsidR="00CC3F61" w:rsidRPr="00CC3F61" w:rsidRDefault="00CC3F61" w:rsidP="00CC3F61">
      <w:pPr>
        <w:pStyle w:val="NoSpacing"/>
        <w:rPr>
          <w:rFonts w:ascii="Times New Roman" w:hAnsi="Times New Roman" w:cs="Times New Roman"/>
          <w:sz w:val="28"/>
          <w:szCs w:val="28"/>
        </w:rPr>
      </w:pPr>
      <w:r w:rsidRPr="00CC3F61">
        <w:rPr>
          <w:rFonts w:ascii="Times New Roman" w:hAnsi="Times New Roman" w:cs="Times New Roman"/>
          <w:sz w:val="28"/>
          <w:szCs w:val="28"/>
        </w:rPr>
        <w:tab/>
      </w:r>
      <w:r w:rsidRPr="00CC3F61">
        <w:rPr>
          <w:rFonts w:ascii="Times New Roman" w:hAnsi="Times New Roman" w:cs="Times New Roman"/>
          <w:sz w:val="28"/>
          <w:szCs w:val="28"/>
        </w:rPr>
        <w:tab/>
      </w:r>
      <w:r w:rsidRPr="00CC3F61">
        <w:rPr>
          <w:rFonts w:ascii="Times New Roman" w:hAnsi="Times New Roman" w:cs="Times New Roman"/>
          <w:sz w:val="28"/>
          <w:szCs w:val="28"/>
        </w:rPr>
        <w:tab/>
      </w:r>
      <w:r w:rsidRPr="00CC3F61">
        <w:rPr>
          <w:rFonts w:ascii="Times New Roman" w:hAnsi="Times New Roman" w:cs="Times New Roman"/>
          <w:sz w:val="28"/>
          <w:szCs w:val="28"/>
        </w:rPr>
        <w:tab/>
        <w:t>_______________</w:t>
      </w:r>
      <w:bookmarkStart w:id="2" w:name="_GoBack"/>
      <w:bookmarkEnd w:id="2"/>
      <w:r w:rsidRPr="00CC3F61">
        <w:rPr>
          <w:rFonts w:ascii="Times New Roman" w:hAnsi="Times New Roman" w:cs="Times New Roman"/>
          <w:sz w:val="28"/>
          <w:szCs w:val="28"/>
        </w:rPr>
        <w:t>________________</w:t>
      </w:r>
      <w:r w:rsidR="00811157">
        <w:rPr>
          <w:rFonts w:ascii="Times New Roman" w:hAnsi="Times New Roman" w:cs="Times New Roman"/>
          <w:sz w:val="28"/>
          <w:szCs w:val="28"/>
        </w:rPr>
        <w:t>______</w:t>
      </w:r>
    </w:p>
    <w:p w:rsidR="00CC3F61" w:rsidRPr="00CC3F61" w:rsidRDefault="00CC3F61" w:rsidP="00CC3F61">
      <w:pPr>
        <w:pStyle w:val="NoSpacing"/>
        <w:rPr>
          <w:rFonts w:ascii="Times New Roman" w:hAnsi="Times New Roman" w:cs="Times New Roman"/>
          <w:sz w:val="28"/>
          <w:szCs w:val="28"/>
        </w:rPr>
      </w:pPr>
      <w:r w:rsidRPr="00CC3F61">
        <w:rPr>
          <w:rFonts w:ascii="Times New Roman" w:hAnsi="Times New Roman" w:cs="Times New Roman"/>
          <w:sz w:val="28"/>
          <w:szCs w:val="28"/>
        </w:rPr>
        <w:tab/>
      </w:r>
      <w:r w:rsidRPr="00CC3F61">
        <w:rPr>
          <w:rFonts w:ascii="Times New Roman" w:hAnsi="Times New Roman" w:cs="Times New Roman"/>
          <w:sz w:val="28"/>
          <w:szCs w:val="28"/>
        </w:rPr>
        <w:tab/>
      </w:r>
      <w:r w:rsidRPr="00CC3F61">
        <w:rPr>
          <w:rFonts w:ascii="Times New Roman" w:hAnsi="Times New Roman" w:cs="Times New Roman"/>
          <w:sz w:val="28"/>
          <w:szCs w:val="28"/>
        </w:rPr>
        <w:tab/>
      </w:r>
      <w:r w:rsidRPr="00CC3F61">
        <w:rPr>
          <w:rFonts w:ascii="Times New Roman" w:hAnsi="Times New Roman" w:cs="Times New Roman"/>
          <w:sz w:val="28"/>
          <w:szCs w:val="28"/>
        </w:rPr>
        <w:tab/>
        <w:t>Hon. Peter B. Swann</w:t>
      </w:r>
    </w:p>
    <w:p w:rsidR="00CC3F61" w:rsidRPr="00CC3F61" w:rsidRDefault="00CC3F61" w:rsidP="00CC3F61">
      <w:pPr>
        <w:pStyle w:val="NoSpacing"/>
        <w:rPr>
          <w:rFonts w:ascii="Times New Roman" w:hAnsi="Times New Roman" w:cs="Times New Roman"/>
          <w:sz w:val="28"/>
          <w:szCs w:val="28"/>
        </w:rPr>
      </w:pPr>
      <w:r w:rsidRPr="00CC3F61">
        <w:rPr>
          <w:rFonts w:ascii="Times New Roman" w:hAnsi="Times New Roman" w:cs="Times New Roman"/>
          <w:sz w:val="28"/>
          <w:szCs w:val="28"/>
        </w:rPr>
        <w:tab/>
      </w:r>
      <w:r w:rsidRPr="00CC3F61">
        <w:rPr>
          <w:rFonts w:ascii="Times New Roman" w:hAnsi="Times New Roman" w:cs="Times New Roman"/>
          <w:sz w:val="28"/>
          <w:szCs w:val="28"/>
        </w:rPr>
        <w:tab/>
      </w:r>
      <w:r w:rsidRPr="00CC3F61">
        <w:rPr>
          <w:rFonts w:ascii="Times New Roman" w:hAnsi="Times New Roman" w:cs="Times New Roman"/>
          <w:sz w:val="28"/>
          <w:szCs w:val="28"/>
        </w:rPr>
        <w:tab/>
      </w:r>
      <w:r w:rsidRPr="00CC3F61">
        <w:rPr>
          <w:rFonts w:ascii="Times New Roman" w:hAnsi="Times New Roman" w:cs="Times New Roman"/>
          <w:sz w:val="28"/>
          <w:szCs w:val="28"/>
        </w:rPr>
        <w:tab/>
        <w:t>Arizona Court of Appeals</w:t>
      </w:r>
    </w:p>
    <w:p w:rsidR="005E0052" w:rsidRPr="005B77DB" w:rsidRDefault="005E0052" w:rsidP="005B77DB">
      <w:pPr>
        <w:spacing w:after="240"/>
        <w:jc w:val="both"/>
        <w:rPr>
          <w:rFonts w:ascii="Times New Roman" w:eastAsia="Times New Roman" w:hAnsi="Times New Roman" w:cs="Times New Roman"/>
          <w:sz w:val="28"/>
          <w:szCs w:val="28"/>
        </w:rPr>
      </w:pPr>
    </w:p>
    <w:p w:rsidR="00382AA3" w:rsidRPr="005B77DB" w:rsidRDefault="00382AA3" w:rsidP="00382AA3">
      <w:pPr>
        <w:jc w:val="both"/>
        <w:rPr>
          <w:rFonts w:ascii="Times New Roman" w:eastAsia="Times New Roman" w:hAnsi="Times New Roman" w:cs="Times New Roman"/>
          <w:sz w:val="28"/>
          <w:szCs w:val="28"/>
        </w:rPr>
      </w:pPr>
    </w:p>
    <w:p w:rsidR="00382AA3" w:rsidRPr="005B77DB" w:rsidRDefault="00382AA3" w:rsidP="007D3B78">
      <w:pPr>
        <w:spacing w:after="120"/>
        <w:jc w:val="both"/>
        <w:rPr>
          <w:rFonts w:ascii="Times New Roman" w:hAnsi="Times New Roman" w:cs="Times New Roman"/>
          <w:sz w:val="28"/>
          <w:szCs w:val="28"/>
        </w:rPr>
      </w:pPr>
    </w:p>
    <w:p w:rsidR="00046963" w:rsidRPr="005B77DB" w:rsidRDefault="00046963" w:rsidP="007D3B78">
      <w:pPr>
        <w:spacing w:after="120"/>
        <w:jc w:val="both"/>
        <w:rPr>
          <w:rFonts w:ascii="Times New Roman" w:hAnsi="Times New Roman" w:cs="Times New Roman"/>
          <w:sz w:val="28"/>
          <w:szCs w:val="28"/>
        </w:rPr>
      </w:pPr>
    </w:p>
    <w:sectPr w:rsidR="00046963" w:rsidRPr="005B77DB" w:rsidSect="00A6630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EE2" w:rsidRDefault="00CC7EE2" w:rsidP="00FA6569">
      <w:r>
        <w:separator/>
      </w:r>
    </w:p>
  </w:endnote>
  <w:endnote w:type="continuationSeparator" w:id="0">
    <w:p w:rsidR="00CC7EE2" w:rsidRDefault="00CC7EE2" w:rsidP="00FA6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EE2" w:rsidRDefault="00CC7EE2" w:rsidP="00FA6569">
      <w:r>
        <w:separator/>
      </w:r>
    </w:p>
  </w:footnote>
  <w:footnote w:type="continuationSeparator" w:id="0">
    <w:p w:rsidR="00CC7EE2" w:rsidRDefault="00CC7EE2" w:rsidP="00FA6569">
      <w:r>
        <w:continuationSeparator/>
      </w:r>
    </w:p>
  </w:footnote>
  <w:footnote w:id="1">
    <w:p w:rsidR="007D3B78" w:rsidRDefault="007D3B78" w:rsidP="00FA6569">
      <w:pPr>
        <w:jc w:val="both"/>
      </w:pPr>
      <w:r>
        <w:rPr>
          <w:rStyle w:val="FootnoteReference"/>
        </w:rPr>
        <w:footnoteRef/>
      </w:r>
      <w:r>
        <w:t xml:space="preserve"> </w:t>
      </w:r>
      <w:r>
        <w:rPr>
          <w:rFonts w:eastAsia="Times New Roman" w:cs="Times New Roman"/>
        </w:rPr>
        <w:tab/>
        <w:t xml:space="preserve">In </w:t>
      </w:r>
      <w:r>
        <w:rPr>
          <w:rStyle w:val="Emphasis"/>
          <w:rFonts w:eastAsia="Times New Roman" w:cs="Times New Roman"/>
        </w:rPr>
        <w:t>Volk,</w:t>
      </w:r>
      <w:r>
        <w:rPr>
          <w:rFonts w:eastAsia="Times New Roman" w:cs="Times New Roman"/>
        </w:rPr>
        <w:t xml:space="preserve"> the trial court allotted fifteen minutes for a child support modification hearing at which Father's self-employment income amount was in dispute. </w:t>
      </w:r>
      <w:proofErr w:type="gramStart"/>
      <w:r w:rsidRPr="00243685">
        <w:rPr>
          <w:rStyle w:val="cosearchterm"/>
          <w:rFonts w:eastAsia="Times New Roman" w:cs="Times New Roman"/>
        </w:rPr>
        <w:t>235 Ar</w:t>
      </w:r>
      <w:r>
        <w:rPr>
          <w:rStyle w:val="cosearchterm"/>
          <w:rFonts w:eastAsia="Times New Roman" w:cs="Times New Roman"/>
        </w:rPr>
        <w:t>iz. at 465, ¶ 4</w:t>
      </w:r>
      <w:r>
        <w:rPr>
          <w:rFonts w:eastAsia="Times New Roman" w:cs="Times New Roman"/>
        </w:rPr>
        <w:t>.</w:t>
      </w:r>
      <w:proofErr w:type="gramEnd"/>
      <w:r>
        <w:rPr>
          <w:rFonts w:eastAsia="Times New Roman" w:cs="Times New Roman"/>
        </w:rPr>
        <w:t xml:space="preserve"> Father raised due process concerns over the time limitation and the court prohibited the parties from testifying, relying exclusively on avowals from counsel and disputed documents. </w:t>
      </w:r>
      <w:proofErr w:type="gramStart"/>
      <w:r w:rsidRPr="00243685">
        <w:rPr>
          <w:rStyle w:val="Emphasis"/>
          <w:rFonts w:eastAsia="Times New Roman" w:cs="Times New Roman"/>
        </w:rPr>
        <w:t>Id.</w:t>
      </w:r>
      <w:r w:rsidRPr="00243685">
        <w:rPr>
          <w:rStyle w:val="cosearchterm"/>
          <w:rFonts w:eastAsia="Times New Roman" w:cs="Times New Roman"/>
        </w:rPr>
        <w:t xml:space="preserve"> at 465–66, ¶¶ 9–11, 469</w:t>
      </w:r>
      <w:r>
        <w:rPr>
          <w:rFonts w:eastAsia="Times New Roman" w:cs="Times New Roman"/>
        </w:rPr>
        <w:t xml:space="preserve"> n. 6.</w:t>
      </w:r>
      <w:proofErr w:type="gramEnd"/>
      <w:r>
        <w:rPr>
          <w:rFonts w:eastAsia="Times New Roman" w:cs="Times New Roman"/>
        </w:rPr>
        <w:t xml:space="preserve"> The Court of Appeals held that </w:t>
      </w:r>
      <w:r>
        <w:rPr>
          <w:rStyle w:val="cohighlightpoints"/>
          <w:rFonts w:eastAsia="Times New Roman" w:cs="Times New Roman"/>
        </w:rPr>
        <w:t>“a court abuses its discretion when it adheres to rigid time limits that do not permit adequate opportunity for efficient direct testimony and cross-examination.”</w:t>
      </w:r>
      <w:r>
        <w:rPr>
          <w:rFonts w:eastAsia="Times New Roman" w:cs="Times New Roman"/>
        </w:rPr>
        <w:t xml:space="preserve"> </w:t>
      </w:r>
      <w:proofErr w:type="gramStart"/>
      <w:r w:rsidRPr="00243685">
        <w:rPr>
          <w:rStyle w:val="Emphasis"/>
          <w:rFonts w:eastAsia="Times New Roman" w:cs="Times New Roman"/>
        </w:rPr>
        <w:t>Id.</w:t>
      </w:r>
      <w:r w:rsidRPr="00243685">
        <w:rPr>
          <w:rStyle w:val="cosearchterm"/>
          <w:rFonts w:eastAsia="Times New Roman" w:cs="Times New Roman"/>
        </w:rPr>
        <w:t xml:space="preserve"> at 464, ¶ 1</w:t>
      </w:r>
      <w:r>
        <w:rPr>
          <w:rFonts w:eastAsia="Times New Roman" w:cs="Times New Roman"/>
        </w:rPr>
        <w:t>.</w:t>
      </w:r>
      <w:proofErr w:type="gramEnd"/>
      <w:r>
        <w:rPr>
          <w:rFonts w:eastAsia="Times New Roman" w:cs="Times New Roman"/>
        </w:rPr>
        <w:t xml:space="preserve"> The court went on to hold that </w:t>
      </w:r>
      <w:r>
        <w:rPr>
          <w:rStyle w:val="cohighlightpoints"/>
          <w:rFonts w:eastAsia="Times New Roman" w:cs="Times New Roman"/>
        </w:rPr>
        <w:t>“when the resolution of an issue before the court requires an assessment of credibility, the court must afford the parties an opportunity to present sworn oral testimony and may not rely solely on avowals of counsel.”</w:t>
      </w:r>
      <w:r>
        <w:rPr>
          <w:rFonts w:eastAsia="Times New Roman" w:cs="Times New Roman"/>
        </w:rPr>
        <w:t xml:space="preserve"> </w:t>
      </w:r>
      <w:r>
        <w:rPr>
          <w:rStyle w:val="Emphasis"/>
          <w:rFonts w:eastAsia="Times New Roman" w:cs="Times New Roman"/>
        </w:rPr>
        <w:t>Id.</w:t>
      </w:r>
    </w:p>
  </w:footnote>
  <w:footnote w:id="2">
    <w:p w:rsidR="00C446C3" w:rsidRPr="00E14E65" w:rsidRDefault="00912952" w:rsidP="00912952">
      <w:pPr>
        <w:pStyle w:val="FootnoteText"/>
        <w:jc w:val="both"/>
        <w:rPr>
          <w:rFonts w:cs="Times New Roman"/>
        </w:rPr>
      </w:pPr>
      <w:r>
        <w:rPr>
          <w:rStyle w:val="FootnoteReference"/>
        </w:rPr>
        <w:footnoteRef/>
      </w:r>
      <w:r>
        <w:t xml:space="preserve"> </w:t>
      </w:r>
      <w:r w:rsidRPr="00E14E65">
        <w:rPr>
          <w:rFonts w:cs="Times New Roman"/>
        </w:rPr>
        <w:t xml:space="preserve">To date, the Court of Appeals has decided twelve </w:t>
      </w:r>
      <w:r w:rsidRPr="00E14E65">
        <w:rPr>
          <w:rFonts w:cs="Times New Roman"/>
          <w:i/>
        </w:rPr>
        <w:t xml:space="preserve">Volk </w:t>
      </w:r>
      <w:r w:rsidRPr="00E14E65">
        <w:rPr>
          <w:rFonts w:cs="Times New Roman"/>
        </w:rPr>
        <w:t xml:space="preserve">claims. In seven of those cases, the Court of Appeals rejected the issue on appeal and affirmed the trial court’s exercise of its discretion. </w:t>
      </w:r>
      <w:r w:rsidRPr="00E14E65">
        <w:rPr>
          <w:rFonts w:cs="Times New Roman"/>
          <w:i/>
        </w:rPr>
        <w:t>See</w:t>
      </w:r>
      <w:r w:rsidRPr="00E14E65">
        <w:rPr>
          <w:rFonts w:cs="Times New Roman"/>
        </w:rPr>
        <w:t xml:space="preserve">, </w:t>
      </w:r>
      <w:r w:rsidRPr="00E14E65">
        <w:rPr>
          <w:rFonts w:cs="Times New Roman"/>
          <w:i/>
        </w:rPr>
        <w:t>Erika v. Department of Child Safety</w:t>
      </w:r>
      <w:r w:rsidRPr="00E14E65">
        <w:rPr>
          <w:rFonts w:cs="Times New Roman"/>
        </w:rPr>
        <w:t xml:space="preserve">, 239 Ariz. 205 (Ct. App. 2016); </w:t>
      </w:r>
      <w:r w:rsidRPr="00E14E65">
        <w:rPr>
          <w:rFonts w:cs="Times New Roman"/>
          <w:i/>
        </w:rPr>
        <w:t xml:space="preserve">Bastian v. </w:t>
      </w:r>
      <w:proofErr w:type="spellStart"/>
      <w:r w:rsidRPr="00E14E65">
        <w:rPr>
          <w:rFonts w:cs="Times New Roman"/>
          <w:i/>
        </w:rPr>
        <w:t>Endreseu</w:t>
      </w:r>
      <w:proofErr w:type="spellEnd"/>
      <w:r w:rsidRPr="00E14E65">
        <w:rPr>
          <w:rFonts w:cs="Times New Roman"/>
        </w:rPr>
        <w:t xml:space="preserve">, 2015 WL 7777630 (Ct. App. Dec. 3, 2015); </w:t>
      </w:r>
      <w:proofErr w:type="spellStart"/>
      <w:r w:rsidRPr="00E14E65">
        <w:rPr>
          <w:rFonts w:cs="Times New Roman"/>
          <w:i/>
        </w:rPr>
        <w:t>Shacknai</w:t>
      </w:r>
      <w:proofErr w:type="spellEnd"/>
      <w:r w:rsidRPr="00E14E65">
        <w:rPr>
          <w:rFonts w:cs="Times New Roman"/>
          <w:i/>
        </w:rPr>
        <w:t xml:space="preserve"> v. </w:t>
      </w:r>
      <w:proofErr w:type="spellStart"/>
      <w:r w:rsidRPr="00E14E65">
        <w:rPr>
          <w:rFonts w:cs="Times New Roman"/>
          <w:i/>
        </w:rPr>
        <w:t>Shacknai</w:t>
      </w:r>
      <w:proofErr w:type="spellEnd"/>
      <w:r w:rsidRPr="00E14E65">
        <w:rPr>
          <w:rFonts w:cs="Times New Roman"/>
        </w:rPr>
        <w:t xml:space="preserve">, 2015 WL 3767157 (Ct. App. Jan. 16, 2015); </w:t>
      </w:r>
      <w:proofErr w:type="spellStart"/>
      <w:r w:rsidRPr="00E14E65">
        <w:rPr>
          <w:rFonts w:cs="Times New Roman"/>
          <w:i/>
        </w:rPr>
        <w:t>Okubena</w:t>
      </w:r>
      <w:proofErr w:type="spellEnd"/>
      <w:r w:rsidRPr="00E14E65">
        <w:rPr>
          <w:rFonts w:cs="Times New Roman"/>
          <w:i/>
        </w:rPr>
        <w:t xml:space="preserve"> v. Montag</w:t>
      </w:r>
      <w:r w:rsidRPr="00E14E65">
        <w:rPr>
          <w:rFonts w:cs="Times New Roman"/>
        </w:rPr>
        <w:t xml:space="preserve">, 2016 WL 911392 (Ct. App. Mar. 10, 2016); </w:t>
      </w:r>
      <w:r w:rsidRPr="00E14E65">
        <w:rPr>
          <w:rFonts w:cs="Times New Roman"/>
          <w:i/>
        </w:rPr>
        <w:t>Eaton v. Eaton</w:t>
      </w:r>
      <w:r w:rsidRPr="00E14E65">
        <w:rPr>
          <w:rFonts w:cs="Times New Roman"/>
        </w:rPr>
        <w:t xml:space="preserve">, 2015 WL 8167230 (Ct. App. Dec. 8, 2015); </w:t>
      </w:r>
      <w:r w:rsidRPr="00E14E65">
        <w:rPr>
          <w:rFonts w:cs="Times New Roman"/>
          <w:i/>
        </w:rPr>
        <w:t>Peart v. Gonzalez</w:t>
      </w:r>
      <w:r w:rsidRPr="00E14E65">
        <w:rPr>
          <w:rFonts w:cs="Times New Roman"/>
        </w:rPr>
        <w:t xml:space="preserve">, 2015 WL 6502702 (Ct. App. Oct. 28, 2015); </w:t>
      </w:r>
      <w:r w:rsidRPr="00E14E65">
        <w:rPr>
          <w:rFonts w:cs="Times New Roman"/>
          <w:i/>
        </w:rPr>
        <w:t>Michael v. Michael</w:t>
      </w:r>
      <w:r w:rsidRPr="00E14E65">
        <w:rPr>
          <w:rFonts w:cs="Times New Roman"/>
        </w:rPr>
        <w:t>, 2015 WL 1119708 (Ct. App. Mar. 12, 2015).</w:t>
      </w:r>
      <w:r w:rsidR="00C446C3" w:rsidRPr="00E14E65">
        <w:rPr>
          <w:rFonts w:cs="Times New Roman"/>
        </w:rPr>
        <w:t xml:space="preserve"> </w:t>
      </w:r>
    </w:p>
    <w:p w:rsidR="00C446C3" w:rsidRPr="00E14E65" w:rsidRDefault="00C446C3" w:rsidP="00912952">
      <w:pPr>
        <w:pStyle w:val="FootnoteText"/>
        <w:jc w:val="both"/>
        <w:rPr>
          <w:rFonts w:cs="Times New Roman"/>
        </w:rPr>
      </w:pPr>
    </w:p>
    <w:p w:rsidR="00912952" w:rsidRPr="00E14E65" w:rsidRDefault="00C446C3" w:rsidP="00912952">
      <w:pPr>
        <w:pStyle w:val="FootnoteText"/>
        <w:jc w:val="both"/>
      </w:pPr>
      <w:r w:rsidRPr="00E14E65">
        <w:rPr>
          <w:rFonts w:cs="Times New Roman"/>
        </w:rPr>
        <w:t xml:space="preserve">In five cases, the Court of Appeals remanded the case in light of </w:t>
      </w:r>
      <w:r w:rsidRPr="00E14E65">
        <w:rPr>
          <w:rFonts w:cs="Times New Roman"/>
          <w:i/>
        </w:rPr>
        <w:t>Volk</w:t>
      </w:r>
      <w:r w:rsidRPr="00E14E65">
        <w:rPr>
          <w:rFonts w:cs="Times New Roman"/>
        </w:rPr>
        <w:t xml:space="preserve">. </w:t>
      </w:r>
      <w:r w:rsidRPr="00E14E65">
        <w:rPr>
          <w:rFonts w:cs="Times New Roman"/>
          <w:i/>
        </w:rPr>
        <w:t>See, Murray v. Murray</w:t>
      </w:r>
      <w:r w:rsidRPr="00E14E65">
        <w:rPr>
          <w:rFonts w:cs="Times New Roman"/>
        </w:rPr>
        <w:t xml:space="preserve">, 249 Ariz. 174 (Ct. App. 2016) (in making best interest findings for children, court must consider evidence not argument); </w:t>
      </w:r>
      <w:r w:rsidRPr="00E14E65">
        <w:rPr>
          <w:rFonts w:cs="Times New Roman"/>
          <w:i/>
        </w:rPr>
        <w:t>Roth v. Meek</w:t>
      </w:r>
      <w:r w:rsidRPr="00E14E65">
        <w:rPr>
          <w:rFonts w:cs="Times New Roman"/>
        </w:rPr>
        <w:t xml:space="preserve">, 2014 WL 7172223 (Ct. App. Dec., 16, 2014); </w:t>
      </w:r>
      <w:r w:rsidRPr="00E14E65">
        <w:rPr>
          <w:rFonts w:cs="Times New Roman"/>
          <w:i/>
        </w:rPr>
        <w:t>Mortensen v. Mortensen</w:t>
      </w:r>
      <w:r w:rsidRPr="00E14E65">
        <w:rPr>
          <w:rFonts w:cs="Times New Roman"/>
        </w:rPr>
        <w:t xml:space="preserve">, 2016 WL321196 (Ct. App. Jun. 9, 2016) (error not to grant continuance and force party to use affidavit instead of testimony); </w:t>
      </w:r>
      <w:proofErr w:type="spellStart"/>
      <w:r w:rsidRPr="00E14E65">
        <w:rPr>
          <w:rFonts w:cs="Times New Roman"/>
          <w:i/>
        </w:rPr>
        <w:t>Krenzen</w:t>
      </w:r>
      <w:proofErr w:type="spellEnd"/>
      <w:r w:rsidRPr="00E14E65">
        <w:rPr>
          <w:rFonts w:cs="Times New Roman"/>
          <w:i/>
        </w:rPr>
        <w:t xml:space="preserve"> v. Katz</w:t>
      </w:r>
      <w:r w:rsidRPr="00E14E65">
        <w:rPr>
          <w:rFonts w:cs="Times New Roman"/>
        </w:rPr>
        <w:t xml:space="preserve">, 2015 WL 631453 (Ct. App. Feb. 12, 2015) (trial court’s time restriction impaired party’s ability to respond to two issues); </w:t>
      </w:r>
      <w:r w:rsidRPr="00E14E65">
        <w:rPr>
          <w:rFonts w:cs="Times New Roman"/>
          <w:i/>
        </w:rPr>
        <w:t xml:space="preserve">Thompson v. </w:t>
      </w:r>
      <w:proofErr w:type="spellStart"/>
      <w:r w:rsidRPr="00E14E65">
        <w:rPr>
          <w:rFonts w:cs="Times New Roman"/>
          <w:i/>
        </w:rPr>
        <w:t>Vangal</w:t>
      </w:r>
      <w:proofErr w:type="spellEnd"/>
      <w:r w:rsidRPr="00E14E65">
        <w:rPr>
          <w:rFonts w:cs="Times New Roman"/>
        </w:rPr>
        <w:t xml:space="preserve">, 2015 WL 8168318 (Ct. App. Dec. 8, 2015).  In three of the five cases that warranted reversal the trial court action preceded the August 28, 2014 opinion date of </w:t>
      </w:r>
      <w:r w:rsidRPr="00E14E65">
        <w:rPr>
          <w:rFonts w:cs="Times New Roman"/>
          <w:i/>
        </w:rPr>
        <w:t xml:space="preserve">Volk. </w:t>
      </w:r>
      <w:proofErr w:type="gramStart"/>
      <w:r w:rsidRPr="00E14E65">
        <w:rPr>
          <w:rFonts w:cs="Times New Roman"/>
          <w:i/>
        </w:rPr>
        <w:t xml:space="preserve">See, Mortensen </w:t>
      </w:r>
      <w:r w:rsidRPr="00E14E65">
        <w:rPr>
          <w:rFonts w:cs="Times New Roman"/>
        </w:rPr>
        <w:t xml:space="preserve">(trial court ruling November 27, 2013), </w:t>
      </w:r>
      <w:proofErr w:type="spellStart"/>
      <w:r w:rsidRPr="00E14E65">
        <w:rPr>
          <w:rFonts w:cs="Times New Roman"/>
          <w:i/>
        </w:rPr>
        <w:t>Krenzen</w:t>
      </w:r>
      <w:proofErr w:type="spellEnd"/>
      <w:r w:rsidRPr="00E14E65">
        <w:rPr>
          <w:rFonts w:cs="Times New Roman"/>
        </w:rPr>
        <w:t xml:space="preserve"> (hearing November 4, 2013), and </w:t>
      </w:r>
      <w:r w:rsidRPr="00E14E65">
        <w:rPr>
          <w:rFonts w:cs="Times New Roman"/>
          <w:i/>
        </w:rPr>
        <w:t>Roth</w:t>
      </w:r>
      <w:r w:rsidRPr="00E14E65">
        <w:rPr>
          <w:rFonts w:cs="Times New Roman"/>
        </w:rPr>
        <w:t xml:space="preserve"> (ruling July 11, 2013).</w:t>
      </w:r>
      <w:proofErr w:type="gramEnd"/>
      <w:r w:rsidRPr="00E14E65">
        <w:rPr>
          <w:rFonts w:cs="Times New Roman"/>
        </w:rPr>
        <w:t xml:space="preserve"> Given the thousands of family law cases resolved after the </w:t>
      </w:r>
      <w:r w:rsidRPr="00E14E65">
        <w:rPr>
          <w:rFonts w:cs="Times New Roman"/>
          <w:i/>
        </w:rPr>
        <w:t xml:space="preserve">Volk </w:t>
      </w:r>
      <w:r w:rsidRPr="00E14E65">
        <w:rPr>
          <w:rFonts w:cs="Times New Roman"/>
        </w:rPr>
        <w:t xml:space="preserve">decision, it can hardly be said that the two remaining cases represent that the trial bench has ignored the </w:t>
      </w:r>
      <w:r w:rsidRPr="00E14E65">
        <w:rPr>
          <w:rFonts w:cs="Times New Roman"/>
          <w:i/>
        </w:rPr>
        <w:t>Volk</w:t>
      </w:r>
      <w:r w:rsidRPr="00E14E65">
        <w:rPr>
          <w:rFonts w:cs="Times New Roman"/>
        </w:rPr>
        <w:t xml:space="preserve"> decision resulting in “multiple cases being remanded back to the trial court.”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B1536"/>
    <w:multiLevelType w:val="hybridMultilevel"/>
    <w:tmpl w:val="0CFEE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E7C"/>
    <w:rsid w:val="00035561"/>
    <w:rsid w:val="00046963"/>
    <w:rsid w:val="000720F1"/>
    <w:rsid w:val="000815CC"/>
    <w:rsid w:val="00143EDC"/>
    <w:rsid w:val="001B3CE2"/>
    <w:rsid w:val="001F428C"/>
    <w:rsid w:val="0024529E"/>
    <w:rsid w:val="0025617C"/>
    <w:rsid w:val="002D2016"/>
    <w:rsid w:val="00382AA3"/>
    <w:rsid w:val="00392FD5"/>
    <w:rsid w:val="003A72DF"/>
    <w:rsid w:val="00461FC0"/>
    <w:rsid w:val="00474434"/>
    <w:rsid w:val="00524A03"/>
    <w:rsid w:val="0055170D"/>
    <w:rsid w:val="005B77DB"/>
    <w:rsid w:val="005E0052"/>
    <w:rsid w:val="005F330A"/>
    <w:rsid w:val="00627780"/>
    <w:rsid w:val="00637BE2"/>
    <w:rsid w:val="00665D17"/>
    <w:rsid w:val="00671018"/>
    <w:rsid w:val="006D4EE6"/>
    <w:rsid w:val="00756C5B"/>
    <w:rsid w:val="007638A3"/>
    <w:rsid w:val="00777F4A"/>
    <w:rsid w:val="007D3B78"/>
    <w:rsid w:val="00811157"/>
    <w:rsid w:val="00821B4E"/>
    <w:rsid w:val="00845ABF"/>
    <w:rsid w:val="00912952"/>
    <w:rsid w:val="0099291E"/>
    <w:rsid w:val="009A4E51"/>
    <w:rsid w:val="009A6223"/>
    <w:rsid w:val="009F61DC"/>
    <w:rsid w:val="00A01263"/>
    <w:rsid w:val="00A404E4"/>
    <w:rsid w:val="00A66305"/>
    <w:rsid w:val="00A9697D"/>
    <w:rsid w:val="00AE6ACA"/>
    <w:rsid w:val="00AF580F"/>
    <w:rsid w:val="00B02E7C"/>
    <w:rsid w:val="00B07B6D"/>
    <w:rsid w:val="00B2465E"/>
    <w:rsid w:val="00B43716"/>
    <w:rsid w:val="00B977BA"/>
    <w:rsid w:val="00BB60F8"/>
    <w:rsid w:val="00C17AEB"/>
    <w:rsid w:val="00C446C3"/>
    <w:rsid w:val="00CC3F61"/>
    <w:rsid w:val="00CC7EE2"/>
    <w:rsid w:val="00D148E9"/>
    <w:rsid w:val="00D3177D"/>
    <w:rsid w:val="00D3423B"/>
    <w:rsid w:val="00D60F2B"/>
    <w:rsid w:val="00D754EC"/>
    <w:rsid w:val="00E14E65"/>
    <w:rsid w:val="00E93A6F"/>
    <w:rsid w:val="00F155DF"/>
    <w:rsid w:val="00F25D50"/>
    <w:rsid w:val="00F41F62"/>
    <w:rsid w:val="00F80FAB"/>
    <w:rsid w:val="00F83F31"/>
    <w:rsid w:val="00FA3E9A"/>
    <w:rsid w:val="00FA6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A6569"/>
  </w:style>
  <w:style w:type="character" w:customStyle="1" w:styleId="FootnoteTextChar">
    <w:name w:val="Footnote Text Char"/>
    <w:basedOn w:val="DefaultParagraphFont"/>
    <w:link w:val="FootnoteText"/>
    <w:uiPriority w:val="99"/>
    <w:rsid w:val="00FA6569"/>
  </w:style>
  <w:style w:type="character" w:styleId="FootnoteReference">
    <w:name w:val="footnote reference"/>
    <w:basedOn w:val="DefaultParagraphFont"/>
    <w:uiPriority w:val="99"/>
    <w:unhideWhenUsed/>
    <w:rsid w:val="00FA6569"/>
    <w:rPr>
      <w:vertAlign w:val="superscript"/>
    </w:rPr>
  </w:style>
  <w:style w:type="character" w:customStyle="1" w:styleId="cosearchterm">
    <w:name w:val="co_searchterm"/>
    <w:basedOn w:val="DefaultParagraphFont"/>
    <w:rsid w:val="00FA6569"/>
  </w:style>
  <w:style w:type="character" w:styleId="Emphasis">
    <w:name w:val="Emphasis"/>
    <w:basedOn w:val="DefaultParagraphFont"/>
    <w:uiPriority w:val="20"/>
    <w:qFormat/>
    <w:rsid w:val="00FA6569"/>
    <w:rPr>
      <w:i/>
      <w:iCs/>
    </w:rPr>
  </w:style>
  <w:style w:type="character" w:customStyle="1" w:styleId="cohighlightpoints">
    <w:name w:val="co_highlightpoints"/>
    <w:basedOn w:val="DefaultParagraphFont"/>
    <w:rsid w:val="00FA6569"/>
  </w:style>
  <w:style w:type="character" w:customStyle="1" w:styleId="costarpage">
    <w:name w:val="co_starpage"/>
    <w:basedOn w:val="DefaultParagraphFont"/>
    <w:rsid w:val="005B77DB"/>
  </w:style>
  <w:style w:type="paragraph" w:styleId="ListParagraph">
    <w:name w:val="List Paragraph"/>
    <w:basedOn w:val="Normal"/>
    <w:uiPriority w:val="34"/>
    <w:qFormat/>
    <w:rsid w:val="00D60F2B"/>
    <w:pPr>
      <w:ind w:left="720"/>
      <w:contextualSpacing/>
    </w:pPr>
  </w:style>
  <w:style w:type="paragraph" w:customStyle="1" w:styleId="SingleSpacing">
    <w:name w:val="Single Spacing"/>
    <w:basedOn w:val="Normal"/>
    <w:rsid w:val="00B43716"/>
    <w:pPr>
      <w:spacing w:line="227" w:lineRule="exact"/>
    </w:pPr>
    <w:rPr>
      <w:rFonts w:ascii="Courier New" w:eastAsia="Times New Roman" w:hAnsi="Courier New" w:cs="Courier New"/>
      <w:sz w:val="18"/>
      <w:szCs w:val="20"/>
    </w:rPr>
  </w:style>
  <w:style w:type="paragraph" w:customStyle="1" w:styleId="AttorneyName">
    <w:name w:val="Attorney Name"/>
    <w:basedOn w:val="SingleSpacing"/>
    <w:rsid w:val="00B43716"/>
  </w:style>
  <w:style w:type="paragraph" w:styleId="NoSpacing">
    <w:name w:val="No Spacing"/>
    <w:uiPriority w:val="1"/>
    <w:qFormat/>
    <w:rsid w:val="00CC3F61"/>
  </w:style>
  <w:style w:type="paragraph" w:styleId="BalloonText">
    <w:name w:val="Balloon Text"/>
    <w:basedOn w:val="Normal"/>
    <w:link w:val="BalloonTextChar"/>
    <w:uiPriority w:val="99"/>
    <w:semiHidden/>
    <w:unhideWhenUsed/>
    <w:rsid w:val="00CC3F61"/>
    <w:rPr>
      <w:rFonts w:ascii="Tahoma" w:hAnsi="Tahoma" w:cs="Tahoma"/>
      <w:sz w:val="16"/>
      <w:szCs w:val="16"/>
    </w:rPr>
  </w:style>
  <w:style w:type="character" w:customStyle="1" w:styleId="BalloonTextChar">
    <w:name w:val="Balloon Text Char"/>
    <w:basedOn w:val="DefaultParagraphFont"/>
    <w:link w:val="BalloonText"/>
    <w:uiPriority w:val="99"/>
    <w:semiHidden/>
    <w:rsid w:val="00CC3F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A6569"/>
  </w:style>
  <w:style w:type="character" w:customStyle="1" w:styleId="FootnoteTextChar">
    <w:name w:val="Footnote Text Char"/>
    <w:basedOn w:val="DefaultParagraphFont"/>
    <w:link w:val="FootnoteText"/>
    <w:uiPriority w:val="99"/>
    <w:rsid w:val="00FA6569"/>
  </w:style>
  <w:style w:type="character" w:styleId="FootnoteReference">
    <w:name w:val="footnote reference"/>
    <w:basedOn w:val="DefaultParagraphFont"/>
    <w:uiPriority w:val="99"/>
    <w:unhideWhenUsed/>
    <w:rsid w:val="00FA6569"/>
    <w:rPr>
      <w:vertAlign w:val="superscript"/>
    </w:rPr>
  </w:style>
  <w:style w:type="character" w:customStyle="1" w:styleId="cosearchterm">
    <w:name w:val="co_searchterm"/>
    <w:basedOn w:val="DefaultParagraphFont"/>
    <w:rsid w:val="00FA6569"/>
  </w:style>
  <w:style w:type="character" w:styleId="Emphasis">
    <w:name w:val="Emphasis"/>
    <w:basedOn w:val="DefaultParagraphFont"/>
    <w:uiPriority w:val="20"/>
    <w:qFormat/>
    <w:rsid w:val="00FA6569"/>
    <w:rPr>
      <w:i/>
      <w:iCs/>
    </w:rPr>
  </w:style>
  <w:style w:type="character" w:customStyle="1" w:styleId="cohighlightpoints">
    <w:name w:val="co_highlightpoints"/>
    <w:basedOn w:val="DefaultParagraphFont"/>
    <w:rsid w:val="00FA6569"/>
  </w:style>
  <w:style w:type="character" w:customStyle="1" w:styleId="costarpage">
    <w:name w:val="co_starpage"/>
    <w:basedOn w:val="DefaultParagraphFont"/>
    <w:rsid w:val="005B77DB"/>
  </w:style>
  <w:style w:type="paragraph" w:styleId="ListParagraph">
    <w:name w:val="List Paragraph"/>
    <w:basedOn w:val="Normal"/>
    <w:uiPriority w:val="34"/>
    <w:qFormat/>
    <w:rsid w:val="00D60F2B"/>
    <w:pPr>
      <w:ind w:left="720"/>
      <w:contextualSpacing/>
    </w:pPr>
  </w:style>
  <w:style w:type="paragraph" w:customStyle="1" w:styleId="SingleSpacing">
    <w:name w:val="Single Spacing"/>
    <w:basedOn w:val="Normal"/>
    <w:rsid w:val="00B43716"/>
    <w:pPr>
      <w:spacing w:line="227" w:lineRule="exact"/>
    </w:pPr>
    <w:rPr>
      <w:rFonts w:ascii="Courier New" w:eastAsia="Times New Roman" w:hAnsi="Courier New" w:cs="Courier New"/>
      <w:sz w:val="18"/>
      <w:szCs w:val="20"/>
    </w:rPr>
  </w:style>
  <w:style w:type="paragraph" w:customStyle="1" w:styleId="AttorneyName">
    <w:name w:val="Attorney Name"/>
    <w:basedOn w:val="SingleSpacing"/>
    <w:rsid w:val="00B43716"/>
  </w:style>
  <w:style w:type="paragraph" w:styleId="NoSpacing">
    <w:name w:val="No Spacing"/>
    <w:uiPriority w:val="1"/>
    <w:qFormat/>
    <w:rsid w:val="00CC3F61"/>
  </w:style>
  <w:style w:type="paragraph" w:styleId="BalloonText">
    <w:name w:val="Balloon Text"/>
    <w:basedOn w:val="Normal"/>
    <w:link w:val="BalloonTextChar"/>
    <w:uiPriority w:val="99"/>
    <w:semiHidden/>
    <w:unhideWhenUsed/>
    <w:rsid w:val="00CC3F61"/>
    <w:rPr>
      <w:rFonts w:ascii="Tahoma" w:hAnsi="Tahoma" w:cs="Tahoma"/>
      <w:sz w:val="16"/>
      <w:szCs w:val="16"/>
    </w:rPr>
  </w:style>
  <w:style w:type="character" w:customStyle="1" w:styleId="BalloonTextChar">
    <w:name w:val="Balloon Text Char"/>
    <w:basedOn w:val="DefaultParagraphFont"/>
    <w:link w:val="BalloonText"/>
    <w:uiPriority w:val="99"/>
    <w:semiHidden/>
    <w:rsid w:val="00CC3F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3048">
      <w:bodyDiv w:val="1"/>
      <w:marLeft w:val="0"/>
      <w:marRight w:val="0"/>
      <w:marTop w:val="0"/>
      <w:marBottom w:val="0"/>
      <w:divBdr>
        <w:top w:val="none" w:sz="0" w:space="0" w:color="auto"/>
        <w:left w:val="none" w:sz="0" w:space="0" w:color="auto"/>
        <w:bottom w:val="none" w:sz="0" w:space="0" w:color="auto"/>
        <w:right w:val="none" w:sz="0" w:space="0" w:color="auto"/>
      </w:divBdr>
    </w:div>
    <w:div w:id="25912615">
      <w:bodyDiv w:val="1"/>
      <w:marLeft w:val="0"/>
      <w:marRight w:val="0"/>
      <w:marTop w:val="0"/>
      <w:marBottom w:val="0"/>
      <w:divBdr>
        <w:top w:val="none" w:sz="0" w:space="0" w:color="auto"/>
        <w:left w:val="none" w:sz="0" w:space="0" w:color="auto"/>
        <w:bottom w:val="none" w:sz="0" w:space="0" w:color="auto"/>
        <w:right w:val="none" w:sz="0" w:space="0" w:color="auto"/>
      </w:divBdr>
    </w:div>
    <w:div w:id="177622331">
      <w:bodyDiv w:val="1"/>
      <w:marLeft w:val="0"/>
      <w:marRight w:val="0"/>
      <w:marTop w:val="0"/>
      <w:marBottom w:val="0"/>
      <w:divBdr>
        <w:top w:val="none" w:sz="0" w:space="0" w:color="auto"/>
        <w:left w:val="none" w:sz="0" w:space="0" w:color="auto"/>
        <w:bottom w:val="none" w:sz="0" w:space="0" w:color="auto"/>
        <w:right w:val="none" w:sz="0" w:space="0" w:color="auto"/>
      </w:divBdr>
    </w:div>
    <w:div w:id="285241086">
      <w:bodyDiv w:val="1"/>
      <w:marLeft w:val="0"/>
      <w:marRight w:val="0"/>
      <w:marTop w:val="0"/>
      <w:marBottom w:val="0"/>
      <w:divBdr>
        <w:top w:val="none" w:sz="0" w:space="0" w:color="auto"/>
        <w:left w:val="none" w:sz="0" w:space="0" w:color="auto"/>
        <w:bottom w:val="none" w:sz="0" w:space="0" w:color="auto"/>
        <w:right w:val="none" w:sz="0" w:space="0" w:color="auto"/>
      </w:divBdr>
      <w:divsChild>
        <w:div w:id="1359890354">
          <w:marLeft w:val="0"/>
          <w:marRight w:val="0"/>
          <w:marTop w:val="0"/>
          <w:marBottom w:val="0"/>
          <w:divBdr>
            <w:top w:val="none" w:sz="0" w:space="0" w:color="auto"/>
            <w:left w:val="none" w:sz="0" w:space="0" w:color="auto"/>
            <w:bottom w:val="none" w:sz="0" w:space="0" w:color="auto"/>
            <w:right w:val="none" w:sz="0" w:space="0" w:color="auto"/>
          </w:divBdr>
          <w:divsChild>
            <w:div w:id="1225023463">
              <w:marLeft w:val="0"/>
              <w:marRight w:val="0"/>
              <w:marTop w:val="0"/>
              <w:marBottom w:val="0"/>
              <w:divBdr>
                <w:top w:val="none" w:sz="0" w:space="0" w:color="auto"/>
                <w:left w:val="none" w:sz="0" w:space="0" w:color="auto"/>
                <w:bottom w:val="none" w:sz="0" w:space="0" w:color="auto"/>
                <w:right w:val="none" w:sz="0" w:space="0" w:color="auto"/>
              </w:divBdr>
              <w:divsChild>
                <w:div w:id="1606888766">
                  <w:marLeft w:val="0"/>
                  <w:marRight w:val="0"/>
                  <w:marTop w:val="0"/>
                  <w:marBottom w:val="0"/>
                  <w:divBdr>
                    <w:top w:val="none" w:sz="0" w:space="0" w:color="auto"/>
                    <w:left w:val="none" w:sz="0" w:space="0" w:color="auto"/>
                    <w:bottom w:val="none" w:sz="0" w:space="0" w:color="auto"/>
                    <w:right w:val="none" w:sz="0" w:space="0" w:color="auto"/>
                  </w:divBdr>
                  <w:divsChild>
                    <w:div w:id="212364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899317">
      <w:bodyDiv w:val="1"/>
      <w:marLeft w:val="0"/>
      <w:marRight w:val="0"/>
      <w:marTop w:val="0"/>
      <w:marBottom w:val="0"/>
      <w:divBdr>
        <w:top w:val="none" w:sz="0" w:space="0" w:color="auto"/>
        <w:left w:val="none" w:sz="0" w:space="0" w:color="auto"/>
        <w:bottom w:val="none" w:sz="0" w:space="0" w:color="auto"/>
        <w:right w:val="none" w:sz="0" w:space="0" w:color="auto"/>
      </w:divBdr>
    </w:div>
    <w:div w:id="890533217">
      <w:bodyDiv w:val="1"/>
      <w:marLeft w:val="0"/>
      <w:marRight w:val="0"/>
      <w:marTop w:val="0"/>
      <w:marBottom w:val="0"/>
      <w:divBdr>
        <w:top w:val="none" w:sz="0" w:space="0" w:color="auto"/>
        <w:left w:val="none" w:sz="0" w:space="0" w:color="auto"/>
        <w:bottom w:val="none" w:sz="0" w:space="0" w:color="auto"/>
        <w:right w:val="none" w:sz="0" w:space="0" w:color="auto"/>
      </w:divBdr>
      <w:divsChild>
        <w:div w:id="965354847">
          <w:marLeft w:val="0"/>
          <w:marRight w:val="0"/>
          <w:marTop w:val="0"/>
          <w:marBottom w:val="0"/>
          <w:divBdr>
            <w:top w:val="none" w:sz="0" w:space="0" w:color="auto"/>
            <w:left w:val="none" w:sz="0" w:space="0" w:color="auto"/>
            <w:bottom w:val="none" w:sz="0" w:space="0" w:color="auto"/>
            <w:right w:val="none" w:sz="0" w:space="0" w:color="auto"/>
          </w:divBdr>
          <w:divsChild>
            <w:div w:id="200928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97388">
      <w:bodyDiv w:val="1"/>
      <w:marLeft w:val="0"/>
      <w:marRight w:val="0"/>
      <w:marTop w:val="0"/>
      <w:marBottom w:val="0"/>
      <w:divBdr>
        <w:top w:val="none" w:sz="0" w:space="0" w:color="auto"/>
        <w:left w:val="none" w:sz="0" w:space="0" w:color="auto"/>
        <w:bottom w:val="none" w:sz="0" w:space="0" w:color="auto"/>
        <w:right w:val="none" w:sz="0" w:space="0" w:color="auto"/>
      </w:divBdr>
    </w:div>
    <w:div w:id="1300188675">
      <w:bodyDiv w:val="1"/>
      <w:marLeft w:val="0"/>
      <w:marRight w:val="0"/>
      <w:marTop w:val="0"/>
      <w:marBottom w:val="0"/>
      <w:divBdr>
        <w:top w:val="none" w:sz="0" w:space="0" w:color="auto"/>
        <w:left w:val="none" w:sz="0" w:space="0" w:color="auto"/>
        <w:bottom w:val="none" w:sz="0" w:space="0" w:color="auto"/>
        <w:right w:val="none" w:sz="0" w:space="0" w:color="auto"/>
      </w:divBdr>
      <w:divsChild>
        <w:div w:id="1856532606">
          <w:marLeft w:val="0"/>
          <w:marRight w:val="0"/>
          <w:marTop w:val="0"/>
          <w:marBottom w:val="0"/>
          <w:divBdr>
            <w:top w:val="none" w:sz="0" w:space="0" w:color="auto"/>
            <w:left w:val="none" w:sz="0" w:space="0" w:color="auto"/>
            <w:bottom w:val="none" w:sz="0" w:space="0" w:color="auto"/>
            <w:right w:val="none" w:sz="0" w:space="0" w:color="auto"/>
          </w:divBdr>
          <w:divsChild>
            <w:div w:id="9106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10669">
      <w:bodyDiv w:val="1"/>
      <w:marLeft w:val="0"/>
      <w:marRight w:val="0"/>
      <w:marTop w:val="0"/>
      <w:marBottom w:val="0"/>
      <w:divBdr>
        <w:top w:val="none" w:sz="0" w:space="0" w:color="auto"/>
        <w:left w:val="none" w:sz="0" w:space="0" w:color="auto"/>
        <w:bottom w:val="none" w:sz="0" w:space="0" w:color="auto"/>
        <w:right w:val="none" w:sz="0" w:space="0" w:color="auto"/>
      </w:divBdr>
      <w:divsChild>
        <w:div w:id="118426857">
          <w:marLeft w:val="0"/>
          <w:marRight w:val="0"/>
          <w:marTop w:val="0"/>
          <w:marBottom w:val="0"/>
          <w:divBdr>
            <w:top w:val="none" w:sz="0" w:space="0" w:color="auto"/>
            <w:left w:val="none" w:sz="0" w:space="0" w:color="auto"/>
            <w:bottom w:val="none" w:sz="0" w:space="0" w:color="auto"/>
            <w:right w:val="none" w:sz="0" w:space="0" w:color="auto"/>
          </w:divBdr>
          <w:divsChild>
            <w:div w:id="1238324300">
              <w:marLeft w:val="0"/>
              <w:marRight w:val="0"/>
              <w:marTop w:val="0"/>
              <w:marBottom w:val="0"/>
              <w:divBdr>
                <w:top w:val="none" w:sz="0" w:space="0" w:color="auto"/>
                <w:left w:val="none" w:sz="0" w:space="0" w:color="auto"/>
                <w:bottom w:val="none" w:sz="0" w:space="0" w:color="auto"/>
                <w:right w:val="none" w:sz="0" w:space="0" w:color="auto"/>
              </w:divBdr>
              <w:divsChild>
                <w:div w:id="250506166">
                  <w:marLeft w:val="0"/>
                  <w:marRight w:val="0"/>
                  <w:marTop w:val="0"/>
                  <w:marBottom w:val="0"/>
                  <w:divBdr>
                    <w:top w:val="none" w:sz="0" w:space="0" w:color="auto"/>
                    <w:left w:val="none" w:sz="0" w:space="0" w:color="auto"/>
                    <w:bottom w:val="none" w:sz="0" w:space="0" w:color="auto"/>
                    <w:right w:val="none" w:sz="0" w:space="0" w:color="auto"/>
                  </w:divBdr>
                  <w:divsChild>
                    <w:div w:id="86776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722767">
      <w:bodyDiv w:val="1"/>
      <w:marLeft w:val="0"/>
      <w:marRight w:val="0"/>
      <w:marTop w:val="0"/>
      <w:marBottom w:val="0"/>
      <w:divBdr>
        <w:top w:val="none" w:sz="0" w:space="0" w:color="auto"/>
        <w:left w:val="none" w:sz="0" w:space="0" w:color="auto"/>
        <w:bottom w:val="none" w:sz="0" w:space="0" w:color="auto"/>
        <w:right w:val="none" w:sz="0" w:space="0" w:color="auto"/>
      </w:divBdr>
    </w:div>
    <w:div w:id="1555120052">
      <w:bodyDiv w:val="1"/>
      <w:marLeft w:val="0"/>
      <w:marRight w:val="0"/>
      <w:marTop w:val="0"/>
      <w:marBottom w:val="0"/>
      <w:divBdr>
        <w:top w:val="none" w:sz="0" w:space="0" w:color="auto"/>
        <w:left w:val="none" w:sz="0" w:space="0" w:color="auto"/>
        <w:bottom w:val="none" w:sz="0" w:space="0" w:color="auto"/>
        <w:right w:val="none" w:sz="0" w:space="0" w:color="auto"/>
      </w:divBdr>
    </w:div>
    <w:div w:id="15772067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049D5-9836-4E7C-8255-3190B2232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1745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Maricopa Judicial Branch</Company>
  <LinksUpToDate>false</LinksUpToDate>
  <CharactersWithSpaces>11671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McMurdie</dc:creator>
  <cp:lastModifiedBy>Windows User</cp:lastModifiedBy>
  <cp:revision>6</cp:revision>
  <cp:lastPrinted>2016-08-04T22:58:00Z</cp:lastPrinted>
  <dcterms:created xsi:type="dcterms:W3CDTF">2016-08-04T21:00:00Z</dcterms:created>
  <dcterms:modified xsi:type="dcterms:W3CDTF">2016-08-04T22:59:00Z</dcterms:modified>
</cp:coreProperties>
</file>