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732169" w:rsidP="00000C35">
            <w:pPr>
              <w:pStyle w:val="FirmInformation"/>
              <w:spacing w:line="240" w:lineRule="auto"/>
              <w:rPr>
                <w:sz w:val="28"/>
                <w:szCs w:val="28"/>
              </w:rPr>
            </w:pPr>
            <w:bookmarkStart w:id="0" w:name="_zzmpFIXED_CounselTable"/>
            <w:bookmarkStart w:id="1" w:name="_GoBack"/>
            <w:bookmarkEnd w:id="1"/>
            <w:r>
              <w:rPr>
                <w:sz w:val="28"/>
                <w:szCs w:val="28"/>
              </w:rPr>
              <w:t xml:space="preserve">John </w:t>
            </w:r>
            <w:r w:rsidR="00A93A7C">
              <w:rPr>
                <w:sz w:val="28"/>
                <w:szCs w:val="28"/>
              </w:rPr>
              <w:t xml:space="preserve">A. </w:t>
            </w:r>
            <w:r>
              <w:rPr>
                <w:sz w:val="28"/>
                <w:szCs w:val="28"/>
              </w:rPr>
              <w:t xml:space="preserve">Furlong, </w:t>
            </w:r>
            <w:r w:rsidRPr="006F63FD">
              <w:rPr>
                <w:sz w:val="28"/>
                <w:szCs w:val="28"/>
              </w:rPr>
              <w:t>Bar No. 018356</w:t>
            </w:r>
            <w:r>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357F4D" w:rsidRPr="006F63FD" w:rsidRDefault="00352347" w:rsidP="00000C35">
            <w:pPr>
              <w:pStyle w:val="FirmInformation"/>
              <w:spacing w:line="240" w:lineRule="auto"/>
              <w:rPr>
                <w:sz w:val="28"/>
                <w:szCs w:val="28"/>
              </w:rPr>
            </w:pPr>
            <w:r>
              <w:rPr>
                <w:sz w:val="28"/>
                <w:szCs w:val="28"/>
              </w:rPr>
              <w:t>(602) 340-7236</w:t>
            </w:r>
          </w:p>
          <w:p w:rsidR="006F63FD" w:rsidRPr="00735659" w:rsidRDefault="00BC473C" w:rsidP="00735659">
            <w:pPr>
              <w:pStyle w:val="FirmInformation"/>
              <w:spacing w:line="240" w:lineRule="auto"/>
              <w:rPr>
                <w:sz w:val="28"/>
                <w:szCs w:val="28"/>
              </w:rPr>
            </w:pPr>
            <w:hyperlink r:id="rId8" w:history="1">
              <w:r w:rsidR="006F63FD" w:rsidRPr="003F71FF">
                <w:rPr>
                  <w:rStyle w:val="Hyperlink"/>
                  <w:sz w:val="28"/>
                  <w:szCs w:val="28"/>
                </w:rPr>
                <w:t>John.Furlong@staff.azbar.org</w:t>
              </w:r>
            </w:hyperlink>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2" w:name="_zzmpFIXED_CaptionTable"/>
            <w:r w:rsidRPr="006F63FD">
              <w:rPr>
                <w:sz w:val="28"/>
                <w:szCs w:val="28"/>
              </w:rPr>
              <w:t>In the Matter of:</w:t>
            </w:r>
          </w:p>
          <w:p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F21348">
              <w:rPr>
                <w:b/>
                <w:sz w:val="28"/>
                <w:szCs w:val="28"/>
              </w:rPr>
              <w:t>MODIFY RULE 5.1(a), ARIZONA RULES OF CIVIL PROCEDURE</w:t>
            </w:r>
          </w:p>
          <w:p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F21348">
              <w:rPr>
                <w:sz w:val="28"/>
                <w:szCs w:val="28"/>
              </w:rPr>
              <w:t>16-0017</w:t>
            </w:r>
          </w:p>
          <w:p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p>
          <w:p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THE 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tbl>
    <w:bookmarkEnd w:id="2"/>
    <w:p w:rsidR="009C562C" w:rsidRPr="009C562C" w:rsidRDefault="009C562C" w:rsidP="009C562C">
      <w:pPr>
        <w:pStyle w:val="BodyText"/>
        <w:spacing w:before="240" w:line="480" w:lineRule="auto"/>
        <w:ind w:right="187" w:firstLine="720"/>
        <w:jc w:val="both"/>
        <w:rPr>
          <w:sz w:val="28"/>
          <w:szCs w:val="28"/>
        </w:rPr>
      </w:pPr>
      <w:r w:rsidRPr="009C562C">
        <w:rPr>
          <w:sz w:val="28"/>
          <w:szCs w:val="28"/>
        </w:rPr>
        <w:t xml:space="preserve">A Petition has been submitted to amend Rule 5.1 of the Arizona Rules of Civil Procedure to simplify the procedure for attorneys from the same governmental law office or a public or private law firm to substitute or associate another attorney from the same office or firm as counsel of record. The proposed Rule 5.1 would add a new subsection (a)(2)(D) that reads as follows: </w:t>
      </w:r>
    </w:p>
    <w:p w:rsidR="009C562C" w:rsidRPr="009C562C" w:rsidRDefault="009C562C" w:rsidP="009C562C">
      <w:pPr>
        <w:pStyle w:val="BodyText"/>
        <w:spacing w:after="240" w:line="240" w:lineRule="auto"/>
        <w:ind w:left="1440" w:right="1512"/>
        <w:jc w:val="both"/>
        <w:rPr>
          <w:sz w:val="28"/>
          <w:szCs w:val="28"/>
        </w:rPr>
      </w:pPr>
      <w:r w:rsidRPr="009C562C">
        <w:rPr>
          <w:sz w:val="28"/>
          <w:szCs w:val="28"/>
        </w:rPr>
        <w:t xml:space="preserve">(D) Notwithstanding the provisions of Paragraph (a)(2) of this Rule, a governmental law office or a public or private law firm that has appeared as counsel of record may substitute or associate an attorney who is a member of, associated with, or otherwise employed by that office or firm, by timely filing a notice of substitution or association with the court. The notice shall state the names of the attorneys who are the subjects of the </w:t>
      </w:r>
      <w:r w:rsidRPr="009C562C">
        <w:rPr>
          <w:sz w:val="28"/>
          <w:szCs w:val="28"/>
        </w:rPr>
        <w:lastRenderedPageBreak/>
        <w:t>substitution or association and the current address and e-mail address of the attorney substituting or associating.</w:t>
      </w:r>
    </w:p>
    <w:p w:rsidR="009C562C" w:rsidRPr="009C562C" w:rsidRDefault="009C562C" w:rsidP="009C562C">
      <w:pPr>
        <w:pStyle w:val="BodyText"/>
        <w:spacing w:line="480" w:lineRule="auto"/>
        <w:ind w:right="187"/>
        <w:jc w:val="both"/>
        <w:rPr>
          <w:sz w:val="28"/>
          <w:szCs w:val="28"/>
        </w:rPr>
      </w:pPr>
      <w:r w:rsidRPr="009C562C">
        <w:rPr>
          <w:sz w:val="28"/>
          <w:szCs w:val="28"/>
        </w:rPr>
        <w:t>The State Bar supports the Petition’s proposal, but suggests that it be implemented through different language that is modeled after the proposed amendment to the District of Arizona’s Local Civil Rule 83.3 and that conforms to the style conventions of the Task Force on the Arizona Rules of Civil Procedure. Proposed language is included in the attached Exhibits 1-2.</w:t>
      </w:r>
      <w:r w:rsidRPr="009C562C">
        <w:rPr>
          <w:rStyle w:val="FootnoteReference"/>
          <w:sz w:val="28"/>
          <w:szCs w:val="28"/>
        </w:rPr>
        <w:footnoteReference w:id="1"/>
      </w:r>
      <w:r w:rsidRPr="009C562C">
        <w:rPr>
          <w:sz w:val="28"/>
          <w:szCs w:val="28"/>
        </w:rPr>
        <w:t xml:space="preserve"> </w:t>
      </w:r>
    </w:p>
    <w:p w:rsidR="009C562C" w:rsidRPr="009C562C" w:rsidRDefault="009C562C" w:rsidP="009C562C">
      <w:pPr>
        <w:pStyle w:val="PleadingsL2"/>
        <w:numPr>
          <w:ilvl w:val="0"/>
          <w:numId w:val="16"/>
        </w:numPr>
        <w:tabs>
          <w:tab w:val="left" w:pos="720"/>
          <w:tab w:val="left" w:pos="9432"/>
        </w:tabs>
        <w:spacing w:before="0" w:after="240" w:line="240" w:lineRule="auto"/>
        <w:ind w:left="720"/>
        <w:rPr>
          <w:sz w:val="28"/>
          <w:szCs w:val="28"/>
        </w:rPr>
      </w:pPr>
      <w:r w:rsidRPr="009C562C">
        <w:rPr>
          <w:sz w:val="28"/>
          <w:szCs w:val="28"/>
        </w:rPr>
        <w:t xml:space="preserve">The Proposed Rule Change Would Ease Administrative Burdens and Promote </w:t>
      </w:r>
      <w:r>
        <w:rPr>
          <w:sz w:val="28"/>
          <w:szCs w:val="28"/>
        </w:rPr>
        <w:t xml:space="preserve">Judicial </w:t>
      </w:r>
      <w:r w:rsidRPr="009C562C">
        <w:rPr>
          <w:sz w:val="28"/>
          <w:szCs w:val="28"/>
        </w:rPr>
        <w:t xml:space="preserve">Efficiency. </w:t>
      </w:r>
    </w:p>
    <w:p w:rsidR="009C562C" w:rsidRPr="009C562C" w:rsidRDefault="009C562C" w:rsidP="009C562C">
      <w:pPr>
        <w:pStyle w:val="BodyText"/>
        <w:spacing w:line="480" w:lineRule="auto"/>
        <w:ind w:firstLine="720"/>
        <w:jc w:val="both"/>
        <w:rPr>
          <w:sz w:val="28"/>
          <w:szCs w:val="28"/>
        </w:rPr>
      </w:pPr>
      <w:r w:rsidRPr="009C562C">
        <w:rPr>
          <w:sz w:val="28"/>
          <w:szCs w:val="28"/>
        </w:rPr>
        <w:t xml:space="preserve">As explained in the Petition, the current Arizona Rule of Civil Procedure 5.1(a)(2) establishes the procedure for withdrawal and substitution of an attorney of record. A withdrawal or substitution requires first either an application bearing the client’s written approval or a motion.  It then requires a formal written order granting the withdrawal.  </w:t>
      </w:r>
    </w:p>
    <w:p w:rsidR="009C562C" w:rsidRPr="009C562C" w:rsidRDefault="009C562C" w:rsidP="00F21348">
      <w:pPr>
        <w:pStyle w:val="BodyText"/>
        <w:spacing w:line="480" w:lineRule="auto"/>
        <w:ind w:firstLine="720"/>
        <w:jc w:val="both"/>
        <w:rPr>
          <w:sz w:val="28"/>
          <w:szCs w:val="28"/>
        </w:rPr>
      </w:pPr>
      <w:r w:rsidRPr="009C562C">
        <w:rPr>
          <w:sz w:val="28"/>
          <w:szCs w:val="28"/>
        </w:rPr>
        <w:t xml:space="preserve">The current procedure, however, is unnecessarily onerous where a law firm or governmental law office simply wants to substitute one attorney in the office for another attorney in the same office.  The concerns arising when an entirely new office or firm takes over the case do not arise when the same office or firm continues </w:t>
      </w:r>
      <w:r w:rsidRPr="009C562C">
        <w:rPr>
          <w:sz w:val="28"/>
          <w:szCs w:val="28"/>
        </w:rPr>
        <w:lastRenderedPageBreak/>
        <w:t xml:space="preserve">the representation, simply with different lawyers.  In today’s legal industry, attorneys often switch law firms or law offices, requiring different attorneys from the same office to assume responsibility for cases.  Clients even often know early on that different attorneys from the same office or firm may need to work on their cases.  Further, when the same office or firm takes over, there is no need to transfer files across offices, and the institutional knowledge of the matter can more easily be given to the attorney(s) assuming control of the matter. Indeed, it would not be uncommon for other attorneys from the same office or firm to have worked on the matter even before the original attorney of record seeks to withdraw.  The simple notice procedure that the Petition proposes gives adequate notice to the court and the parties, without requiring the same formal procedures that are justified when an entirely new office or firm takes over the case. </w:t>
      </w:r>
    </w:p>
    <w:p w:rsidR="009C562C" w:rsidRPr="009C562C" w:rsidRDefault="009C562C" w:rsidP="00F21348">
      <w:pPr>
        <w:pStyle w:val="BodyText"/>
        <w:spacing w:line="480" w:lineRule="auto"/>
        <w:ind w:right="-18" w:firstLine="720"/>
        <w:jc w:val="both"/>
        <w:rPr>
          <w:sz w:val="28"/>
          <w:szCs w:val="28"/>
        </w:rPr>
      </w:pPr>
      <w:r w:rsidRPr="009C562C">
        <w:rPr>
          <w:sz w:val="28"/>
          <w:szCs w:val="28"/>
        </w:rPr>
        <w:t xml:space="preserve">Arizona would hardly be the first jurisdiction to ease administrative burdens on litigants and the court where the same office or firm continues the representation.  Namely, the District of Arizona Local Civil Rule 83.3 incorporates this procedure. And the District of Arizona is not alone.  </w:t>
      </w:r>
      <w:r w:rsidRPr="009C562C">
        <w:rPr>
          <w:i/>
          <w:sz w:val="28"/>
          <w:szCs w:val="28"/>
        </w:rPr>
        <w:t>See, e.g.</w:t>
      </w:r>
      <w:r w:rsidRPr="009C562C">
        <w:rPr>
          <w:sz w:val="28"/>
          <w:szCs w:val="28"/>
        </w:rPr>
        <w:t xml:space="preserve">, D. N.H. Local R. 83.6(d) (notice of withdrawal sufficient if another attorney from the same law firm, government agency, or in-house legal counsel department will continue to represent the client); D. Or. Local Civ. R. 83-11 (notice of withdrawal suffices if a member of the </w:t>
      </w:r>
      <w:r w:rsidRPr="009C562C">
        <w:rPr>
          <w:sz w:val="28"/>
          <w:szCs w:val="28"/>
        </w:rPr>
        <w:lastRenderedPageBreak/>
        <w:t xml:space="preserve">withdrawing attorney’s law firm remains counsel of record); D. Wash. Local Civ. R. 83.2 (no order of substitution required for a change of counsel within the same firm; notice of the change suffices); W.D. Mo. Bankr. R. 2091-1 (notice of substitution permitted if new counsel is employed at the same law firm as the former attorney of record). </w:t>
      </w:r>
    </w:p>
    <w:p w:rsidR="009C562C" w:rsidRPr="009C562C" w:rsidRDefault="009C562C" w:rsidP="009C562C">
      <w:pPr>
        <w:pStyle w:val="PleadingsL2"/>
        <w:numPr>
          <w:ilvl w:val="0"/>
          <w:numId w:val="16"/>
        </w:numPr>
        <w:tabs>
          <w:tab w:val="left" w:pos="720"/>
          <w:tab w:val="left" w:pos="9360"/>
        </w:tabs>
        <w:spacing w:before="0" w:line="240" w:lineRule="auto"/>
        <w:ind w:left="720"/>
        <w:jc w:val="both"/>
        <w:rPr>
          <w:sz w:val="28"/>
          <w:szCs w:val="28"/>
        </w:rPr>
      </w:pPr>
      <w:r w:rsidRPr="009C562C">
        <w:rPr>
          <w:sz w:val="28"/>
          <w:szCs w:val="28"/>
        </w:rPr>
        <w:t xml:space="preserve">The Language of Rule 5.1 Should Be Amended to Conform with the Proposed Structure of Amended District of Arizona Local Civil Rule 83.3 and with </w:t>
      </w:r>
      <w:r w:rsidRPr="00F21348">
        <w:rPr>
          <w:sz w:val="28"/>
          <w:szCs w:val="28"/>
        </w:rPr>
        <w:t>Current Stylistic Conventions.</w:t>
      </w:r>
      <w:r w:rsidRPr="00F21348">
        <w:rPr>
          <w:sz w:val="28"/>
          <w:szCs w:val="28"/>
        </w:rPr>
        <w:tab/>
      </w:r>
    </w:p>
    <w:p w:rsidR="009C562C" w:rsidRPr="009C562C" w:rsidRDefault="009C562C" w:rsidP="00F21348">
      <w:pPr>
        <w:pStyle w:val="BodyText"/>
        <w:spacing w:before="240" w:line="480" w:lineRule="auto"/>
        <w:ind w:firstLine="720"/>
        <w:jc w:val="both"/>
        <w:rPr>
          <w:sz w:val="28"/>
          <w:szCs w:val="28"/>
        </w:rPr>
      </w:pPr>
      <w:r w:rsidRPr="009C562C">
        <w:rPr>
          <w:sz w:val="28"/>
          <w:szCs w:val="28"/>
        </w:rPr>
        <w:t xml:space="preserve">The Petition proposes language that mirrors the </w:t>
      </w:r>
      <w:r w:rsidRPr="009C562C">
        <w:rPr>
          <w:i/>
          <w:sz w:val="28"/>
          <w:szCs w:val="28"/>
        </w:rPr>
        <w:t xml:space="preserve">current </w:t>
      </w:r>
      <w:r w:rsidRPr="009C562C">
        <w:rPr>
          <w:sz w:val="28"/>
          <w:szCs w:val="28"/>
        </w:rPr>
        <w:t xml:space="preserve">version of the District of Arizona Local Civil Rule 83.3(b)(4). A district court committee, however, has proposed amending Local Civil Rule 83.3(b), keeping the substance of the rule but clarifying the language.  In particular, the proposed Local Rule eliminates superfluous language and removes ambiguity as to whether an “law office” or “firm” can be “counsel of record”—as opposed to only </w:t>
      </w:r>
      <w:r w:rsidRPr="009C562C">
        <w:rPr>
          <w:i/>
          <w:sz w:val="28"/>
          <w:szCs w:val="28"/>
        </w:rPr>
        <w:t>attorneys</w:t>
      </w:r>
      <w:r w:rsidRPr="009C562C">
        <w:rPr>
          <w:sz w:val="28"/>
          <w:szCs w:val="28"/>
        </w:rPr>
        <w:t xml:space="preserve"> being “counsel of record.</w:t>
      </w:r>
      <w:r w:rsidR="00C324FB">
        <w:rPr>
          <w:sz w:val="28"/>
          <w:szCs w:val="28"/>
        </w:rPr>
        <w:t>”</w:t>
      </w:r>
      <w:r w:rsidRPr="009C562C">
        <w:rPr>
          <w:sz w:val="28"/>
          <w:szCs w:val="28"/>
        </w:rPr>
        <w:t xml:space="preserve">  Ex. 3 (Proposed Amendment to LRCiv 83.3). An earlier subsection of LRCiv 83.3(b) also references that the general rule regarding attorney withdrawal and substitution does not apply to a “change of counsel within the same law firm or governmental law office.”  </w:t>
      </w:r>
      <w:r w:rsidRPr="009C562C">
        <w:rPr>
          <w:i/>
          <w:sz w:val="28"/>
          <w:szCs w:val="28"/>
        </w:rPr>
        <w:t>Id.</w:t>
      </w:r>
    </w:p>
    <w:p w:rsidR="009C562C" w:rsidRPr="009C562C" w:rsidRDefault="009C562C" w:rsidP="00F21348">
      <w:pPr>
        <w:pStyle w:val="BodyText"/>
        <w:spacing w:line="480" w:lineRule="auto"/>
        <w:ind w:firstLine="720"/>
        <w:jc w:val="both"/>
        <w:rPr>
          <w:sz w:val="28"/>
          <w:szCs w:val="28"/>
        </w:rPr>
      </w:pPr>
      <w:r w:rsidRPr="009C562C">
        <w:rPr>
          <w:sz w:val="28"/>
          <w:szCs w:val="28"/>
        </w:rPr>
        <w:t xml:space="preserve">As the Petitioner likely recognized, there is value in having the Arizona rule and the federal local rule consistent on administrative issues like these.  That value </w:t>
      </w:r>
      <w:r w:rsidRPr="009C562C">
        <w:rPr>
          <w:sz w:val="28"/>
          <w:szCs w:val="28"/>
        </w:rPr>
        <w:lastRenderedPageBreak/>
        <w:t>can best be realized if Arizona’s Rule 5.1(a)(2) conforms to the proposed amended version of LRCiv 83.3(b), assuming the proposed amendment is approved.</w:t>
      </w:r>
      <w:r w:rsidRPr="009C562C">
        <w:rPr>
          <w:rStyle w:val="FootnoteReference"/>
          <w:sz w:val="28"/>
          <w:szCs w:val="28"/>
        </w:rPr>
        <w:footnoteReference w:id="2"/>
      </w:r>
    </w:p>
    <w:p w:rsidR="009C562C" w:rsidRPr="009C562C" w:rsidRDefault="009C562C" w:rsidP="00F21348">
      <w:pPr>
        <w:pStyle w:val="BodyText"/>
        <w:spacing w:line="480" w:lineRule="auto"/>
        <w:ind w:firstLine="720"/>
        <w:jc w:val="both"/>
        <w:rPr>
          <w:sz w:val="28"/>
          <w:szCs w:val="28"/>
        </w:rPr>
      </w:pPr>
      <w:r w:rsidRPr="009C562C">
        <w:rPr>
          <w:sz w:val="28"/>
          <w:szCs w:val="28"/>
        </w:rPr>
        <w:t xml:space="preserve">Further, Arizona’s Rule 5.1 should conform to current stylistic conventions, even though that would result in Arizona’s rule differing slightly from Local Rule 83.3. For example, the stylistic convention undertaken by the Task Force on the Arizona Rules of Civil Procedure generally avoids using the potentially-ambiguous term “shall” when a different term like “must” or “may” would be clearer.  The Petition (as well as the current and proposed Local Rule 83.3) say that the notice of change of counsel “shall” include the name of the attorneys who are the subjects of the substitution or the association and the current address and e-mail address of the attorney </w:t>
      </w:r>
      <w:r w:rsidR="00C324FB">
        <w:rPr>
          <w:sz w:val="28"/>
          <w:szCs w:val="28"/>
        </w:rPr>
        <w:t>substituting</w:t>
      </w:r>
      <w:r w:rsidRPr="009C562C">
        <w:rPr>
          <w:sz w:val="28"/>
          <w:szCs w:val="28"/>
        </w:rPr>
        <w:t xml:space="preserve"> or associating.  Clarifying that the information “must” be provided would conform to current stylistic conventions and reduce ambiguity. Current stylistic conventions also </w:t>
      </w:r>
      <w:r w:rsidR="00C324FB">
        <w:rPr>
          <w:sz w:val="28"/>
          <w:szCs w:val="28"/>
        </w:rPr>
        <w:t>recommend</w:t>
      </w:r>
      <w:r w:rsidRPr="009C562C">
        <w:rPr>
          <w:sz w:val="28"/>
          <w:szCs w:val="28"/>
        </w:rPr>
        <w:t xml:space="preserve"> that the phrase “where there has been a change of counsel,” as in the proposed Local Rule 83.3, be revised to “if there is a change of counsel.” Finally, the sentence beginning with “[w]here there has been a </w:t>
      </w:r>
      <w:r w:rsidRPr="009C562C">
        <w:rPr>
          <w:sz w:val="28"/>
          <w:szCs w:val="28"/>
        </w:rPr>
        <w:lastRenderedPageBreak/>
        <w:t>change of counsel” is unnecessarily</w:t>
      </w:r>
      <w:r w:rsidR="00C324FB">
        <w:rPr>
          <w:sz w:val="28"/>
          <w:szCs w:val="28"/>
        </w:rPr>
        <w:t xml:space="preserve"> long and can be split into two</w:t>
      </w:r>
      <w:r w:rsidRPr="009C562C">
        <w:rPr>
          <w:sz w:val="28"/>
          <w:szCs w:val="28"/>
        </w:rPr>
        <w:t xml:space="preserve"> shorter</w:t>
      </w:r>
      <w:r w:rsidR="00C324FB">
        <w:rPr>
          <w:sz w:val="28"/>
          <w:szCs w:val="28"/>
        </w:rPr>
        <w:t xml:space="preserve">, </w:t>
      </w:r>
      <w:r w:rsidRPr="009C562C">
        <w:rPr>
          <w:sz w:val="28"/>
          <w:szCs w:val="28"/>
        </w:rPr>
        <w:t xml:space="preserve">clearer sentences. </w:t>
      </w:r>
    </w:p>
    <w:p w:rsidR="009C562C" w:rsidRPr="00F21348" w:rsidRDefault="00F21348" w:rsidP="00F21348">
      <w:pPr>
        <w:pStyle w:val="PleadingsL2"/>
        <w:numPr>
          <w:ilvl w:val="0"/>
          <w:numId w:val="0"/>
        </w:numPr>
        <w:spacing w:before="0" w:after="240"/>
        <w:ind w:left="720"/>
        <w:jc w:val="center"/>
        <w:rPr>
          <w:sz w:val="28"/>
          <w:szCs w:val="28"/>
        </w:rPr>
      </w:pPr>
      <w:r>
        <w:rPr>
          <w:sz w:val="28"/>
          <w:szCs w:val="28"/>
        </w:rPr>
        <w:t>CONCLUSION</w:t>
      </w:r>
    </w:p>
    <w:p w:rsidR="009C562C" w:rsidRPr="009C562C" w:rsidRDefault="009C562C" w:rsidP="00F21348">
      <w:pPr>
        <w:pStyle w:val="BodyText"/>
        <w:spacing w:line="480" w:lineRule="auto"/>
        <w:ind w:firstLine="720"/>
        <w:jc w:val="both"/>
        <w:rPr>
          <w:sz w:val="28"/>
          <w:szCs w:val="28"/>
        </w:rPr>
      </w:pPr>
      <w:r w:rsidRPr="009C562C">
        <w:rPr>
          <w:sz w:val="28"/>
          <w:szCs w:val="28"/>
        </w:rPr>
        <w:t xml:space="preserve">For the foregoing reasons, the State Bar respectfully urges the adoption of Petition R-16-0017, but with language conforming to the proposed new District of Arizona LRCiv 83.3 and the stylistic conventions being utilized in other current revisions to the Arizona Rules of Civil Procedure. </w:t>
      </w:r>
    </w:p>
    <w:p w:rsidR="000F7A7F" w:rsidRPr="000F7A7F" w:rsidRDefault="000F7A7F" w:rsidP="000F7C13">
      <w:pPr>
        <w:pStyle w:val="Body"/>
        <w:widowControl w:val="0"/>
        <w:tabs>
          <w:tab w:val="left" w:pos="720"/>
        </w:tabs>
        <w:ind w:firstLine="0"/>
        <w:rPr>
          <w:szCs w:val="26"/>
        </w:rPr>
      </w:pPr>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A93A7C">
        <w:rPr>
          <w:sz w:val="28"/>
          <w:szCs w:val="28"/>
        </w:rPr>
        <w:t>, 2016</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0C48A9" w:rsidP="000C48A9">
      <w:pPr>
        <w:pStyle w:val="PleadingSignature"/>
        <w:keepNext w:val="0"/>
        <w:keepLines w:val="0"/>
        <w:pBdr>
          <w:top w:val="single" w:sz="4" w:space="1" w:color="auto"/>
        </w:pBdr>
        <w:spacing w:line="240" w:lineRule="auto"/>
        <w:ind w:left="5070"/>
        <w:rPr>
          <w:sz w:val="28"/>
          <w:szCs w:val="28"/>
        </w:rPr>
      </w:pPr>
      <w:r w:rsidRPr="006F63FD">
        <w:rPr>
          <w:sz w:val="28"/>
          <w:szCs w:val="28"/>
        </w:rPr>
        <w:t xml:space="preserve">John </w:t>
      </w:r>
      <w:r w:rsidR="00A93A7C">
        <w:rPr>
          <w:sz w:val="28"/>
          <w:szCs w:val="28"/>
        </w:rPr>
        <w:t xml:space="preserve">A. </w:t>
      </w:r>
      <w:r w:rsidRPr="006F63FD">
        <w:rPr>
          <w:sz w:val="28"/>
          <w:szCs w:val="28"/>
        </w:rPr>
        <w:t>Furlong</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Clerk of the Arizona Supreme Court</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A93A7C">
        <w:rPr>
          <w:sz w:val="28"/>
          <w:szCs w:val="28"/>
        </w:rPr>
        <w:t>2016</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73C" w:rsidRDefault="00BC473C">
      <w:r>
        <w:separator/>
      </w:r>
    </w:p>
  </w:endnote>
  <w:endnote w:type="continuationSeparator" w:id="0">
    <w:p w:rsidR="00BC473C" w:rsidRDefault="00BC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C36DBD">
          <w:rPr>
            <w:noProof/>
            <w:sz w:val="26"/>
            <w:szCs w:val="26"/>
          </w:rPr>
          <w:t>1</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73C" w:rsidRDefault="00BC473C">
      <w:r>
        <w:separator/>
      </w:r>
    </w:p>
  </w:footnote>
  <w:footnote w:type="continuationSeparator" w:id="0">
    <w:p w:rsidR="00BC473C" w:rsidRDefault="00BC473C">
      <w:r>
        <w:continuationSeparator/>
      </w:r>
    </w:p>
  </w:footnote>
  <w:footnote w:id="1">
    <w:p w:rsidR="009C562C" w:rsidRPr="00F21348" w:rsidRDefault="009C562C" w:rsidP="009C562C">
      <w:pPr>
        <w:pStyle w:val="FootnoteText"/>
        <w:jc w:val="both"/>
        <w:rPr>
          <w:sz w:val="28"/>
          <w:szCs w:val="28"/>
        </w:rPr>
      </w:pPr>
      <w:r w:rsidRPr="00F21348">
        <w:rPr>
          <w:rStyle w:val="FootnoteReference"/>
          <w:sz w:val="28"/>
          <w:szCs w:val="28"/>
        </w:rPr>
        <w:footnoteRef/>
      </w:r>
      <w:r w:rsidRPr="00F21348">
        <w:rPr>
          <w:sz w:val="28"/>
          <w:szCs w:val="28"/>
        </w:rPr>
        <w:t xml:space="preserve"> Exhibit 1 is a redline against the current Rule 5.1(a)(2), and Exhibit 2 is a redline against the Task Force’s proposed Rule 5.3(a)(2), which substantively covers the same issue as the current Rule 5.1(a)(2).</w:t>
      </w:r>
    </w:p>
  </w:footnote>
  <w:footnote w:id="2">
    <w:p w:rsidR="009C562C" w:rsidRPr="00F21348" w:rsidRDefault="009C562C" w:rsidP="009C562C">
      <w:pPr>
        <w:pStyle w:val="FootnoteText"/>
        <w:jc w:val="both"/>
        <w:rPr>
          <w:sz w:val="28"/>
          <w:szCs w:val="28"/>
        </w:rPr>
      </w:pPr>
      <w:r w:rsidRPr="00F21348">
        <w:rPr>
          <w:rStyle w:val="FootnoteReference"/>
          <w:sz w:val="28"/>
          <w:szCs w:val="28"/>
        </w:rPr>
        <w:footnoteRef/>
      </w:r>
      <w:r w:rsidRPr="00F21348">
        <w:rPr>
          <w:sz w:val="28"/>
          <w:szCs w:val="28"/>
        </w:rPr>
        <w:t xml:space="preserve"> Local Civil Rule 83.3 includes additional provisions that are outside the scope of the appropriate procedure for a withdrawal or substitution involving the same law firm or governmental law office, and this Comment takes no position on whether Ariz. R. Civ. P. 5.1 should incorporate those portions of the Local Rule.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6F037B"/>
    <w:multiLevelType w:val="hybridMultilevel"/>
    <w:tmpl w:val="D2CC69CC"/>
    <w:lvl w:ilvl="0" w:tplc="03785D4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1F3C25"/>
    <w:multiLevelType w:val="multilevel"/>
    <w:tmpl w:val="3324355E"/>
    <w:name w:val="zzmpPleadings||Pleadings|2|1|1|1|10|33||1|12|33||1|12|33||1|12|33||1|12|33||1|12|33||1|12|33||1|12|33||1|12|33||"/>
    <w:lvl w:ilvl="0">
      <w:start w:val="1"/>
      <w:numFmt w:val="upperRoman"/>
      <w:pStyle w:val="PleadingsL1"/>
      <w:lvlText w:val="%1."/>
      <w:lvlJc w:val="left"/>
      <w:pPr>
        <w:tabs>
          <w:tab w:val="num" w:pos="720"/>
        </w:tabs>
        <w:ind w:left="0" w:firstLine="0"/>
      </w:pPr>
      <w:rPr>
        <w:b/>
        <w:i w:val="0"/>
        <w:caps w:val="0"/>
        <w:u w:val="none"/>
      </w:rPr>
    </w:lvl>
    <w:lvl w:ilvl="1">
      <w:start w:val="1"/>
      <w:numFmt w:val="upperLetter"/>
      <w:pStyle w:val="PleadingsL2"/>
      <w:lvlText w:val="%2."/>
      <w:lvlJc w:val="left"/>
      <w:pPr>
        <w:tabs>
          <w:tab w:val="num" w:pos="720"/>
        </w:tabs>
        <w:ind w:left="720" w:hanging="720"/>
      </w:pPr>
      <w:rPr>
        <w:b/>
        <w:i w:val="0"/>
        <w:caps w:val="0"/>
        <w:u w:val="none"/>
      </w:rPr>
    </w:lvl>
    <w:lvl w:ilvl="2">
      <w:start w:val="1"/>
      <w:numFmt w:val="decimal"/>
      <w:pStyle w:val="PleadingsL3"/>
      <w:lvlText w:val="%3."/>
      <w:lvlJc w:val="left"/>
      <w:pPr>
        <w:tabs>
          <w:tab w:val="num" w:pos="1440"/>
        </w:tabs>
        <w:ind w:left="1440" w:hanging="720"/>
      </w:pPr>
      <w:rPr>
        <w:b/>
        <w:i w:val="0"/>
        <w:caps w:val="0"/>
        <w:u w:val="none"/>
      </w:rPr>
    </w:lvl>
    <w:lvl w:ilvl="3">
      <w:start w:val="1"/>
      <w:numFmt w:val="lowerLetter"/>
      <w:pStyle w:val="PleadingsL4"/>
      <w:lvlText w:val="%4."/>
      <w:lvlJc w:val="left"/>
      <w:pPr>
        <w:tabs>
          <w:tab w:val="num" w:pos="2160"/>
        </w:tabs>
        <w:ind w:left="2160" w:hanging="720"/>
      </w:pPr>
      <w:rPr>
        <w:b/>
        <w:i w:val="0"/>
        <w:caps w:val="0"/>
        <w:u w:val="none"/>
      </w:rPr>
    </w:lvl>
    <w:lvl w:ilvl="4">
      <w:start w:val="1"/>
      <w:numFmt w:val="lowerRoman"/>
      <w:pStyle w:val="PleadingsL5"/>
      <w:lvlText w:val="(%5)"/>
      <w:lvlJc w:val="left"/>
      <w:pPr>
        <w:tabs>
          <w:tab w:val="num" w:pos="2880"/>
        </w:tabs>
        <w:ind w:left="2880" w:hanging="720"/>
      </w:pPr>
      <w:rPr>
        <w:b/>
        <w:i w:val="0"/>
        <w:caps w:val="0"/>
        <w:u w:val="none"/>
      </w:rPr>
    </w:lvl>
    <w:lvl w:ilvl="5">
      <w:start w:val="1"/>
      <w:numFmt w:val="lowerLetter"/>
      <w:pStyle w:val="PleadingsL6"/>
      <w:lvlText w:val="(%6)"/>
      <w:lvlJc w:val="left"/>
      <w:pPr>
        <w:tabs>
          <w:tab w:val="num" w:pos="3600"/>
        </w:tabs>
        <w:ind w:left="3600" w:hanging="720"/>
      </w:pPr>
      <w:rPr>
        <w:b/>
        <w:i w:val="0"/>
        <w:caps w:val="0"/>
        <w:u w:val="none"/>
      </w:rPr>
    </w:lvl>
    <w:lvl w:ilvl="6">
      <w:start w:val="1"/>
      <w:numFmt w:val="lowerRoman"/>
      <w:pStyle w:val="PleadingsL7"/>
      <w:lvlText w:val="%7."/>
      <w:lvlJc w:val="left"/>
      <w:pPr>
        <w:tabs>
          <w:tab w:val="num" w:pos="4320"/>
        </w:tabs>
        <w:ind w:left="4320" w:hanging="720"/>
      </w:pPr>
      <w:rPr>
        <w:b/>
        <w:i w:val="0"/>
        <w:caps w:val="0"/>
        <w:u w:val="none"/>
      </w:rPr>
    </w:lvl>
    <w:lvl w:ilvl="7">
      <w:start w:val="1"/>
      <w:numFmt w:val="lowerLetter"/>
      <w:pStyle w:val="PleadingsL8"/>
      <w:lvlText w:val="%8)"/>
      <w:lvlJc w:val="left"/>
      <w:pPr>
        <w:tabs>
          <w:tab w:val="num" w:pos="5040"/>
        </w:tabs>
        <w:ind w:left="5040" w:hanging="720"/>
      </w:pPr>
      <w:rPr>
        <w:b/>
        <w:i w:val="0"/>
        <w:caps w:val="0"/>
        <w:u w:val="none"/>
      </w:rPr>
    </w:lvl>
    <w:lvl w:ilvl="8">
      <w:start w:val="1"/>
      <w:numFmt w:val="lowerRoman"/>
      <w:pStyle w:val="PleadingsL9"/>
      <w:lvlText w:val="%9)"/>
      <w:lvlJc w:val="left"/>
      <w:pPr>
        <w:tabs>
          <w:tab w:val="num" w:pos="5760"/>
        </w:tabs>
        <w:ind w:left="5760" w:hanging="720"/>
      </w:pPr>
      <w:rPr>
        <w:b/>
        <w:i w:val="0"/>
        <w:caps w:val="0"/>
        <w:u w:val="none"/>
      </w:r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5"/>
  </w:num>
  <w:num w:numId="5">
    <w:abstractNumId w:val="8"/>
  </w:num>
  <w:num w:numId="6">
    <w:abstractNumId w:val="9"/>
  </w:num>
  <w:num w:numId="7">
    <w:abstractNumId w:val="1"/>
  </w:num>
  <w:num w:numId="8">
    <w:abstractNumId w:val="15"/>
  </w:num>
  <w:num w:numId="9">
    <w:abstractNumId w:val="10"/>
  </w:num>
  <w:num w:numId="10">
    <w:abstractNumId w:val="12"/>
  </w:num>
  <w:num w:numId="11">
    <w:abstractNumId w:val="11"/>
  </w:num>
  <w:num w:numId="12">
    <w:abstractNumId w:val="7"/>
  </w:num>
  <w:num w:numId="13">
    <w:abstractNumId w:val="2"/>
  </w:num>
  <w:num w:numId="14">
    <w:abstractNumId w:val="4"/>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32BA"/>
    <w:rsid w:val="006B4F9A"/>
    <w:rsid w:val="006F63FD"/>
    <w:rsid w:val="00732169"/>
    <w:rsid w:val="00735659"/>
    <w:rsid w:val="0077110E"/>
    <w:rsid w:val="007870CB"/>
    <w:rsid w:val="007A3F0F"/>
    <w:rsid w:val="007D5C49"/>
    <w:rsid w:val="007D73FF"/>
    <w:rsid w:val="008006ED"/>
    <w:rsid w:val="00822598"/>
    <w:rsid w:val="008360A1"/>
    <w:rsid w:val="00861563"/>
    <w:rsid w:val="00871AAA"/>
    <w:rsid w:val="00891AAA"/>
    <w:rsid w:val="00933EA1"/>
    <w:rsid w:val="00951416"/>
    <w:rsid w:val="00960D21"/>
    <w:rsid w:val="00981D29"/>
    <w:rsid w:val="00981E11"/>
    <w:rsid w:val="009C562C"/>
    <w:rsid w:val="00A1564B"/>
    <w:rsid w:val="00A5194F"/>
    <w:rsid w:val="00A871D6"/>
    <w:rsid w:val="00A93A7C"/>
    <w:rsid w:val="00AF282C"/>
    <w:rsid w:val="00AF3FF7"/>
    <w:rsid w:val="00B1491D"/>
    <w:rsid w:val="00B47B7D"/>
    <w:rsid w:val="00BC473C"/>
    <w:rsid w:val="00C03E0F"/>
    <w:rsid w:val="00C324FB"/>
    <w:rsid w:val="00C36DBD"/>
    <w:rsid w:val="00C52E56"/>
    <w:rsid w:val="00C5407A"/>
    <w:rsid w:val="00C662B0"/>
    <w:rsid w:val="00C84FD4"/>
    <w:rsid w:val="00C958EE"/>
    <w:rsid w:val="00CD21FB"/>
    <w:rsid w:val="00D423FE"/>
    <w:rsid w:val="00D442E4"/>
    <w:rsid w:val="00D80EDC"/>
    <w:rsid w:val="00DF4F15"/>
    <w:rsid w:val="00E047D3"/>
    <w:rsid w:val="00E266B7"/>
    <w:rsid w:val="00E321C5"/>
    <w:rsid w:val="00E5772B"/>
    <w:rsid w:val="00E67511"/>
    <w:rsid w:val="00E82D0F"/>
    <w:rsid w:val="00E950B5"/>
    <w:rsid w:val="00F05879"/>
    <w:rsid w:val="00F06F5B"/>
    <w:rsid w:val="00F21348"/>
    <w:rsid w:val="00F2485D"/>
    <w:rsid w:val="00F33926"/>
    <w:rsid w:val="00F60C61"/>
    <w:rsid w:val="00F64B52"/>
    <w:rsid w:val="00FB5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ingsL1">
    <w:name w:val="Pleadings_L1"/>
    <w:basedOn w:val="Normal"/>
    <w:next w:val="BodyText"/>
    <w:rsid w:val="009C562C"/>
    <w:pPr>
      <w:keepNext/>
      <w:keepLines/>
      <w:numPr>
        <w:numId w:val="15"/>
      </w:numPr>
      <w:spacing w:before="240" w:line="240" w:lineRule="exact"/>
      <w:jc w:val="center"/>
      <w:outlineLvl w:val="0"/>
    </w:pPr>
    <w:rPr>
      <w:b/>
      <w:sz w:val="26"/>
    </w:rPr>
  </w:style>
  <w:style w:type="paragraph" w:customStyle="1" w:styleId="PleadingsL2">
    <w:name w:val="Pleadings_L2"/>
    <w:basedOn w:val="PleadingsL1"/>
    <w:next w:val="BodyText"/>
    <w:link w:val="PleadingsL2Char"/>
    <w:rsid w:val="009C562C"/>
    <w:pPr>
      <w:numPr>
        <w:ilvl w:val="1"/>
      </w:numPr>
      <w:jc w:val="left"/>
      <w:outlineLvl w:val="1"/>
    </w:pPr>
  </w:style>
  <w:style w:type="character" w:customStyle="1" w:styleId="PleadingsL2Char">
    <w:name w:val="Pleadings_L2 Char"/>
    <w:link w:val="PleadingsL2"/>
    <w:rsid w:val="009C562C"/>
    <w:rPr>
      <w:b/>
      <w:sz w:val="26"/>
    </w:rPr>
  </w:style>
  <w:style w:type="paragraph" w:customStyle="1" w:styleId="PleadingsL3">
    <w:name w:val="Pleadings_L3"/>
    <w:basedOn w:val="PleadingsL2"/>
    <w:next w:val="BodyText"/>
    <w:rsid w:val="009C562C"/>
    <w:pPr>
      <w:numPr>
        <w:ilvl w:val="2"/>
      </w:numPr>
      <w:tabs>
        <w:tab w:val="clear" w:pos="1440"/>
        <w:tab w:val="num" w:pos="2520"/>
      </w:tabs>
      <w:ind w:left="2520" w:hanging="180"/>
      <w:outlineLvl w:val="2"/>
    </w:pPr>
  </w:style>
  <w:style w:type="paragraph" w:customStyle="1" w:styleId="PleadingsL4">
    <w:name w:val="Pleadings_L4"/>
    <w:basedOn w:val="PleadingsL3"/>
    <w:next w:val="BodyText"/>
    <w:rsid w:val="009C562C"/>
    <w:pPr>
      <w:numPr>
        <w:ilvl w:val="3"/>
      </w:numPr>
      <w:tabs>
        <w:tab w:val="clear" w:pos="2160"/>
        <w:tab w:val="num" w:pos="3240"/>
      </w:tabs>
      <w:ind w:left="3240" w:hanging="360"/>
      <w:outlineLvl w:val="3"/>
    </w:pPr>
  </w:style>
  <w:style w:type="paragraph" w:customStyle="1" w:styleId="PleadingsL5">
    <w:name w:val="Pleadings_L5"/>
    <w:basedOn w:val="PleadingsL4"/>
    <w:next w:val="BodyText"/>
    <w:rsid w:val="009C562C"/>
    <w:pPr>
      <w:numPr>
        <w:ilvl w:val="4"/>
      </w:numPr>
      <w:tabs>
        <w:tab w:val="clear" w:pos="2880"/>
        <w:tab w:val="num" w:pos="3960"/>
      </w:tabs>
      <w:ind w:left="3960" w:hanging="360"/>
      <w:outlineLvl w:val="4"/>
    </w:pPr>
  </w:style>
  <w:style w:type="paragraph" w:customStyle="1" w:styleId="PleadingsL6">
    <w:name w:val="Pleadings_L6"/>
    <w:basedOn w:val="PleadingsL5"/>
    <w:next w:val="BodyText"/>
    <w:rsid w:val="009C562C"/>
    <w:pPr>
      <w:numPr>
        <w:ilvl w:val="5"/>
      </w:numPr>
      <w:tabs>
        <w:tab w:val="clear" w:pos="3600"/>
        <w:tab w:val="num" w:pos="4680"/>
      </w:tabs>
      <w:ind w:left="4680" w:hanging="180"/>
      <w:outlineLvl w:val="5"/>
    </w:pPr>
  </w:style>
  <w:style w:type="paragraph" w:customStyle="1" w:styleId="PleadingsL7">
    <w:name w:val="Pleadings_L7"/>
    <w:basedOn w:val="PleadingsL6"/>
    <w:next w:val="BodyText"/>
    <w:rsid w:val="009C562C"/>
    <w:pPr>
      <w:numPr>
        <w:ilvl w:val="6"/>
      </w:numPr>
      <w:tabs>
        <w:tab w:val="clear" w:pos="4320"/>
        <w:tab w:val="num" w:pos="5400"/>
      </w:tabs>
      <w:ind w:left="5400" w:hanging="360"/>
      <w:outlineLvl w:val="6"/>
    </w:pPr>
  </w:style>
  <w:style w:type="paragraph" w:customStyle="1" w:styleId="PleadingsL8">
    <w:name w:val="Pleadings_L8"/>
    <w:basedOn w:val="PleadingsL7"/>
    <w:next w:val="BodyText"/>
    <w:rsid w:val="009C562C"/>
    <w:pPr>
      <w:numPr>
        <w:ilvl w:val="7"/>
      </w:numPr>
      <w:tabs>
        <w:tab w:val="clear" w:pos="5040"/>
        <w:tab w:val="num" w:pos="6120"/>
      </w:tabs>
      <w:ind w:left="6120" w:hanging="360"/>
      <w:outlineLvl w:val="7"/>
    </w:pPr>
  </w:style>
  <w:style w:type="paragraph" w:customStyle="1" w:styleId="PleadingsL9">
    <w:name w:val="Pleadings_L9"/>
    <w:basedOn w:val="PleadingsL8"/>
    <w:next w:val="BodyText"/>
    <w:rsid w:val="009C562C"/>
    <w:pPr>
      <w:numPr>
        <w:ilvl w:val="8"/>
      </w:numPr>
      <w:tabs>
        <w:tab w:val="clear" w:pos="5760"/>
        <w:tab w:val="num" w:pos="6840"/>
      </w:tabs>
      <w:ind w:left="6840"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Furlong@staff.azbar.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D033-F8FD-4E4B-83A5-0203A81BA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FORM.dot</Template>
  <TotalTime>0</TotalTime>
  <Pages>6</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Carro, Allison D.</cp:lastModifiedBy>
  <cp:revision>2</cp:revision>
  <cp:lastPrinted>2014-04-30T16:27:00Z</cp:lastPrinted>
  <dcterms:created xsi:type="dcterms:W3CDTF">2016-05-20T23:39:00Z</dcterms:created>
  <dcterms:modified xsi:type="dcterms:W3CDTF">2016-05-20T23:39:00Z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