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BB35D7" w:rsidRDefault="000E1098" w:rsidP="00735659">
            <w:pPr>
              <w:pStyle w:val="FirmInformation"/>
              <w:spacing w:line="240" w:lineRule="auto"/>
              <w:rPr>
                <w:rStyle w:val="Hyperlink"/>
                <w:sz w:val="28"/>
                <w:szCs w:val="28"/>
              </w:rPr>
            </w:pPr>
            <w:hyperlink r:id="rId8" w:history="1">
              <w:r w:rsidR="006F63FD" w:rsidRPr="003F71FF">
                <w:rPr>
                  <w:rStyle w:val="Hyperlink"/>
                  <w:sz w:val="28"/>
                  <w:szCs w:val="28"/>
                </w:rPr>
                <w:t>John.Furlong@staff.azbar.org</w:t>
              </w:r>
            </w:hyperlink>
          </w:p>
          <w:p w:rsidR="006F63FD" w:rsidRPr="00735659" w:rsidRDefault="00392EE3" w:rsidP="00735659">
            <w:pPr>
              <w:pStyle w:val="FirmInformation"/>
              <w:spacing w:line="240" w:lineRule="auto"/>
              <w:rPr>
                <w:sz w:val="28"/>
                <w:szCs w:val="28"/>
              </w:rPr>
            </w:pPr>
            <w:r>
              <w:rPr>
                <w:rStyle w:val="Hyperlink"/>
                <w:sz w:val="28"/>
                <w:szCs w:val="28"/>
              </w:rPr>
              <w:br/>
            </w: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392EE3">
              <w:rPr>
                <w:b/>
                <w:sz w:val="28"/>
                <w:szCs w:val="28"/>
              </w:rPr>
              <w:t xml:space="preserve">AMEND RULE </w:t>
            </w:r>
            <w:r w:rsidR="00BB35D7">
              <w:rPr>
                <w:b/>
                <w:sz w:val="28"/>
                <w:szCs w:val="28"/>
              </w:rPr>
              <w:t>11, ARIZONA RULES OF CIVIL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B35D7">
              <w:rPr>
                <w:sz w:val="28"/>
                <w:szCs w:val="28"/>
              </w:rPr>
              <w:t>15-0043</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BB35D7" w:rsidP="00E321C5">
            <w:pPr>
              <w:pStyle w:val="Caption"/>
              <w:ind w:left="1512" w:right="115" w:hanging="1253"/>
              <w:rPr>
                <w:szCs w:val="26"/>
              </w:rPr>
            </w:pPr>
            <w:r>
              <w:rPr>
                <w:szCs w:val="26"/>
              </w:rPr>
              <w:br/>
            </w:r>
            <w:r>
              <w:rPr>
                <w:szCs w:val="26"/>
              </w:rPr>
              <w:br/>
            </w:r>
          </w:p>
        </w:tc>
      </w:tr>
    </w:tbl>
    <w:bookmarkEnd w:id="2"/>
    <w:p w:rsidR="00BB35D7" w:rsidRPr="00BB35D7" w:rsidRDefault="00BB35D7" w:rsidP="00BB35D7">
      <w:pPr>
        <w:spacing w:line="480" w:lineRule="auto"/>
        <w:jc w:val="both"/>
        <w:rPr>
          <w:sz w:val="28"/>
          <w:szCs w:val="28"/>
        </w:rPr>
      </w:pPr>
      <w:r>
        <w:rPr>
          <w:sz w:val="28"/>
          <w:szCs w:val="28"/>
        </w:rPr>
        <w:br/>
        <w:t xml:space="preserve">           </w:t>
      </w:r>
      <w:r w:rsidRPr="00BB35D7">
        <w:rPr>
          <w:sz w:val="28"/>
          <w:szCs w:val="28"/>
        </w:rPr>
        <w:t xml:space="preserve">The State Bar of Arizona </w:t>
      </w:r>
      <w:r>
        <w:rPr>
          <w:sz w:val="28"/>
          <w:szCs w:val="28"/>
        </w:rPr>
        <w:t>supports</w:t>
      </w:r>
      <w:r w:rsidRPr="00BB35D7">
        <w:rPr>
          <w:sz w:val="28"/>
          <w:szCs w:val="28"/>
        </w:rPr>
        <w:t xml:space="preserve"> Petition R-15-0043 (“the PCBA Petition”), which proposes amending Rule 11 of Arizona Rules of Civil Procedure so that sanctions would be permissive but not mandatory where a court finds a violation of Rule 11. </w:t>
      </w:r>
    </w:p>
    <w:p w:rsidR="00BB35D7" w:rsidRPr="00BB35D7" w:rsidRDefault="00BB35D7" w:rsidP="00BB35D7">
      <w:pPr>
        <w:spacing w:line="480" w:lineRule="auto"/>
        <w:jc w:val="center"/>
        <w:rPr>
          <w:b/>
          <w:sz w:val="28"/>
          <w:szCs w:val="28"/>
          <w:u w:val="single"/>
        </w:rPr>
      </w:pPr>
      <w:r w:rsidRPr="00BB35D7">
        <w:rPr>
          <w:b/>
          <w:sz w:val="28"/>
          <w:szCs w:val="28"/>
          <w:u w:val="single"/>
        </w:rPr>
        <w:t>Background</w:t>
      </w:r>
    </w:p>
    <w:p w:rsidR="00BB35D7" w:rsidRPr="00BB35D7" w:rsidRDefault="00BB35D7" w:rsidP="00BB35D7">
      <w:pPr>
        <w:spacing w:line="480" w:lineRule="auto"/>
        <w:ind w:firstLine="720"/>
        <w:jc w:val="both"/>
        <w:rPr>
          <w:sz w:val="28"/>
          <w:szCs w:val="28"/>
        </w:rPr>
      </w:pPr>
      <w:r w:rsidRPr="00BB35D7">
        <w:rPr>
          <w:sz w:val="28"/>
          <w:szCs w:val="28"/>
        </w:rPr>
        <w:t xml:space="preserve">In January 2015, the State Bar submitted Petition R-15-0004, proposing a number of changes to Rule 11 of the Arizona Rules of Civil Procedure, including a meet-and-confer requirement before motions, requiring a separate writing before the motion evidencing the issues in dispute, requiring Rule 11 motions to be filed as </w:t>
      </w:r>
      <w:r w:rsidRPr="00BB35D7">
        <w:rPr>
          <w:sz w:val="28"/>
          <w:szCs w:val="28"/>
        </w:rPr>
        <w:lastRenderedPageBreak/>
        <w:t>stand-alone motions, and changing the word “shall” in proposed Ariz. R. Civ. P. 11(c)(1) to “must,” to make clear that a court finding a violation of Rule 11 must impose sanctions when it does so.</w:t>
      </w:r>
    </w:p>
    <w:p w:rsidR="00BB35D7" w:rsidRPr="00BB35D7" w:rsidRDefault="00BB35D7" w:rsidP="00BB35D7">
      <w:pPr>
        <w:spacing w:line="480" w:lineRule="auto"/>
        <w:ind w:firstLine="720"/>
        <w:jc w:val="both"/>
        <w:rPr>
          <w:sz w:val="28"/>
          <w:szCs w:val="28"/>
        </w:rPr>
      </w:pPr>
      <w:r w:rsidRPr="00BB35D7">
        <w:rPr>
          <w:sz w:val="28"/>
          <w:szCs w:val="28"/>
        </w:rPr>
        <w:t>The Pima County Bar Association (“PCBA”) commented on the Petition to support all of its proposed modifications other than the change from “shall” to “must.”  As to that change, Pima County commented, it would prefer a change from “shall” to “may,” leaving imposition of sanctions to the sound discretion of the trial court, for a variety of reasons.  The State Bar replied in support of Petition R-15-0004, and suggested that if any stakeholder wanted to change “shall” to “may,” that would be better done by a Petition than by a comment on a Petition.</w:t>
      </w:r>
    </w:p>
    <w:p w:rsidR="00BB35D7" w:rsidRPr="00BB35D7" w:rsidRDefault="00BB35D7" w:rsidP="00BB35D7">
      <w:pPr>
        <w:spacing w:line="480" w:lineRule="auto"/>
        <w:ind w:firstLine="720"/>
        <w:jc w:val="both"/>
        <w:rPr>
          <w:sz w:val="28"/>
          <w:szCs w:val="28"/>
        </w:rPr>
      </w:pPr>
      <w:r w:rsidRPr="00BB35D7">
        <w:rPr>
          <w:sz w:val="28"/>
          <w:szCs w:val="28"/>
        </w:rPr>
        <w:t>Since that time, the Supreme Court has carried over Petition R-15-0004, so that it could be considered concurrently with the work of the Task Force on the Arizona Rules of Civil Procedure.  And the Task Force’s Petition to amend the entirety of the Arizona Rules of Civil Procedure, R-16-0010, incorporates a Rule 11 that is almost identical to that in Petition R-15-0004, in particular in changing “shall” to “must.”</w:t>
      </w:r>
    </w:p>
    <w:p w:rsidR="00BB35D7" w:rsidRDefault="00BB35D7" w:rsidP="00BB35D7">
      <w:pPr>
        <w:spacing w:line="480" w:lineRule="auto"/>
        <w:ind w:firstLine="720"/>
        <w:jc w:val="both"/>
        <w:rPr>
          <w:sz w:val="28"/>
          <w:szCs w:val="28"/>
        </w:rPr>
      </w:pPr>
      <w:r w:rsidRPr="00BB35D7">
        <w:rPr>
          <w:sz w:val="28"/>
          <w:szCs w:val="28"/>
        </w:rPr>
        <w:t>With that activity as prologue, on December 29, 2015 the PCBA filed Petition R-15-0043, proposing to modify Rule 11 in the same manner as Petition R-15-0004, other than changing “shall” to “may.”</w:t>
      </w:r>
    </w:p>
    <w:p w:rsidR="00BB35D7" w:rsidRPr="00BB35D7" w:rsidRDefault="00BB35D7" w:rsidP="00BB35D7">
      <w:pPr>
        <w:spacing w:line="480" w:lineRule="auto"/>
        <w:ind w:firstLine="720"/>
        <w:jc w:val="both"/>
        <w:rPr>
          <w:sz w:val="28"/>
          <w:szCs w:val="28"/>
        </w:rPr>
      </w:pPr>
    </w:p>
    <w:p w:rsidR="00BB35D7" w:rsidRPr="00BB35D7" w:rsidRDefault="00BB35D7" w:rsidP="00BB35D7">
      <w:pPr>
        <w:spacing w:line="480" w:lineRule="auto"/>
        <w:jc w:val="center"/>
        <w:rPr>
          <w:b/>
          <w:sz w:val="28"/>
          <w:szCs w:val="28"/>
          <w:u w:val="single"/>
        </w:rPr>
      </w:pPr>
      <w:r w:rsidRPr="00BB35D7">
        <w:rPr>
          <w:b/>
          <w:sz w:val="28"/>
          <w:szCs w:val="28"/>
          <w:u w:val="single"/>
        </w:rPr>
        <w:lastRenderedPageBreak/>
        <w:t>Analysis</w:t>
      </w:r>
    </w:p>
    <w:p w:rsidR="00BB35D7" w:rsidRPr="00BB35D7" w:rsidRDefault="00BB35D7" w:rsidP="00BB35D7">
      <w:pPr>
        <w:spacing w:line="480" w:lineRule="auto"/>
        <w:ind w:firstLine="720"/>
        <w:jc w:val="both"/>
        <w:rPr>
          <w:sz w:val="28"/>
          <w:szCs w:val="28"/>
        </w:rPr>
      </w:pPr>
      <w:r w:rsidRPr="00BB35D7">
        <w:rPr>
          <w:sz w:val="28"/>
          <w:szCs w:val="28"/>
        </w:rPr>
        <w:t>Upon further review, the State Bar agrees with the wisdom of the PCBA’s proposal.  As a preliminary matter, the State Bar notes that its Board of Governors considered the same proposal when it met concerning what was eventually filed as Petition R-15-0004, and nearly suggested at that time the very change the PCBA later suggested by its comment on that Petition, and in Petition R-15-0043.  There are many reasons the State Bar is now persuaded that this approach is correct.</w:t>
      </w:r>
    </w:p>
    <w:p w:rsidR="00BB35D7" w:rsidRPr="00BB35D7" w:rsidRDefault="00BB35D7" w:rsidP="00BB35D7">
      <w:pPr>
        <w:spacing w:line="480" w:lineRule="auto"/>
        <w:ind w:firstLine="720"/>
        <w:jc w:val="both"/>
        <w:rPr>
          <w:sz w:val="28"/>
          <w:szCs w:val="28"/>
        </w:rPr>
      </w:pPr>
      <w:r w:rsidRPr="00BB35D7">
        <w:rPr>
          <w:sz w:val="28"/>
          <w:szCs w:val="28"/>
          <w:u w:val="single"/>
        </w:rPr>
        <w:t>First</w:t>
      </w:r>
      <w:r w:rsidRPr="00BB35D7">
        <w:rPr>
          <w:sz w:val="28"/>
          <w:szCs w:val="28"/>
        </w:rPr>
        <w:t xml:space="preserve">, there is insufficient justification for departing from the permissive sanctions framework that has been part of Arizona jurisprudence and the Federal Rule counterpart for approximately 25 years.  The 1993 Federal Rule 11 amendments, including the permissive sanctions approach, have served as an appropriate and effective tool to deter inappropriate conduct, and there is neither empirical nor anecdotal evidence that suggests the permissive sanctions approach is ineffective.  The purpose of Rule 11 is to shape conduct, not to compensate, and the CPPC believes that the proposed “may” language vests the court with appropriate authority and power to achieve the rules ends without invading the decision-making role of the judge.  </w:t>
      </w:r>
    </w:p>
    <w:p w:rsidR="00BB35D7" w:rsidRPr="00BB35D7" w:rsidRDefault="00BB35D7" w:rsidP="00BB35D7">
      <w:pPr>
        <w:spacing w:line="480" w:lineRule="auto"/>
        <w:ind w:firstLine="720"/>
        <w:jc w:val="both"/>
        <w:rPr>
          <w:sz w:val="28"/>
          <w:szCs w:val="28"/>
        </w:rPr>
      </w:pPr>
      <w:r w:rsidRPr="00BB35D7">
        <w:rPr>
          <w:sz w:val="28"/>
          <w:szCs w:val="28"/>
          <w:u w:val="single"/>
        </w:rPr>
        <w:t>Second</w:t>
      </w:r>
      <w:r w:rsidRPr="00BB35D7">
        <w:rPr>
          <w:sz w:val="28"/>
          <w:szCs w:val="28"/>
        </w:rPr>
        <w:t xml:space="preserve">, the State Bar disfavors prospectively tying the hands of judges and mandating a one-size-fits-all approach to judging.  While sanctions are generally imposed under the current “shall” standard, and would generally be imposed under </w:t>
      </w:r>
      <w:r w:rsidRPr="00BB35D7">
        <w:rPr>
          <w:sz w:val="28"/>
          <w:szCs w:val="28"/>
        </w:rPr>
        <w:lastRenderedPageBreak/>
        <w:t xml:space="preserve">a “may” standard, there will be times when a judge will have particular reason not to impose sanctions.  </w:t>
      </w:r>
    </w:p>
    <w:p w:rsidR="00BB35D7" w:rsidRPr="00BB35D7" w:rsidRDefault="00BB35D7" w:rsidP="00BB35D7">
      <w:pPr>
        <w:spacing w:line="480" w:lineRule="auto"/>
        <w:ind w:firstLine="720"/>
        <w:jc w:val="both"/>
        <w:rPr>
          <w:sz w:val="28"/>
          <w:szCs w:val="28"/>
        </w:rPr>
      </w:pPr>
      <w:r w:rsidRPr="00BB35D7">
        <w:rPr>
          <w:sz w:val="28"/>
          <w:szCs w:val="28"/>
          <w:u w:val="single"/>
        </w:rPr>
        <w:t>Third</w:t>
      </w:r>
      <w:r w:rsidRPr="00BB35D7">
        <w:rPr>
          <w:sz w:val="28"/>
          <w:szCs w:val="28"/>
        </w:rPr>
        <w:t>, there is even more reason to adhere to the permissive federal model, given the direction of the Supreme Court to the Task Force on the Arizona Rules of Civil Procedure to conform the Arizona Rules of Civil Procedure to the Federal Rules of Civil Procedure unless there is a specific intention to vary from the Federal Rules.  See Supreme Court Administrative Order 2014-116.  The Task Force’s Petition brings Arizona’s Rules of Civil Procedure into further harmony with the Federal Rules of Civil Procedure from which they were derived, and the PCBA proposal would further that end.</w:t>
      </w:r>
    </w:p>
    <w:p w:rsidR="00BB35D7" w:rsidRDefault="00BB35D7" w:rsidP="00BB35D7">
      <w:pPr>
        <w:spacing w:line="480" w:lineRule="auto"/>
        <w:ind w:firstLine="720"/>
        <w:jc w:val="both"/>
        <w:rPr>
          <w:sz w:val="28"/>
          <w:szCs w:val="28"/>
        </w:rPr>
      </w:pPr>
      <w:r w:rsidRPr="00BB35D7">
        <w:rPr>
          <w:sz w:val="28"/>
          <w:szCs w:val="28"/>
          <w:u w:val="single"/>
        </w:rPr>
        <w:t>Fourth</w:t>
      </w:r>
      <w:r w:rsidRPr="00BB35D7">
        <w:rPr>
          <w:sz w:val="28"/>
          <w:szCs w:val="28"/>
        </w:rPr>
        <w:t>, the proposed Rule 11 found in Petition R-15-0004 and R-16-0010 both have what amounts to a safe harbor provision, as they allow the party charged with violating Rule 11 opportunities to cure its behavior after oral notice in a meet-and-confer and written notice that is intended for later provision to the court.  Federal Rule 11 pairs the safe harbor with a permission to sanction.  Arizona’s Rule 11, which would now have the equivalent of a safe harbor, should do the same, as safe harbor provisions work hand-in-glove to permit parties to shape their conduct without the threat of mandatory sanctions looming over them.</w:t>
      </w:r>
    </w:p>
    <w:p w:rsidR="00BB35D7" w:rsidRDefault="00BB35D7" w:rsidP="00BB35D7">
      <w:pPr>
        <w:spacing w:line="480" w:lineRule="auto"/>
        <w:ind w:firstLine="720"/>
        <w:jc w:val="both"/>
        <w:rPr>
          <w:sz w:val="28"/>
          <w:szCs w:val="28"/>
        </w:rPr>
      </w:pPr>
    </w:p>
    <w:p w:rsidR="00BB35D7" w:rsidRDefault="00BB35D7" w:rsidP="00BB35D7">
      <w:pPr>
        <w:spacing w:line="480" w:lineRule="auto"/>
        <w:ind w:firstLine="720"/>
        <w:jc w:val="both"/>
        <w:rPr>
          <w:sz w:val="28"/>
          <w:szCs w:val="28"/>
        </w:rPr>
      </w:pPr>
    </w:p>
    <w:p w:rsidR="00BB35D7" w:rsidRDefault="00BB35D7" w:rsidP="00BB35D7">
      <w:pPr>
        <w:spacing w:line="480" w:lineRule="auto"/>
        <w:ind w:firstLine="720"/>
        <w:jc w:val="center"/>
        <w:rPr>
          <w:b/>
          <w:sz w:val="28"/>
          <w:szCs w:val="28"/>
          <w:u w:val="single"/>
        </w:rPr>
      </w:pPr>
      <w:r>
        <w:rPr>
          <w:b/>
          <w:sz w:val="28"/>
          <w:szCs w:val="28"/>
          <w:u w:val="single"/>
        </w:rPr>
        <w:lastRenderedPageBreak/>
        <w:t>CONCLUSION</w:t>
      </w:r>
    </w:p>
    <w:p w:rsidR="00BB35D7" w:rsidRPr="00BB35D7" w:rsidRDefault="00BB35D7" w:rsidP="00BB35D7">
      <w:pPr>
        <w:spacing w:line="480" w:lineRule="auto"/>
        <w:ind w:firstLine="720"/>
        <w:jc w:val="both"/>
        <w:rPr>
          <w:sz w:val="28"/>
          <w:szCs w:val="28"/>
        </w:rPr>
      </w:pPr>
      <w:r>
        <w:rPr>
          <w:sz w:val="28"/>
          <w:szCs w:val="28"/>
        </w:rPr>
        <w:t xml:space="preserve">For the reasons stated above, the State Bar supports Petition R-15-0043 and respectfully requests that the Supreme Court approve the Petition.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rsidR="000F7A7F" w:rsidRPr="00C52E56" w:rsidRDefault="000F7A7F" w:rsidP="000C48A9">
      <w:pPr>
        <w:spacing w:line="240" w:lineRule="auto"/>
        <w:ind w:right="4572"/>
        <w:rPr>
          <w:sz w:val="28"/>
          <w:szCs w:val="28"/>
        </w:rPr>
      </w:pPr>
    </w:p>
    <w:p w:rsidR="00052372" w:rsidRPr="00591DAE" w:rsidRDefault="000C48A9" w:rsidP="00591DAE">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sectPr w:rsidR="00052372" w:rsidRPr="00591DAE"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098" w:rsidRDefault="000E1098">
      <w:r>
        <w:separator/>
      </w:r>
    </w:p>
  </w:endnote>
  <w:endnote w:type="continuationSeparator" w:id="0">
    <w:p w:rsidR="000E1098" w:rsidRDefault="000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367D7B">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098" w:rsidRDefault="000E1098">
      <w:r>
        <w:separator/>
      </w:r>
    </w:p>
  </w:footnote>
  <w:footnote w:type="continuationSeparator" w:id="0">
    <w:p w:rsidR="000E1098" w:rsidRDefault="000E1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13A1F"/>
    <w:multiLevelType w:val="hybridMultilevel"/>
    <w:tmpl w:val="164CBC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1"/>
  </w:num>
  <w:num w:numId="11">
    <w:abstractNumId w:val="10"/>
  </w:num>
  <w:num w:numId="12">
    <w:abstractNumId w:val="5"/>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E1098"/>
    <w:rsid w:val="000F7A7F"/>
    <w:rsid w:val="000F7C13"/>
    <w:rsid w:val="00135326"/>
    <w:rsid w:val="001A2520"/>
    <w:rsid w:val="001F591C"/>
    <w:rsid w:val="00274D6A"/>
    <w:rsid w:val="00352347"/>
    <w:rsid w:val="003566D6"/>
    <w:rsid w:val="00357F4D"/>
    <w:rsid w:val="003617D1"/>
    <w:rsid w:val="003626FC"/>
    <w:rsid w:val="00367D7B"/>
    <w:rsid w:val="00377199"/>
    <w:rsid w:val="00392EE3"/>
    <w:rsid w:val="003A28AC"/>
    <w:rsid w:val="00407E2D"/>
    <w:rsid w:val="004331B2"/>
    <w:rsid w:val="00440E4C"/>
    <w:rsid w:val="00463734"/>
    <w:rsid w:val="00494BDF"/>
    <w:rsid w:val="004C3AE3"/>
    <w:rsid w:val="00504E1E"/>
    <w:rsid w:val="00506859"/>
    <w:rsid w:val="00520F93"/>
    <w:rsid w:val="00566856"/>
    <w:rsid w:val="00591DAE"/>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8C73FF"/>
    <w:rsid w:val="00933EA1"/>
    <w:rsid w:val="00951416"/>
    <w:rsid w:val="00960D21"/>
    <w:rsid w:val="00981D29"/>
    <w:rsid w:val="00981E11"/>
    <w:rsid w:val="00A1564B"/>
    <w:rsid w:val="00A5194F"/>
    <w:rsid w:val="00A871D6"/>
    <w:rsid w:val="00A93A7C"/>
    <w:rsid w:val="00AF282C"/>
    <w:rsid w:val="00AF3FF7"/>
    <w:rsid w:val="00B1491D"/>
    <w:rsid w:val="00B47B7D"/>
    <w:rsid w:val="00BB35D7"/>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281C7-F123-483A-8C1A-7FD5B7DE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Vasquez, Venessa</cp:lastModifiedBy>
  <cp:revision>2</cp:revision>
  <cp:lastPrinted>2016-05-06T17:57:00Z</cp:lastPrinted>
  <dcterms:created xsi:type="dcterms:W3CDTF">2016-05-12T23:47:00Z</dcterms:created>
  <dcterms:modified xsi:type="dcterms:W3CDTF">2016-05-12T23:47:00Z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