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BB35D7" w:rsidRDefault="00570CCE" w:rsidP="00735659">
            <w:pPr>
              <w:pStyle w:val="FirmInformation"/>
              <w:spacing w:line="240" w:lineRule="auto"/>
              <w:rPr>
                <w:rStyle w:val="Hyperlink"/>
                <w:sz w:val="28"/>
                <w:szCs w:val="28"/>
              </w:rPr>
            </w:pPr>
            <w:hyperlink r:id="rId8" w:history="1">
              <w:r w:rsidR="006F63FD" w:rsidRPr="003F71FF">
                <w:rPr>
                  <w:rStyle w:val="Hyperlink"/>
                  <w:sz w:val="28"/>
                  <w:szCs w:val="28"/>
                </w:rPr>
                <w:t>John.Furlong@staff.azbar.org</w:t>
              </w:r>
            </w:hyperlink>
          </w:p>
          <w:p w:rsidR="006F63FD" w:rsidRPr="00735659" w:rsidRDefault="00392EE3" w:rsidP="00735659">
            <w:pPr>
              <w:pStyle w:val="FirmInformation"/>
              <w:spacing w:line="240" w:lineRule="auto"/>
              <w:rPr>
                <w:sz w:val="28"/>
                <w:szCs w:val="28"/>
              </w:rPr>
            </w:pPr>
            <w:r>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92EE3">
              <w:rPr>
                <w:b/>
                <w:sz w:val="28"/>
                <w:szCs w:val="28"/>
              </w:rPr>
              <w:t xml:space="preserve">AMEND </w:t>
            </w:r>
            <w:r w:rsidR="0054798E">
              <w:rPr>
                <w:b/>
                <w:sz w:val="28"/>
                <w:szCs w:val="28"/>
              </w:rPr>
              <w:t>ER 1.6, RULE 42, ARIZONA RULES OF SUPREME COURT</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54798E">
              <w:rPr>
                <w:sz w:val="28"/>
                <w:szCs w:val="28"/>
              </w:rPr>
              <w:t>16-0011</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BB35D7" w:rsidP="00E321C5">
            <w:pPr>
              <w:pStyle w:val="Caption"/>
              <w:ind w:left="1512" w:right="115" w:hanging="1253"/>
              <w:rPr>
                <w:szCs w:val="26"/>
              </w:rPr>
            </w:pPr>
            <w:r>
              <w:rPr>
                <w:szCs w:val="26"/>
              </w:rPr>
              <w:br/>
            </w:r>
            <w:r>
              <w:rPr>
                <w:szCs w:val="26"/>
              </w:rPr>
              <w:br/>
            </w:r>
          </w:p>
        </w:tc>
      </w:tr>
      <w:bookmarkEnd w:id="2"/>
    </w:tbl>
    <w:p w:rsidR="0054798E" w:rsidRPr="0054798E" w:rsidRDefault="0054798E" w:rsidP="0054798E">
      <w:pPr>
        <w:pStyle w:val="BodyText"/>
        <w:spacing w:line="480" w:lineRule="auto"/>
        <w:ind w:firstLine="720"/>
        <w:jc w:val="both"/>
        <w:rPr>
          <w:sz w:val="16"/>
          <w:szCs w:val="16"/>
        </w:rPr>
      </w:pPr>
    </w:p>
    <w:p w:rsidR="0054798E" w:rsidRPr="0054798E" w:rsidRDefault="0054798E" w:rsidP="0054798E">
      <w:pPr>
        <w:pStyle w:val="BodyText"/>
        <w:spacing w:line="480" w:lineRule="auto"/>
        <w:ind w:firstLine="720"/>
        <w:jc w:val="both"/>
        <w:rPr>
          <w:sz w:val="28"/>
          <w:szCs w:val="28"/>
        </w:rPr>
      </w:pPr>
      <w:r w:rsidRPr="0054798E">
        <w:rPr>
          <w:sz w:val="28"/>
          <w:szCs w:val="28"/>
        </w:rPr>
        <w:t>Petition R-16-0011 proposes an amendment to Rule 1.6, the rule governing the confidentiality of information obtained by a lawyer in the course of representation.  It would add a new subsection that would permit lawyers who serve as licensed adoption service providers to share specific information regarding birth mothers with other licensed adoption service providers for the purpose of preventing or mitigating fraudulent activities by birth parents.  The petition advocates this rule change as a way to address possible fraud by birth mothers who represent that they are willing to place their child for adoption, obtain benefits such as financial support and medical care as a result, and then refuse to go through with the adoption.</w:t>
      </w:r>
    </w:p>
    <w:p w:rsidR="0054798E" w:rsidRPr="0054798E" w:rsidRDefault="0054798E" w:rsidP="0054798E">
      <w:pPr>
        <w:pStyle w:val="BodyText"/>
        <w:spacing w:line="480" w:lineRule="auto"/>
        <w:ind w:firstLine="720"/>
        <w:jc w:val="both"/>
        <w:rPr>
          <w:sz w:val="28"/>
          <w:szCs w:val="28"/>
        </w:rPr>
      </w:pPr>
      <w:r w:rsidRPr="0054798E">
        <w:rPr>
          <w:sz w:val="28"/>
          <w:szCs w:val="28"/>
        </w:rPr>
        <w:lastRenderedPageBreak/>
        <w:t>While this may be a serious issue in need of being addressed, the proposed rule change does not appear to be a necessary or appropriate way to address the issue.</w:t>
      </w:r>
    </w:p>
    <w:p w:rsidR="0054798E" w:rsidRPr="0054798E" w:rsidRDefault="0054798E" w:rsidP="0054798E">
      <w:pPr>
        <w:pStyle w:val="BodyText"/>
        <w:spacing w:line="480" w:lineRule="auto"/>
        <w:ind w:firstLine="720"/>
        <w:jc w:val="both"/>
        <w:rPr>
          <w:sz w:val="28"/>
          <w:szCs w:val="28"/>
        </w:rPr>
      </w:pPr>
      <w:r w:rsidRPr="0054798E">
        <w:rPr>
          <w:sz w:val="28"/>
          <w:szCs w:val="28"/>
        </w:rPr>
        <w:t>The proposed rule change would depart substantially from the Model Rules of Professional Conduct.  Arizona has generally followed the model rules where it lacks a specific reason to depart from them, which increases overall compliance (since lawyers learn the model rules and are tested on them as part of the admission process) and allows Arizona to learn from persuasive interpretations of those identical rules in other jurisdictions.  The particular proposed departure from the Model Rules does not appear to be necessary, for two reasons.</w:t>
      </w:r>
    </w:p>
    <w:p w:rsidR="0054798E" w:rsidRPr="0054798E" w:rsidRDefault="0054798E" w:rsidP="0054798E">
      <w:pPr>
        <w:pStyle w:val="BodyText"/>
        <w:spacing w:line="480" w:lineRule="auto"/>
        <w:ind w:firstLine="720"/>
        <w:jc w:val="both"/>
        <w:rPr>
          <w:sz w:val="28"/>
          <w:szCs w:val="28"/>
        </w:rPr>
      </w:pPr>
      <w:r w:rsidRPr="0054798E">
        <w:rPr>
          <w:sz w:val="28"/>
          <w:szCs w:val="28"/>
        </w:rPr>
        <w:t>First, the proposed rule change would only govern lawyers who serve as adoption service providers.  A statutory or regulatory change governing all adoption service providers (including non-lawyers) would be a more effective way to solve any problem in the adoption area.  If state law or regulation was amended to require the disclosures contemplated by the proposed rule change, lawyers would be able to provide those disclosures under the existing language of Rule 1.6(d)(5), which permits a lawyer to reveal information relating to the representation of a client “to comply with other law.”</w:t>
      </w:r>
    </w:p>
    <w:p w:rsidR="0054798E" w:rsidRPr="0054798E" w:rsidRDefault="0054798E" w:rsidP="0054798E">
      <w:pPr>
        <w:pStyle w:val="BodyText"/>
        <w:spacing w:line="480" w:lineRule="auto"/>
        <w:ind w:firstLine="720"/>
        <w:jc w:val="both"/>
        <w:rPr>
          <w:sz w:val="28"/>
          <w:szCs w:val="28"/>
        </w:rPr>
      </w:pPr>
      <w:r w:rsidRPr="0054798E">
        <w:rPr>
          <w:sz w:val="28"/>
          <w:szCs w:val="28"/>
        </w:rPr>
        <w:t xml:space="preserve">Second, the proposed change may not be necessary to achieve the petition’s goals.  The existing Rule 1.6 may already permit disclosure in many of the </w:t>
      </w:r>
      <w:r w:rsidRPr="0054798E">
        <w:rPr>
          <w:sz w:val="28"/>
          <w:szCs w:val="28"/>
        </w:rPr>
        <w:lastRenderedPageBreak/>
        <w:t>circumstances cited by the petition, under one or both of the following provisions of subsection (d):</w:t>
      </w:r>
    </w:p>
    <w:p w:rsidR="0054798E" w:rsidRPr="0054798E" w:rsidRDefault="0054798E" w:rsidP="0054798E">
      <w:pPr>
        <w:spacing w:line="240" w:lineRule="auto"/>
        <w:ind w:left="1440" w:right="1440"/>
        <w:jc w:val="both"/>
        <w:rPr>
          <w:sz w:val="28"/>
          <w:szCs w:val="28"/>
        </w:rPr>
      </w:pPr>
      <w:r w:rsidRPr="0054798E">
        <w:rPr>
          <w:sz w:val="28"/>
          <w:szCs w:val="28"/>
        </w:rPr>
        <w:t>(d) A lawyer may reveal such information relating to the representation of a client to the extent the lawyer reasonably believes necessary:</w:t>
      </w:r>
    </w:p>
    <w:p w:rsidR="0054798E" w:rsidRPr="0054798E" w:rsidRDefault="0054798E" w:rsidP="0054798E">
      <w:pPr>
        <w:spacing w:line="240" w:lineRule="auto"/>
        <w:ind w:left="1440" w:right="1440"/>
        <w:jc w:val="both"/>
        <w:rPr>
          <w:sz w:val="28"/>
          <w:szCs w:val="28"/>
        </w:rPr>
      </w:pPr>
      <w:r w:rsidRPr="0054798E">
        <w:rPr>
          <w:sz w:val="28"/>
          <w:szCs w:val="28"/>
        </w:rPr>
        <w:t>(1) to prevent the client from committing a crime or fraud that is reasonably certain to result in substantial injury to the financial interests or property of another and in furtherance of which the client has used or is using the lawyer’s services;</w:t>
      </w:r>
    </w:p>
    <w:p w:rsidR="0054798E" w:rsidRPr="0054798E" w:rsidRDefault="0054798E" w:rsidP="0054798E">
      <w:pPr>
        <w:spacing w:line="240" w:lineRule="auto"/>
        <w:ind w:left="1440" w:right="1440"/>
        <w:jc w:val="both"/>
        <w:rPr>
          <w:sz w:val="28"/>
          <w:szCs w:val="28"/>
        </w:rPr>
      </w:pPr>
      <w:r w:rsidRPr="0054798E">
        <w:rPr>
          <w:sz w:val="28"/>
          <w:szCs w:val="28"/>
        </w:rPr>
        <w:t>(2) to mitigate or rectify substantial injury to the financial interests or property of another that is reasonably certain to result or has resulted from the client’s commission of a crime or fraud in furtherance of which the client has used the lawyer’s services.</w:t>
      </w:r>
    </w:p>
    <w:p w:rsidR="00BB35D7" w:rsidRDefault="00BB35D7" w:rsidP="0054798E">
      <w:pPr>
        <w:spacing w:line="480" w:lineRule="auto"/>
        <w:jc w:val="both"/>
        <w:rPr>
          <w:sz w:val="28"/>
          <w:szCs w:val="28"/>
        </w:rPr>
      </w:pPr>
    </w:p>
    <w:p w:rsidR="00BB35D7" w:rsidRDefault="00BB35D7" w:rsidP="00BB35D7">
      <w:pPr>
        <w:spacing w:line="480" w:lineRule="auto"/>
        <w:ind w:firstLine="720"/>
        <w:jc w:val="center"/>
        <w:rPr>
          <w:b/>
          <w:sz w:val="28"/>
          <w:szCs w:val="28"/>
          <w:u w:val="single"/>
        </w:rPr>
      </w:pPr>
      <w:r>
        <w:rPr>
          <w:b/>
          <w:sz w:val="28"/>
          <w:szCs w:val="28"/>
          <w:u w:val="single"/>
        </w:rPr>
        <w:t>CONCLUSION</w:t>
      </w:r>
    </w:p>
    <w:p w:rsidR="0054798E" w:rsidRDefault="0054798E" w:rsidP="0054798E">
      <w:pPr>
        <w:pStyle w:val="BodyText"/>
        <w:spacing w:line="480" w:lineRule="auto"/>
        <w:ind w:firstLine="720"/>
        <w:jc w:val="both"/>
        <w:rPr>
          <w:sz w:val="28"/>
          <w:szCs w:val="28"/>
        </w:rPr>
      </w:pPr>
      <w:r w:rsidRPr="0054798E">
        <w:rPr>
          <w:sz w:val="28"/>
          <w:szCs w:val="28"/>
        </w:rPr>
        <w:t>In light of the existing rules and the possibility of a legislative or regulatory solution that would affect all adoption services providers, the proposed amendment is not necessary and may cause confusion.  The State Bar therefore recommends that the amendment not be adopted and the petition denied.</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54798E" w:rsidRDefault="0054798E" w:rsidP="004331B2">
      <w:pPr>
        <w:widowControl w:val="0"/>
        <w:spacing w:line="240" w:lineRule="auto"/>
        <w:ind w:right="4140"/>
        <w:rPr>
          <w:sz w:val="28"/>
          <w:szCs w:val="28"/>
        </w:rPr>
      </w:pPr>
    </w:p>
    <w:p w:rsidR="0054798E" w:rsidRDefault="0054798E"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591DAE" w:rsidRDefault="000C48A9" w:rsidP="00591DAE">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591DA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CCE" w:rsidRDefault="00570CCE">
      <w:r>
        <w:separator/>
      </w:r>
    </w:p>
  </w:endnote>
  <w:endnote w:type="continuationSeparator" w:id="0">
    <w:p w:rsidR="00570CCE" w:rsidRDefault="0057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7420A">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CCE" w:rsidRDefault="00570CCE">
      <w:r>
        <w:separator/>
      </w:r>
    </w:p>
  </w:footnote>
  <w:footnote w:type="continuationSeparator" w:id="0">
    <w:p w:rsidR="00570CCE" w:rsidRDefault="00570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13A1F"/>
    <w:multiLevelType w:val="hybridMultilevel"/>
    <w:tmpl w:val="164CB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626FC"/>
    <w:rsid w:val="00377199"/>
    <w:rsid w:val="00392EE3"/>
    <w:rsid w:val="003A28AC"/>
    <w:rsid w:val="00407E2D"/>
    <w:rsid w:val="004331B2"/>
    <w:rsid w:val="00440E4C"/>
    <w:rsid w:val="00463734"/>
    <w:rsid w:val="00494BDF"/>
    <w:rsid w:val="004C3AE3"/>
    <w:rsid w:val="00504E1E"/>
    <w:rsid w:val="00506859"/>
    <w:rsid w:val="00520F93"/>
    <w:rsid w:val="0054798E"/>
    <w:rsid w:val="00566856"/>
    <w:rsid w:val="00570CCE"/>
    <w:rsid w:val="00591DAE"/>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C73FF"/>
    <w:rsid w:val="00933EA1"/>
    <w:rsid w:val="00951416"/>
    <w:rsid w:val="00960D21"/>
    <w:rsid w:val="00981D29"/>
    <w:rsid w:val="00981E11"/>
    <w:rsid w:val="00A1564B"/>
    <w:rsid w:val="00A5194F"/>
    <w:rsid w:val="00A7420A"/>
    <w:rsid w:val="00A871D6"/>
    <w:rsid w:val="00A93A7C"/>
    <w:rsid w:val="00AF282C"/>
    <w:rsid w:val="00AF3FF7"/>
    <w:rsid w:val="00B1491D"/>
    <w:rsid w:val="00B47B7D"/>
    <w:rsid w:val="00BB35D7"/>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A89D-4833-465F-A49D-D419DFF9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Vasquez, Venessa</cp:lastModifiedBy>
  <cp:revision>2</cp:revision>
  <cp:lastPrinted>2016-05-06T18:06:00Z</cp:lastPrinted>
  <dcterms:created xsi:type="dcterms:W3CDTF">2016-05-12T23:37:00Z</dcterms:created>
  <dcterms:modified xsi:type="dcterms:W3CDTF">2016-05-12T23:37:00Z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