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36" w:type="dxa"/>
        <w:tblLayout w:type="fixed"/>
        <w:tblLook w:val="0000" w:firstRow="0" w:lastRow="0" w:firstColumn="0" w:lastColumn="0" w:noHBand="0" w:noVBand="0"/>
      </w:tblPr>
      <w:tblGrid>
        <w:gridCol w:w="4836"/>
        <w:gridCol w:w="4200"/>
      </w:tblGrid>
      <w:tr w:rsidR="00357F4D" w:rsidRPr="000F7A7F" w:rsidTr="006F63FD">
        <w:trPr>
          <w:cantSplit/>
          <w:trHeight w:val="1987"/>
        </w:trPr>
        <w:tc>
          <w:tcPr>
            <w:tcW w:w="4836" w:type="dxa"/>
          </w:tcPr>
          <w:p w:rsidR="00000C35" w:rsidRDefault="00732169" w:rsidP="00000C35">
            <w:pPr>
              <w:pStyle w:val="FirmInformation"/>
              <w:spacing w:line="240" w:lineRule="auto"/>
              <w:rPr>
                <w:sz w:val="28"/>
                <w:szCs w:val="28"/>
              </w:rPr>
            </w:pPr>
            <w:bookmarkStart w:id="0" w:name="_zzmpFIXED_CounselTable"/>
            <w:bookmarkStart w:id="1" w:name="_GoBack"/>
            <w:bookmarkEnd w:id="1"/>
            <w:r>
              <w:rPr>
                <w:sz w:val="28"/>
                <w:szCs w:val="28"/>
              </w:rPr>
              <w:t xml:space="preserve">John Furlong, </w:t>
            </w:r>
            <w:r w:rsidRPr="006F63FD">
              <w:rPr>
                <w:sz w:val="28"/>
                <w:szCs w:val="28"/>
              </w:rPr>
              <w:t>Bar No. 018356</w:t>
            </w:r>
            <w:r>
              <w:rPr>
                <w:sz w:val="28"/>
                <w:szCs w:val="28"/>
              </w:rPr>
              <w:br/>
            </w:r>
            <w:r w:rsidR="006F63FD" w:rsidRPr="006F63FD">
              <w:rPr>
                <w:sz w:val="28"/>
                <w:szCs w:val="28"/>
              </w:rPr>
              <w:t>General Counsel</w:t>
            </w:r>
          </w:p>
          <w:p w:rsidR="00494BDF" w:rsidRPr="006F63FD" w:rsidRDefault="00494BDF" w:rsidP="00000C35">
            <w:pPr>
              <w:pStyle w:val="FirmInformation"/>
              <w:spacing w:line="240" w:lineRule="auto"/>
              <w:rPr>
                <w:sz w:val="28"/>
                <w:szCs w:val="28"/>
              </w:rPr>
            </w:pPr>
            <w:r w:rsidRPr="006F63FD">
              <w:rPr>
                <w:sz w:val="28"/>
                <w:szCs w:val="28"/>
              </w:rPr>
              <w:t>State Bar of Arizona</w:t>
            </w:r>
          </w:p>
          <w:p w:rsidR="00357F4D" w:rsidRPr="006F63FD" w:rsidRDefault="00357F4D" w:rsidP="00000C35">
            <w:pPr>
              <w:pStyle w:val="FirmInformation"/>
              <w:spacing w:line="240" w:lineRule="auto"/>
              <w:rPr>
                <w:sz w:val="28"/>
                <w:szCs w:val="28"/>
              </w:rPr>
            </w:pPr>
            <w:r w:rsidRPr="006F63FD">
              <w:rPr>
                <w:sz w:val="28"/>
                <w:szCs w:val="28"/>
              </w:rPr>
              <w:t>4201 N. 24th Street, Suite 100</w:t>
            </w:r>
          </w:p>
          <w:p w:rsidR="00357F4D" w:rsidRPr="006F63FD" w:rsidRDefault="00357F4D" w:rsidP="00000C35">
            <w:pPr>
              <w:pStyle w:val="FirmInformation"/>
              <w:spacing w:line="240" w:lineRule="auto"/>
              <w:rPr>
                <w:sz w:val="28"/>
                <w:szCs w:val="28"/>
              </w:rPr>
            </w:pPr>
            <w:r w:rsidRPr="006F63FD">
              <w:rPr>
                <w:sz w:val="28"/>
                <w:szCs w:val="28"/>
              </w:rPr>
              <w:t>Phoenix, AZ  85016-6288</w:t>
            </w:r>
          </w:p>
          <w:p w:rsidR="00357F4D" w:rsidRPr="006F63FD" w:rsidRDefault="00352347" w:rsidP="00000C35">
            <w:pPr>
              <w:pStyle w:val="FirmInformation"/>
              <w:spacing w:line="240" w:lineRule="auto"/>
              <w:rPr>
                <w:sz w:val="28"/>
                <w:szCs w:val="28"/>
              </w:rPr>
            </w:pPr>
            <w:r>
              <w:rPr>
                <w:sz w:val="28"/>
                <w:szCs w:val="28"/>
              </w:rPr>
              <w:t>(602) 340-7236</w:t>
            </w:r>
          </w:p>
          <w:p w:rsidR="006F63FD" w:rsidRPr="00735659" w:rsidRDefault="00C30E8C" w:rsidP="00735659">
            <w:pPr>
              <w:pStyle w:val="FirmInformation"/>
              <w:spacing w:line="240" w:lineRule="auto"/>
              <w:rPr>
                <w:sz w:val="28"/>
                <w:szCs w:val="28"/>
              </w:rPr>
            </w:pPr>
            <w:hyperlink r:id="rId8" w:history="1">
              <w:r w:rsidR="006F63FD" w:rsidRPr="003F71FF">
                <w:rPr>
                  <w:rStyle w:val="Hyperlink"/>
                  <w:sz w:val="28"/>
                  <w:szCs w:val="28"/>
                </w:rPr>
                <w:t>John.Furlong@staff.azbar.org</w:t>
              </w:r>
            </w:hyperlink>
          </w:p>
        </w:tc>
        <w:tc>
          <w:tcPr>
            <w:tcW w:w="4200" w:type="dxa"/>
          </w:tcPr>
          <w:p w:rsidR="00357F4D" w:rsidRPr="000F7A7F" w:rsidRDefault="00357F4D" w:rsidP="00000C35">
            <w:pPr>
              <w:ind w:left="113" w:right="113"/>
              <w:rPr>
                <w:sz w:val="26"/>
                <w:szCs w:val="26"/>
              </w:rPr>
            </w:pPr>
          </w:p>
        </w:tc>
      </w:tr>
      <w:bookmarkEnd w:id="0"/>
    </w:tbl>
    <w:p w:rsidR="00357F4D" w:rsidRPr="007D5F94" w:rsidRDefault="00357F4D" w:rsidP="00735659">
      <w:pPr>
        <w:pStyle w:val="Court"/>
        <w:spacing w:line="508" w:lineRule="exact"/>
        <w:jc w:val="left"/>
        <w:rPr>
          <w:b/>
          <w:sz w:val="16"/>
          <w:szCs w:val="16"/>
        </w:rPr>
      </w:pPr>
    </w:p>
    <w:p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rsidTr="004331B2">
        <w:tc>
          <w:tcPr>
            <w:tcW w:w="4680" w:type="dxa"/>
            <w:tcBorders>
              <w:top w:val="nil"/>
              <w:bottom w:val="single" w:sz="4" w:space="0" w:color="auto"/>
              <w:right w:val="single" w:sz="4" w:space="0" w:color="auto"/>
            </w:tcBorders>
            <w:shd w:val="clear" w:color="auto" w:fill="auto"/>
          </w:tcPr>
          <w:p w:rsidR="00357F4D" w:rsidRPr="006F63FD" w:rsidRDefault="00357F4D" w:rsidP="00E321C5">
            <w:pPr>
              <w:pStyle w:val="Caption"/>
              <w:spacing w:before="240" w:line="260" w:lineRule="exact"/>
              <w:rPr>
                <w:sz w:val="28"/>
                <w:szCs w:val="28"/>
              </w:rPr>
            </w:pPr>
            <w:bookmarkStart w:id="2" w:name="_zzmpFIXED_CaptionTable"/>
            <w:r w:rsidRPr="006F63FD">
              <w:rPr>
                <w:sz w:val="28"/>
                <w:szCs w:val="28"/>
              </w:rPr>
              <w:t>In the Matter of:</w:t>
            </w:r>
          </w:p>
          <w:p w:rsidR="00357F4D" w:rsidRPr="00732169" w:rsidRDefault="00E67511" w:rsidP="00E321C5">
            <w:pPr>
              <w:pStyle w:val="Caption"/>
              <w:spacing w:before="240" w:line="260" w:lineRule="exact"/>
              <w:rPr>
                <w:b/>
                <w:sz w:val="28"/>
                <w:szCs w:val="28"/>
              </w:rPr>
            </w:pPr>
            <w:r w:rsidRPr="00732169">
              <w:rPr>
                <w:b/>
                <w:sz w:val="28"/>
                <w:szCs w:val="28"/>
              </w:rPr>
              <w:t xml:space="preserve">PETITION </w:t>
            </w:r>
            <w:r w:rsidR="006E5FBF">
              <w:rPr>
                <w:b/>
                <w:sz w:val="28"/>
                <w:szCs w:val="28"/>
              </w:rPr>
              <w:t xml:space="preserve">TO </w:t>
            </w:r>
            <w:r w:rsidR="000200F1">
              <w:rPr>
                <w:b/>
                <w:sz w:val="28"/>
                <w:szCs w:val="28"/>
              </w:rPr>
              <w:t xml:space="preserve">AMEND RULE </w:t>
            </w:r>
            <w:r w:rsidR="00E6239E">
              <w:rPr>
                <w:b/>
                <w:sz w:val="28"/>
                <w:szCs w:val="28"/>
              </w:rPr>
              <w:t>16.4 OF</w:t>
            </w:r>
            <w:r w:rsidR="000200F1">
              <w:rPr>
                <w:b/>
                <w:sz w:val="28"/>
                <w:szCs w:val="28"/>
              </w:rPr>
              <w:t xml:space="preserve"> THE ARIZONA RULES OF</w:t>
            </w:r>
            <w:r w:rsidR="004C5571">
              <w:rPr>
                <w:b/>
                <w:sz w:val="28"/>
                <w:szCs w:val="28"/>
              </w:rPr>
              <w:t xml:space="preserve"> CRIMINAL PROCEDURE</w:t>
            </w:r>
          </w:p>
          <w:p w:rsidR="00357F4D" w:rsidRPr="000F7A7F" w:rsidRDefault="00357F4D" w:rsidP="00E321C5">
            <w:pPr>
              <w:pStyle w:val="Caption"/>
              <w:spacing w:before="240" w:after="240"/>
              <w:rPr>
                <w:szCs w:val="26"/>
              </w:rPr>
            </w:pPr>
          </w:p>
        </w:tc>
        <w:tc>
          <w:tcPr>
            <w:tcW w:w="4524" w:type="dxa"/>
            <w:tcBorders>
              <w:top w:val="nil"/>
              <w:left w:val="single" w:sz="4" w:space="0" w:color="auto"/>
            </w:tcBorders>
            <w:shd w:val="clear" w:color="auto" w:fill="auto"/>
          </w:tcPr>
          <w:p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500258">
              <w:rPr>
                <w:sz w:val="28"/>
                <w:szCs w:val="28"/>
              </w:rPr>
              <w:t>15-00</w:t>
            </w:r>
            <w:r w:rsidR="00E6239E">
              <w:rPr>
                <w:sz w:val="28"/>
                <w:szCs w:val="28"/>
              </w:rPr>
              <w:t>38</w:t>
            </w:r>
          </w:p>
          <w:p w:rsidR="0023316F" w:rsidRDefault="0023316F" w:rsidP="000F7A7F">
            <w:pPr>
              <w:pStyle w:val="Caption"/>
              <w:tabs>
                <w:tab w:val="left" w:pos="1238"/>
              </w:tabs>
              <w:spacing w:line="260" w:lineRule="exact"/>
              <w:ind w:right="115"/>
              <w:jc w:val="center"/>
              <w:rPr>
                <w:b/>
                <w:sz w:val="28"/>
                <w:szCs w:val="28"/>
              </w:rPr>
            </w:pPr>
          </w:p>
          <w:p w:rsidR="000F7A7F" w:rsidRPr="006F63FD" w:rsidRDefault="000F7A7F" w:rsidP="000F7A7F">
            <w:pPr>
              <w:pStyle w:val="Caption"/>
              <w:tabs>
                <w:tab w:val="left" w:pos="1238"/>
              </w:tabs>
              <w:spacing w:line="260" w:lineRule="exact"/>
              <w:ind w:right="115"/>
              <w:jc w:val="center"/>
              <w:rPr>
                <w:b/>
                <w:sz w:val="28"/>
                <w:szCs w:val="28"/>
              </w:rPr>
            </w:pPr>
            <w:r w:rsidRPr="006F63FD">
              <w:rPr>
                <w:b/>
                <w:sz w:val="28"/>
                <w:szCs w:val="28"/>
              </w:rPr>
              <w:t>COMMENT OF</w:t>
            </w:r>
          </w:p>
          <w:p w:rsidR="00357F4D" w:rsidRPr="006F63FD" w:rsidRDefault="000F7A7F" w:rsidP="000F7A7F">
            <w:pPr>
              <w:pStyle w:val="Caption"/>
              <w:tabs>
                <w:tab w:val="left" w:pos="1238"/>
              </w:tabs>
              <w:spacing w:line="260" w:lineRule="exact"/>
              <w:ind w:right="115"/>
              <w:jc w:val="center"/>
              <w:rPr>
                <w:b/>
                <w:sz w:val="28"/>
                <w:szCs w:val="28"/>
              </w:rPr>
            </w:pPr>
            <w:r w:rsidRPr="006F63FD">
              <w:rPr>
                <w:b/>
                <w:sz w:val="28"/>
                <w:szCs w:val="28"/>
              </w:rPr>
              <w:t>THE STATE BAR OF ARIZONA</w:t>
            </w:r>
          </w:p>
          <w:p w:rsidR="00357F4D" w:rsidRPr="000F7A7F" w:rsidRDefault="00357F4D" w:rsidP="00E321C5">
            <w:pPr>
              <w:pStyle w:val="DocumentTitle"/>
              <w:rPr>
                <w:szCs w:val="26"/>
              </w:rPr>
            </w:pPr>
          </w:p>
          <w:p w:rsidR="00357F4D" w:rsidRPr="000F7A7F" w:rsidRDefault="00357F4D" w:rsidP="00E321C5">
            <w:pPr>
              <w:pStyle w:val="Caption"/>
              <w:ind w:left="1512" w:right="115" w:hanging="1253"/>
              <w:rPr>
                <w:szCs w:val="26"/>
              </w:rPr>
            </w:pPr>
          </w:p>
        </w:tc>
      </w:tr>
      <w:bookmarkEnd w:id="2"/>
    </w:tbl>
    <w:p w:rsidR="00104F4E" w:rsidRDefault="00104F4E" w:rsidP="00104F4E">
      <w:pPr>
        <w:pStyle w:val="Body"/>
        <w:widowControl w:val="0"/>
        <w:spacing w:line="240" w:lineRule="auto"/>
        <w:ind w:firstLine="720"/>
        <w:jc w:val="both"/>
        <w:rPr>
          <w:sz w:val="28"/>
          <w:szCs w:val="28"/>
        </w:rPr>
      </w:pPr>
    </w:p>
    <w:p w:rsidR="005153B0" w:rsidRDefault="005153B0" w:rsidP="00FC2552">
      <w:pPr>
        <w:pStyle w:val="Body"/>
        <w:widowControl w:val="0"/>
        <w:spacing w:line="480" w:lineRule="auto"/>
        <w:ind w:firstLine="720"/>
        <w:jc w:val="both"/>
        <w:rPr>
          <w:sz w:val="28"/>
          <w:szCs w:val="28"/>
        </w:rPr>
      </w:pPr>
      <w:r>
        <w:rPr>
          <w:sz w:val="28"/>
          <w:szCs w:val="28"/>
        </w:rPr>
        <w:t xml:space="preserve">The State Bar of Arizona takes no </w:t>
      </w:r>
      <w:r w:rsidR="00E42C8C">
        <w:rPr>
          <w:sz w:val="28"/>
          <w:szCs w:val="28"/>
        </w:rPr>
        <w:t>position</w:t>
      </w:r>
      <w:r>
        <w:rPr>
          <w:sz w:val="28"/>
          <w:szCs w:val="28"/>
        </w:rPr>
        <w:t xml:space="preserve"> on this Petition </w:t>
      </w:r>
      <w:r w:rsidR="00FE5D03">
        <w:rPr>
          <w:sz w:val="28"/>
          <w:szCs w:val="28"/>
        </w:rPr>
        <w:t>but notes that the Criminal Prosecution Practice and Procedure Committee submitted a proposed comment, which is included in the attached Appendix</w:t>
      </w:r>
      <w:r w:rsidR="007D5F94">
        <w:rPr>
          <w:rStyle w:val="FootnoteReference"/>
          <w:sz w:val="28"/>
          <w:szCs w:val="28"/>
        </w:rPr>
        <w:footnoteReference w:id="1"/>
      </w:r>
      <w:r w:rsidR="00FE5D03">
        <w:rPr>
          <w:sz w:val="28"/>
          <w:szCs w:val="28"/>
        </w:rPr>
        <w:t xml:space="preserve">. The Criminal Defense Practice and Procedure Committee did not submit a proposed comment. However, the Criminal Defense Practice and Procedure Committee’s </w:t>
      </w:r>
      <w:r w:rsidR="00E42C8C">
        <w:rPr>
          <w:sz w:val="28"/>
          <w:szCs w:val="28"/>
        </w:rPr>
        <w:t>position</w:t>
      </w:r>
      <w:r w:rsidR="00FE5D03">
        <w:rPr>
          <w:sz w:val="28"/>
          <w:szCs w:val="28"/>
        </w:rPr>
        <w:t xml:space="preserve"> is that the Petition is procedurally problematic.  As a result, the State Bar takes no posit</w:t>
      </w:r>
      <w:r w:rsidR="00294E50">
        <w:rPr>
          <w:sz w:val="28"/>
          <w:szCs w:val="28"/>
        </w:rPr>
        <w:t>i</w:t>
      </w:r>
      <w:r w:rsidR="00FE5D03">
        <w:rPr>
          <w:sz w:val="28"/>
          <w:szCs w:val="28"/>
        </w:rPr>
        <w:t xml:space="preserve">on </w:t>
      </w:r>
      <w:r>
        <w:rPr>
          <w:sz w:val="28"/>
          <w:szCs w:val="28"/>
        </w:rPr>
        <w:lastRenderedPageBreak/>
        <w:t xml:space="preserve">because of the conflicting positions of </w:t>
      </w:r>
      <w:r w:rsidR="00FE5D03">
        <w:rPr>
          <w:sz w:val="28"/>
          <w:szCs w:val="28"/>
        </w:rPr>
        <w:t>our State Bar</w:t>
      </w:r>
      <w:r>
        <w:rPr>
          <w:sz w:val="28"/>
          <w:szCs w:val="28"/>
        </w:rPr>
        <w:t xml:space="preserve"> members</w:t>
      </w:r>
      <w:r w:rsidR="00FE5D03">
        <w:rPr>
          <w:sz w:val="28"/>
          <w:szCs w:val="28"/>
        </w:rPr>
        <w:t>.</w:t>
      </w:r>
      <w:r>
        <w:rPr>
          <w:sz w:val="28"/>
          <w:szCs w:val="28"/>
        </w:rPr>
        <w:t xml:space="preserve"> </w:t>
      </w:r>
    </w:p>
    <w:p w:rsidR="00087B0C" w:rsidRPr="006F63FD" w:rsidRDefault="00087B0C" w:rsidP="00087B0C">
      <w:pPr>
        <w:pStyle w:val="Body"/>
        <w:widowControl w:val="0"/>
        <w:tabs>
          <w:tab w:val="left" w:pos="720"/>
        </w:tabs>
        <w:ind w:firstLine="0"/>
        <w:rPr>
          <w:sz w:val="28"/>
          <w:szCs w:val="28"/>
        </w:rPr>
      </w:pPr>
      <w:r>
        <w:rPr>
          <w:szCs w:val="26"/>
        </w:rPr>
        <w:t xml:space="preserve">       </w:t>
      </w:r>
      <w:r w:rsidRPr="006F63FD">
        <w:rPr>
          <w:sz w:val="28"/>
          <w:szCs w:val="28"/>
        </w:rPr>
        <w:t>RESPECTFULLY SUBMITTED this ____day of__________________, 201</w:t>
      </w:r>
      <w:r>
        <w:rPr>
          <w:sz w:val="28"/>
          <w:szCs w:val="28"/>
        </w:rPr>
        <w:t>6</w:t>
      </w:r>
      <w:r w:rsidRPr="006F63FD">
        <w:rPr>
          <w:sz w:val="28"/>
          <w:szCs w:val="28"/>
        </w:rPr>
        <w:t>.</w:t>
      </w:r>
    </w:p>
    <w:p w:rsidR="00087B0C" w:rsidRPr="000F7A7F" w:rsidRDefault="00087B0C" w:rsidP="00087B0C">
      <w:pPr>
        <w:pStyle w:val="Body"/>
        <w:widowControl w:val="0"/>
        <w:tabs>
          <w:tab w:val="left" w:pos="720"/>
        </w:tabs>
        <w:ind w:firstLine="0"/>
        <w:rPr>
          <w:szCs w:val="26"/>
        </w:rPr>
      </w:pPr>
    </w:p>
    <w:p w:rsidR="00087B0C" w:rsidRPr="000F7A7F" w:rsidRDefault="00087B0C" w:rsidP="00087B0C">
      <w:pPr>
        <w:pStyle w:val="Body"/>
        <w:widowControl w:val="0"/>
        <w:tabs>
          <w:tab w:val="left" w:pos="720"/>
        </w:tabs>
        <w:ind w:firstLine="0"/>
        <w:rPr>
          <w:szCs w:val="26"/>
        </w:rPr>
      </w:pPr>
    </w:p>
    <w:p w:rsidR="00087B0C" w:rsidRPr="006F63FD" w:rsidRDefault="00087B0C" w:rsidP="00087B0C">
      <w:pPr>
        <w:pStyle w:val="PleadingSignature"/>
        <w:keepNext w:val="0"/>
        <w:keepLines w:val="0"/>
        <w:pBdr>
          <w:top w:val="single" w:sz="4" w:space="1" w:color="auto"/>
        </w:pBdr>
        <w:spacing w:line="240" w:lineRule="auto"/>
        <w:ind w:left="5070"/>
        <w:rPr>
          <w:sz w:val="28"/>
          <w:szCs w:val="28"/>
        </w:rPr>
      </w:pPr>
      <w:r w:rsidRPr="006F63FD">
        <w:rPr>
          <w:sz w:val="28"/>
          <w:szCs w:val="28"/>
        </w:rPr>
        <w:t>John Furlong</w:t>
      </w:r>
    </w:p>
    <w:p w:rsidR="00087B0C" w:rsidRPr="006F63FD" w:rsidRDefault="00087B0C" w:rsidP="00087B0C">
      <w:pPr>
        <w:pStyle w:val="PleadingSignature"/>
        <w:keepNext w:val="0"/>
        <w:keepLines w:val="0"/>
        <w:spacing w:line="240" w:lineRule="auto"/>
        <w:ind w:left="5070"/>
        <w:rPr>
          <w:sz w:val="28"/>
          <w:szCs w:val="28"/>
        </w:rPr>
      </w:pPr>
      <w:r w:rsidRPr="006F63FD">
        <w:rPr>
          <w:sz w:val="28"/>
          <w:szCs w:val="28"/>
        </w:rPr>
        <w:t>General Counsel</w:t>
      </w:r>
    </w:p>
    <w:p w:rsidR="00087B0C" w:rsidRPr="000F7A7F" w:rsidRDefault="00087B0C" w:rsidP="00087B0C">
      <w:pPr>
        <w:pStyle w:val="PleadingSignature"/>
        <w:keepNext w:val="0"/>
        <w:keepLines w:val="0"/>
        <w:spacing w:line="240" w:lineRule="auto"/>
        <w:ind w:left="5070"/>
        <w:rPr>
          <w:szCs w:val="26"/>
        </w:rPr>
      </w:pPr>
    </w:p>
    <w:p w:rsidR="00087B0C" w:rsidRPr="00C52E56" w:rsidRDefault="00087B0C" w:rsidP="00087B0C">
      <w:pPr>
        <w:widowControl w:val="0"/>
        <w:spacing w:line="240" w:lineRule="auto"/>
        <w:ind w:right="4140"/>
        <w:rPr>
          <w:sz w:val="28"/>
          <w:szCs w:val="28"/>
        </w:rPr>
      </w:pPr>
      <w:r w:rsidRPr="00C52E56">
        <w:rPr>
          <w:sz w:val="28"/>
          <w:szCs w:val="28"/>
        </w:rPr>
        <w:t>Electronic copy filed with the</w:t>
      </w:r>
    </w:p>
    <w:p w:rsidR="00087B0C" w:rsidRPr="00C52E56" w:rsidRDefault="00087B0C" w:rsidP="00087B0C">
      <w:pPr>
        <w:spacing w:line="240" w:lineRule="auto"/>
        <w:ind w:right="4140"/>
        <w:rPr>
          <w:sz w:val="28"/>
          <w:szCs w:val="28"/>
        </w:rPr>
      </w:pPr>
      <w:r w:rsidRPr="00C52E56">
        <w:rPr>
          <w:sz w:val="28"/>
          <w:szCs w:val="28"/>
        </w:rPr>
        <w:t>Clerk of the Arizona Supreme Court</w:t>
      </w:r>
    </w:p>
    <w:p w:rsidR="00087B0C" w:rsidRPr="00C52E56" w:rsidRDefault="00087B0C" w:rsidP="00087B0C">
      <w:pPr>
        <w:tabs>
          <w:tab w:val="left" w:pos="4836"/>
        </w:tabs>
        <w:spacing w:line="240" w:lineRule="auto"/>
        <w:ind w:right="3870"/>
        <w:rPr>
          <w:sz w:val="28"/>
          <w:szCs w:val="28"/>
        </w:rPr>
      </w:pPr>
      <w:r w:rsidRPr="00C52E56">
        <w:rPr>
          <w:sz w:val="28"/>
          <w:szCs w:val="28"/>
        </w:rPr>
        <w:t>this _____ day of ___________________, 201</w:t>
      </w:r>
      <w:r>
        <w:rPr>
          <w:sz w:val="28"/>
          <w:szCs w:val="28"/>
        </w:rPr>
        <w:t>6</w:t>
      </w:r>
      <w:r w:rsidRPr="00C52E56">
        <w:rPr>
          <w:sz w:val="28"/>
          <w:szCs w:val="28"/>
        </w:rPr>
        <w:t>.</w:t>
      </w:r>
    </w:p>
    <w:p w:rsidR="00087B0C" w:rsidRPr="00C52E56" w:rsidRDefault="00087B0C" w:rsidP="00087B0C">
      <w:pPr>
        <w:spacing w:line="240" w:lineRule="auto"/>
        <w:ind w:right="4572"/>
        <w:rPr>
          <w:sz w:val="28"/>
          <w:szCs w:val="28"/>
        </w:rPr>
      </w:pPr>
    </w:p>
    <w:p w:rsidR="00087B0C" w:rsidRPr="00C52E56" w:rsidRDefault="00087B0C" w:rsidP="00087B0C">
      <w:pPr>
        <w:spacing w:line="240" w:lineRule="auto"/>
        <w:ind w:right="4572"/>
        <w:rPr>
          <w:sz w:val="28"/>
          <w:szCs w:val="28"/>
        </w:rPr>
      </w:pPr>
      <w:r w:rsidRPr="00C52E56">
        <w:rPr>
          <w:sz w:val="28"/>
          <w:szCs w:val="28"/>
        </w:rPr>
        <w:t xml:space="preserve">by: _______________________________ </w:t>
      </w:r>
    </w:p>
    <w:p w:rsidR="00087B0C" w:rsidRDefault="00087B0C" w:rsidP="005153B0">
      <w:pPr>
        <w:pStyle w:val="Body"/>
        <w:widowControl w:val="0"/>
        <w:spacing w:line="480" w:lineRule="auto"/>
        <w:ind w:firstLine="720"/>
        <w:jc w:val="both"/>
        <w:rPr>
          <w:sz w:val="28"/>
          <w:szCs w:val="28"/>
        </w:rPr>
      </w:pPr>
    </w:p>
    <w:p w:rsidR="00087B0C" w:rsidRDefault="00087B0C" w:rsidP="005153B0">
      <w:pPr>
        <w:pStyle w:val="Body"/>
        <w:widowControl w:val="0"/>
        <w:spacing w:line="480" w:lineRule="auto"/>
        <w:ind w:firstLine="720"/>
        <w:jc w:val="both"/>
        <w:rPr>
          <w:sz w:val="28"/>
          <w:szCs w:val="28"/>
        </w:rPr>
      </w:pPr>
    </w:p>
    <w:p w:rsidR="00087B0C" w:rsidRDefault="00087B0C" w:rsidP="005153B0">
      <w:pPr>
        <w:pStyle w:val="Body"/>
        <w:widowControl w:val="0"/>
        <w:spacing w:line="480" w:lineRule="auto"/>
        <w:ind w:firstLine="720"/>
        <w:jc w:val="both"/>
        <w:rPr>
          <w:sz w:val="28"/>
          <w:szCs w:val="28"/>
        </w:rPr>
      </w:pPr>
    </w:p>
    <w:p w:rsidR="00087B0C" w:rsidRDefault="00087B0C" w:rsidP="005153B0">
      <w:pPr>
        <w:pStyle w:val="Body"/>
        <w:widowControl w:val="0"/>
        <w:spacing w:line="480" w:lineRule="auto"/>
        <w:ind w:firstLine="720"/>
        <w:jc w:val="both"/>
        <w:rPr>
          <w:sz w:val="28"/>
          <w:szCs w:val="28"/>
        </w:rPr>
      </w:pPr>
    </w:p>
    <w:p w:rsidR="00087B0C" w:rsidRDefault="00087B0C" w:rsidP="005153B0">
      <w:pPr>
        <w:pStyle w:val="Body"/>
        <w:widowControl w:val="0"/>
        <w:spacing w:line="480" w:lineRule="auto"/>
        <w:ind w:firstLine="720"/>
        <w:jc w:val="both"/>
        <w:rPr>
          <w:sz w:val="28"/>
          <w:szCs w:val="28"/>
        </w:rPr>
      </w:pPr>
    </w:p>
    <w:p w:rsidR="00087B0C" w:rsidRDefault="00087B0C" w:rsidP="005153B0">
      <w:pPr>
        <w:pStyle w:val="Body"/>
        <w:widowControl w:val="0"/>
        <w:spacing w:line="480" w:lineRule="auto"/>
        <w:ind w:firstLine="720"/>
        <w:jc w:val="both"/>
        <w:rPr>
          <w:sz w:val="28"/>
          <w:szCs w:val="28"/>
        </w:rPr>
      </w:pPr>
    </w:p>
    <w:p w:rsidR="00087B0C" w:rsidRDefault="00087B0C" w:rsidP="005153B0">
      <w:pPr>
        <w:pStyle w:val="Body"/>
        <w:widowControl w:val="0"/>
        <w:spacing w:line="480" w:lineRule="auto"/>
        <w:ind w:firstLine="720"/>
        <w:jc w:val="both"/>
        <w:rPr>
          <w:sz w:val="28"/>
          <w:szCs w:val="28"/>
        </w:rPr>
      </w:pPr>
    </w:p>
    <w:p w:rsidR="00087B0C" w:rsidRDefault="00087B0C" w:rsidP="005153B0">
      <w:pPr>
        <w:pStyle w:val="Body"/>
        <w:widowControl w:val="0"/>
        <w:spacing w:line="480" w:lineRule="auto"/>
        <w:ind w:firstLine="720"/>
        <w:jc w:val="both"/>
        <w:rPr>
          <w:sz w:val="28"/>
          <w:szCs w:val="28"/>
        </w:rPr>
      </w:pPr>
    </w:p>
    <w:p w:rsidR="00087B0C" w:rsidRDefault="00087B0C" w:rsidP="005153B0">
      <w:pPr>
        <w:pStyle w:val="Body"/>
        <w:widowControl w:val="0"/>
        <w:spacing w:line="480" w:lineRule="auto"/>
        <w:ind w:firstLine="720"/>
        <w:jc w:val="both"/>
        <w:rPr>
          <w:sz w:val="28"/>
          <w:szCs w:val="28"/>
        </w:rPr>
      </w:pPr>
    </w:p>
    <w:p w:rsidR="00087B0C" w:rsidRDefault="00087B0C" w:rsidP="005153B0">
      <w:pPr>
        <w:pStyle w:val="Body"/>
        <w:widowControl w:val="0"/>
        <w:spacing w:line="480" w:lineRule="auto"/>
        <w:ind w:firstLine="720"/>
        <w:jc w:val="both"/>
        <w:rPr>
          <w:sz w:val="28"/>
          <w:szCs w:val="28"/>
        </w:rPr>
      </w:pPr>
    </w:p>
    <w:p w:rsidR="00087B0C" w:rsidRDefault="00087B0C" w:rsidP="005153B0">
      <w:pPr>
        <w:pStyle w:val="Body"/>
        <w:widowControl w:val="0"/>
        <w:spacing w:line="480" w:lineRule="auto"/>
        <w:ind w:firstLine="720"/>
        <w:jc w:val="both"/>
        <w:rPr>
          <w:sz w:val="28"/>
          <w:szCs w:val="28"/>
        </w:rPr>
      </w:pPr>
    </w:p>
    <w:p w:rsidR="00087B0C" w:rsidRDefault="00087B0C" w:rsidP="005153B0">
      <w:pPr>
        <w:pStyle w:val="Body"/>
        <w:widowControl w:val="0"/>
        <w:spacing w:line="480" w:lineRule="auto"/>
        <w:ind w:firstLine="720"/>
        <w:jc w:val="both"/>
        <w:rPr>
          <w:sz w:val="28"/>
          <w:szCs w:val="28"/>
        </w:rPr>
      </w:pPr>
    </w:p>
    <w:p w:rsidR="00B4675C" w:rsidRDefault="00B4675C" w:rsidP="00087B0C">
      <w:pPr>
        <w:pStyle w:val="Body"/>
        <w:widowControl w:val="0"/>
        <w:spacing w:line="480" w:lineRule="auto"/>
        <w:ind w:firstLine="720"/>
        <w:jc w:val="center"/>
        <w:rPr>
          <w:b/>
          <w:sz w:val="28"/>
          <w:szCs w:val="28"/>
        </w:rPr>
      </w:pPr>
    </w:p>
    <w:p w:rsidR="00087B0C" w:rsidRPr="00087B0C" w:rsidRDefault="00087B0C" w:rsidP="00087B0C">
      <w:pPr>
        <w:pStyle w:val="Body"/>
        <w:widowControl w:val="0"/>
        <w:spacing w:line="480" w:lineRule="auto"/>
        <w:ind w:firstLine="720"/>
        <w:jc w:val="center"/>
        <w:rPr>
          <w:b/>
          <w:sz w:val="28"/>
          <w:szCs w:val="28"/>
        </w:rPr>
      </w:pPr>
      <w:r w:rsidRPr="00087B0C">
        <w:rPr>
          <w:b/>
          <w:sz w:val="28"/>
          <w:szCs w:val="28"/>
        </w:rPr>
        <w:t>APPENDIX</w:t>
      </w:r>
    </w:p>
    <w:p w:rsidR="00087B0C" w:rsidRDefault="00087B0C" w:rsidP="005153B0">
      <w:pPr>
        <w:pStyle w:val="Body"/>
        <w:widowControl w:val="0"/>
        <w:spacing w:line="480" w:lineRule="auto"/>
        <w:ind w:firstLine="720"/>
        <w:jc w:val="both"/>
        <w:rPr>
          <w:sz w:val="28"/>
          <w:szCs w:val="28"/>
        </w:rPr>
      </w:pPr>
    </w:p>
    <w:p w:rsidR="00087B0C" w:rsidRDefault="00087B0C" w:rsidP="005153B0">
      <w:pPr>
        <w:pStyle w:val="Body"/>
        <w:widowControl w:val="0"/>
        <w:spacing w:line="480" w:lineRule="auto"/>
        <w:ind w:firstLine="720"/>
        <w:jc w:val="both"/>
        <w:rPr>
          <w:sz w:val="28"/>
          <w:szCs w:val="28"/>
        </w:rPr>
      </w:pPr>
    </w:p>
    <w:p w:rsidR="00087B0C" w:rsidRDefault="00087B0C" w:rsidP="005153B0">
      <w:pPr>
        <w:pStyle w:val="Body"/>
        <w:widowControl w:val="0"/>
        <w:spacing w:line="480" w:lineRule="auto"/>
        <w:ind w:firstLine="720"/>
        <w:jc w:val="both"/>
        <w:rPr>
          <w:sz w:val="28"/>
          <w:szCs w:val="28"/>
        </w:rPr>
      </w:pPr>
    </w:p>
    <w:p w:rsidR="00087B0C" w:rsidRDefault="00087B0C" w:rsidP="005153B0">
      <w:pPr>
        <w:pStyle w:val="Body"/>
        <w:widowControl w:val="0"/>
        <w:spacing w:line="480" w:lineRule="auto"/>
        <w:ind w:firstLine="720"/>
        <w:jc w:val="both"/>
        <w:rPr>
          <w:sz w:val="28"/>
          <w:szCs w:val="28"/>
        </w:rPr>
      </w:pPr>
    </w:p>
    <w:p w:rsidR="00087B0C" w:rsidRDefault="00087B0C" w:rsidP="005153B0">
      <w:pPr>
        <w:pStyle w:val="Body"/>
        <w:widowControl w:val="0"/>
        <w:spacing w:line="480" w:lineRule="auto"/>
        <w:ind w:firstLine="720"/>
        <w:jc w:val="both"/>
        <w:rPr>
          <w:sz w:val="28"/>
          <w:szCs w:val="28"/>
        </w:rPr>
      </w:pPr>
    </w:p>
    <w:p w:rsidR="00087B0C" w:rsidRDefault="00087B0C" w:rsidP="005153B0">
      <w:pPr>
        <w:pStyle w:val="Body"/>
        <w:widowControl w:val="0"/>
        <w:spacing w:line="480" w:lineRule="auto"/>
        <w:ind w:firstLine="720"/>
        <w:jc w:val="both"/>
        <w:rPr>
          <w:sz w:val="28"/>
          <w:szCs w:val="28"/>
        </w:rPr>
      </w:pPr>
    </w:p>
    <w:p w:rsidR="00087B0C" w:rsidRDefault="00087B0C" w:rsidP="005153B0">
      <w:pPr>
        <w:pStyle w:val="Body"/>
        <w:widowControl w:val="0"/>
        <w:spacing w:line="480" w:lineRule="auto"/>
        <w:ind w:firstLine="720"/>
        <w:jc w:val="both"/>
        <w:rPr>
          <w:sz w:val="28"/>
          <w:szCs w:val="28"/>
        </w:rPr>
      </w:pPr>
    </w:p>
    <w:p w:rsidR="00087B0C" w:rsidRDefault="00087B0C" w:rsidP="005153B0">
      <w:pPr>
        <w:pStyle w:val="Body"/>
        <w:widowControl w:val="0"/>
        <w:spacing w:line="480" w:lineRule="auto"/>
        <w:ind w:firstLine="720"/>
        <w:jc w:val="both"/>
        <w:rPr>
          <w:sz w:val="28"/>
          <w:szCs w:val="28"/>
        </w:rPr>
      </w:pPr>
    </w:p>
    <w:p w:rsidR="00087B0C" w:rsidRDefault="00087B0C" w:rsidP="005153B0">
      <w:pPr>
        <w:pStyle w:val="Body"/>
        <w:widowControl w:val="0"/>
        <w:spacing w:line="480" w:lineRule="auto"/>
        <w:ind w:firstLine="720"/>
        <w:jc w:val="both"/>
        <w:rPr>
          <w:sz w:val="28"/>
          <w:szCs w:val="28"/>
        </w:rPr>
      </w:pPr>
    </w:p>
    <w:p w:rsidR="00087B0C" w:rsidRDefault="00087B0C" w:rsidP="005153B0">
      <w:pPr>
        <w:pStyle w:val="Body"/>
        <w:widowControl w:val="0"/>
        <w:spacing w:line="480" w:lineRule="auto"/>
        <w:ind w:firstLine="720"/>
        <w:jc w:val="both"/>
        <w:rPr>
          <w:sz w:val="28"/>
          <w:szCs w:val="28"/>
        </w:rPr>
      </w:pPr>
    </w:p>
    <w:p w:rsidR="00087B0C" w:rsidRDefault="00087B0C" w:rsidP="005153B0">
      <w:pPr>
        <w:pStyle w:val="Body"/>
        <w:widowControl w:val="0"/>
        <w:spacing w:line="480" w:lineRule="auto"/>
        <w:ind w:firstLine="720"/>
        <w:jc w:val="both"/>
        <w:rPr>
          <w:sz w:val="28"/>
          <w:szCs w:val="28"/>
        </w:rPr>
      </w:pPr>
    </w:p>
    <w:p w:rsidR="00087B0C" w:rsidRDefault="00087B0C" w:rsidP="005153B0">
      <w:pPr>
        <w:pStyle w:val="Body"/>
        <w:widowControl w:val="0"/>
        <w:spacing w:line="480" w:lineRule="auto"/>
        <w:ind w:firstLine="720"/>
        <w:jc w:val="both"/>
        <w:rPr>
          <w:sz w:val="28"/>
          <w:szCs w:val="28"/>
        </w:rPr>
      </w:pPr>
    </w:p>
    <w:p w:rsidR="00B4675C" w:rsidRDefault="00B4675C" w:rsidP="00087B0C">
      <w:pPr>
        <w:pStyle w:val="Body"/>
        <w:widowControl w:val="0"/>
        <w:spacing w:line="240" w:lineRule="auto"/>
        <w:ind w:firstLine="720"/>
        <w:jc w:val="center"/>
        <w:rPr>
          <w:b/>
          <w:sz w:val="28"/>
          <w:szCs w:val="28"/>
        </w:rPr>
      </w:pPr>
    </w:p>
    <w:p w:rsidR="00B4675C" w:rsidRDefault="00B4675C" w:rsidP="00087B0C">
      <w:pPr>
        <w:pStyle w:val="Body"/>
        <w:widowControl w:val="0"/>
        <w:spacing w:line="240" w:lineRule="auto"/>
        <w:ind w:firstLine="720"/>
        <w:jc w:val="center"/>
        <w:rPr>
          <w:b/>
          <w:sz w:val="28"/>
          <w:szCs w:val="28"/>
        </w:rPr>
      </w:pPr>
    </w:p>
    <w:p w:rsidR="00B4675C" w:rsidRDefault="00B4675C" w:rsidP="00087B0C">
      <w:pPr>
        <w:pStyle w:val="Body"/>
        <w:widowControl w:val="0"/>
        <w:spacing w:line="240" w:lineRule="auto"/>
        <w:ind w:firstLine="720"/>
        <w:jc w:val="center"/>
        <w:rPr>
          <w:b/>
          <w:sz w:val="28"/>
          <w:szCs w:val="28"/>
        </w:rPr>
      </w:pPr>
    </w:p>
    <w:p w:rsidR="00B4675C" w:rsidRDefault="00B4675C" w:rsidP="00087B0C">
      <w:pPr>
        <w:pStyle w:val="Body"/>
        <w:widowControl w:val="0"/>
        <w:spacing w:line="240" w:lineRule="auto"/>
        <w:ind w:firstLine="720"/>
        <w:jc w:val="center"/>
        <w:rPr>
          <w:b/>
          <w:sz w:val="28"/>
          <w:szCs w:val="28"/>
        </w:rPr>
      </w:pPr>
    </w:p>
    <w:p w:rsidR="00B4675C" w:rsidRDefault="00B4675C" w:rsidP="00087B0C">
      <w:pPr>
        <w:pStyle w:val="Body"/>
        <w:widowControl w:val="0"/>
        <w:spacing w:line="240" w:lineRule="auto"/>
        <w:ind w:firstLine="720"/>
        <w:jc w:val="center"/>
        <w:rPr>
          <w:b/>
          <w:sz w:val="28"/>
          <w:szCs w:val="28"/>
        </w:rPr>
      </w:pPr>
    </w:p>
    <w:p w:rsidR="00B4675C" w:rsidRDefault="00B4675C" w:rsidP="00087B0C">
      <w:pPr>
        <w:pStyle w:val="Body"/>
        <w:widowControl w:val="0"/>
        <w:spacing w:line="240" w:lineRule="auto"/>
        <w:ind w:firstLine="720"/>
        <w:jc w:val="center"/>
        <w:rPr>
          <w:b/>
          <w:sz w:val="28"/>
          <w:szCs w:val="28"/>
        </w:rPr>
      </w:pPr>
    </w:p>
    <w:p w:rsidR="00B4675C" w:rsidRDefault="00B4675C" w:rsidP="00087B0C">
      <w:pPr>
        <w:pStyle w:val="Body"/>
        <w:widowControl w:val="0"/>
        <w:spacing w:line="240" w:lineRule="auto"/>
        <w:ind w:firstLine="720"/>
        <w:jc w:val="center"/>
        <w:rPr>
          <w:b/>
          <w:sz w:val="28"/>
          <w:szCs w:val="28"/>
        </w:rPr>
      </w:pPr>
    </w:p>
    <w:p w:rsidR="00B4675C" w:rsidRDefault="00B4675C" w:rsidP="00087B0C">
      <w:pPr>
        <w:pStyle w:val="Body"/>
        <w:widowControl w:val="0"/>
        <w:spacing w:line="240" w:lineRule="auto"/>
        <w:ind w:firstLine="720"/>
        <w:jc w:val="center"/>
        <w:rPr>
          <w:b/>
          <w:sz w:val="28"/>
          <w:szCs w:val="28"/>
        </w:rPr>
      </w:pPr>
    </w:p>
    <w:p w:rsidR="00B4675C" w:rsidRDefault="00B4675C" w:rsidP="00087B0C">
      <w:pPr>
        <w:pStyle w:val="Body"/>
        <w:widowControl w:val="0"/>
        <w:spacing w:line="240" w:lineRule="auto"/>
        <w:ind w:firstLine="720"/>
        <w:jc w:val="center"/>
        <w:rPr>
          <w:b/>
          <w:sz w:val="28"/>
          <w:szCs w:val="28"/>
        </w:rPr>
      </w:pPr>
    </w:p>
    <w:p w:rsidR="00B4675C" w:rsidRDefault="00B4675C" w:rsidP="00087B0C">
      <w:pPr>
        <w:pStyle w:val="Body"/>
        <w:widowControl w:val="0"/>
        <w:spacing w:line="240" w:lineRule="auto"/>
        <w:ind w:firstLine="720"/>
        <w:jc w:val="center"/>
        <w:rPr>
          <w:b/>
          <w:sz w:val="28"/>
          <w:szCs w:val="28"/>
        </w:rPr>
      </w:pPr>
    </w:p>
    <w:p w:rsidR="00B4675C" w:rsidRDefault="00B4675C" w:rsidP="00FC2552">
      <w:pPr>
        <w:pStyle w:val="Body"/>
        <w:widowControl w:val="0"/>
        <w:spacing w:line="240" w:lineRule="auto"/>
        <w:ind w:firstLine="0"/>
        <w:rPr>
          <w:b/>
          <w:sz w:val="28"/>
          <w:szCs w:val="28"/>
        </w:rPr>
      </w:pPr>
    </w:p>
    <w:p w:rsidR="00087B0C" w:rsidRPr="00087B0C" w:rsidRDefault="00087B0C" w:rsidP="00FC2552">
      <w:pPr>
        <w:pStyle w:val="Body"/>
        <w:widowControl w:val="0"/>
        <w:spacing w:line="240" w:lineRule="auto"/>
        <w:ind w:firstLine="720"/>
        <w:jc w:val="center"/>
        <w:rPr>
          <w:b/>
          <w:sz w:val="28"/>
          <w:szCs w:val="28"/>
        </w:rPr>
      </w:pPr>
      <w:r>
        <w:rPr>
          <w:b/>
          <w:sz w:val="28"/>
          <w:szCs w:val="28"/>
        </w:rPr>
        <w:lastRenderedPageBreak/>
        <w:t>PROPOSAL SU</w:t>
      </w:r>
      <w:r w:rsidR="00FC2552">
        <w:rPr>
          <w:b/>
          <w:sz w:val="28"/>
          <w:szCs w:val="28"/>
        </w:rPr>
        <w:t xml:space="preserve">BMITTED BY CRIMINAL PROSECUTION </w:t>
      </w:r>
      <w:r>
        <w:rPr>
          <w:b/>
          <w:sz w:val="28"/>
          <w:szCs w:val="28"/>
        </w:rPr>
        <w:t>PRACTICE &amp; PROCEDURE COMMITTEE</w:t>
      </w:r>
    </w:p>
    <w:p w:rsidR="00087B0C" w:rsidRPr="005153B0" w:rsidRDefault="00087B0C" w:rsidP="00FC2552">
      <w:pPr>
        <w:pStyle w:val="Body"/>
        <w:widowControl w:val="0"/>
        <w:spacing w:line="480" w:lineRule="auto"/>
        <w:ind w:firstLine="720"/>
        <w:jc w:val="both"/>
        <w:rPr>
          <w:sz w:val="28"/>
          <w:szCs w:val="28"/>
        </w:rPr>
      </w:pPr>
    </w:p>
    <w:p w:rsidR="0027372D" w:rsidRPr="00FC2552" w:rsidRDefault="0027372D" w:rsidP="00FC2552">
      <w:pPr>
        <w:pStyle w:val="Body"/>
        <w:widowControl w:val="0"/>
        <w:numPr>
          <w:ilvl w:val="0"/>
          <w:numId w:val="16"/>
        </w:numPr>
        <w:spacing w:line="480" w:lineRule="auto"/>
        <w:rPr>
          <w:b/>
          <w:sz w:val="28"/>
          <w:szCs w:val="28"/>
        </w:rPr>
      </w:pPr>
      <w:r w:rsidRPr="00B87B69">
        <w:rPr>
          <w:b/>
          <w:sz w:val="28"/>
          <w:szCs w:val="28"/>
        </w:rPr>
        <w:t>BACKGROU</w:t>
      </w:r>
      <w:r>
        <w:rPr>
          <w:b/>
          <w:sz w:val="28"/>
          <w:szCs w:val="28"/>
        </w:rPr>
        <w:t>ND OF PETITION</w:t>
      </w:r>
    </w:p>
    <w:p w:rsidR="004C5571" w:rsidRDefault="0023316F" w:rsidP="00FC2552">
      <w:pPr>
        <w:pStyle w:val="Body"/>
        <w:widowControl w:val="0"/>
        <w:spacing w:line="480" w:lineRule="auto"/>
        <w:ind w:right="144" w:firstLine="720"/>
        <w:jc w:val="both"/>
        <w:rPr>
          <w:sz w:val="28"/>
          <w:szCs w:val="28"/>
        </w:rPr>
      </w:pPr>
      <w:r>
        <w:rPr>
          <w:sz w:val="28"/>
          <w:szCs w:val="28"/>
        </w:rPr>
        <w:t>T</w:t>
      </w:r>
      <w:r w:rsidRPr="0023316F">
        <w:rPr>
          <w:sz w:val="28"/>
          <w:szCs w:val="28"/>
        </w:rPr>
        <w:t>he Maricopa Coun</w:t>
      </w:r>
      <w:r>
        <w:rPr>
          <w:sz w:val="28"/>
          <w:szCs w:val="28"/>
        </w:rPr>
        <w:t>ty Office of the Legal Defender</w:t>
      </w:r>
      <w:r w:rsidRPr="0023316F">
        <w:rPr>
          <w:sz w:val="28"/>
          <w:szCs w:val="28"/>
        </w:rPr>
        <w:t xml:space="preserve"> has proposed an amendment to Rule 16.4, </w:t>
      </w:r>
      <w:r w:rsidRPr="0023316F">
        <w:rPr>
          <w:i/>
          <w:sz w:val="28"/>
          <w:szCs w:val="28"/>
        </w:rPr>
        <w:t>Arizona Rules of Criminal Procedure</w:t>
      </w:r>
      <w:r w:rsidRPr="0023316F">
        <w:rPr>
          <w:sz w:val="28"/>
          <w:szCs w:val="28"/>
        </w:rPr>
        <w:t>, which would require a court to ensure that prosecutors have searched their files, as well as those of their investigating police agencies and others, for any information that might be “favorable to the defense.”  A proposed Comment to the rule change states that prosecutors also would be required to “learn of any favorable evidence held by others” (e.g. the Department of Child Safety) who were “acting on the prosecution’s behalf.”</w:t>
      </w:r>
      <w:r>
        <w:rPr>
          <w:sz w:val="28"/>
          <w:szCs w:val="28"/>
        </w:rPr>
        <w:t xml:space="preserve">  </w:t>
      </w:r>
      <w:r w:rsidRPr="0023316F">
        <w:rPr>
          <w:sz w:val="28"/>
          <w:szCs w:val="28"/>
        </w:rPr>
        <w:t xml:space="preserve">The </w:t>
      </w:r>
      <w:r w:rsidR="007D5F94">
        <w:rPr>
          <w:sz w:val="28"/>
          <w:szCs w:val="28"/>
        </w:rPr>
        <w:t>[Criminal Prosecution Practice &amp; Procedure Committee, hereinafter “CRPP”]</w:t>
      </w:r>
      <w:r w:rsidRPr="0023316F">
        <w:rPr>
          <w:sz w:val="28"/>
          <w:szCs w:val="28"/>
        </w:rPr>
        <w:t xml:space="preserve"> has considered the proposed rule change to Rule 16.4 and opposes </w:t>
      </w:r>
      <w:r>
        <w:rPr>
          <w:sz w:val="28"/>
          <w:szCs w:val="28"/>
        </w:rPr>
        <w:t>its</w:t>
      </w:r>
      <w:r w:rsidRPr="0023316F">
        <w:rPr>
          <w:sz w:val="28"/>
          <w:szCs w:val="28"/>
        </w:rPr>
        <w:t xml:space="preserve"> adoption.  While the intent behind the proposed amendment is obvious, it is a superfluous, overbroad, and ill-defined proposal that conflicts with existing law and would impose an unnecessary requirement on the courts and parties.</w:t>
      </w:r>
    </w:p>
    <w:p w:rsidR="0023316F" w:rsidRDefault="00CF58A1" w:rsidP="00FC2552">
      <w:pPr>
        <w:pStyle w:val="Body"/>
        <w:widowControl w:val="0"/>
        <w:spacing w:line="480" w:lineRule="auto"/>
        <w:ind w:firstLine="720"/>
        <w:rPr>
          <w:b/>
          <w:sz w:val="28"/>
          <w:szCs w:val="28"/>
        </w:rPr>
      </w:pPr>
      <w:r w:rsidRPr="009D7A5B">
        <w:rPr>
          <w:b/>
          <w:sz w:val="28"/>
          <w:szCs w:val="28"/>
        </w:rPr>
        <w:t>II.</w:t>
      </w:r>
      <w:r>
        <w:rPr>
          <w:b/>
          <w:sz w:val="28"/>
          <w:szCs w:val="28"/>
        </w:rPr>
        <w:tab/>
      </w:r>
      <w:r w:rsidRPr="009D7A5B">
        <w:rPr>
          <w:b/>
          <w:sz w:val="28"/>
          <w:szCs w:val="28"/>
        </w:rPr>
        <w:t>DISCUSSION/ANALYSIS</w:t>
      </w:r>
    </w:p>
    <w:p w:rsidR="0023316F" w:rsidRPr="0023316F" w:rsidRDefault="0023316F" w:rsidP="00FC2552">
      <w:pPr>
        <w:pStyle w:val="Body"/>
        <w:widowControl w:val="0"/>
        <w:spacing w:line="480" w:lineRule="auto"/>
        <w:ind w:right="144" w:firstLine="720"/>
        <w:jc w:val="both"/>
        <w:rPr>
          <w:sz w:val="28"/>
          <w:szCs w:val="28"/>
        </w:rPr>
      </w:pPr>
      <w:r w:rsidRPr="0023316F">
        <w:rPr>
          <w:sz w:val="28"/>
          <w:szCs w:val="28"/>
        </w:rPr>
        <w:t xml:space="preserve">Arizona has broad discovery rules that require prosecutors to disclose at the arraignment or preliminary hearing all original and supplemental police reports together with the names and addresses of any experts who have examined the </w:t>
      </w:r>
      <w:r w:rsidRPr="0023316F">
        <w:rPr>
          <w:sz w:val="28"/>
          <w:szCs w:val="28"/>
        </w:rPr>
        <w:lastRenderedPageBreak/>
        <w:t xml:space="preserve">defendant or evidence and the results of their examination or tests.  Rule 15.1(a), </w:t>
      </w:r>
      <w:r w:rsidRPr="0023316F">
        <w:rPr>
          <w:i/>
          <w:sz w:val="28"/>
          <w:szCs w:val="28"/>
        </w:rPr>
        <w:t>Arizona Rules of Criminal Procedure</w:t>
      </w:r>
      <w:r w:rsidRPr="0023316F">
        <w:rPr>
          <w:sz w:val="28"/>
          <w:szCs w:val="28"/>
        </w:rPr>
        <w:t>.  The discovery rules also require prosecutors to disclose to a defendant, among a host of other items, existing material and information that “tends to mitigate or negate the defendant’s guilt as to the offense charged, or which would tend to reduce the defendant’s punishment therefor[.]”  Rule 15.1(b)(8).  This rule extends to information in the possession or control of investigating police agencies and “[a]ny other person who has participated in the investigation or evaluation of the case and who is under the prosecutor’s direction or control.”  Rule 15.1(f).  If a prosecutor violates these broad disclosure requirements, the court can impose sanctions including precluding or limiting witnesses, precluding or limiting evidence, dismissing the case, declaring a mistrial, holding a person in contempt and imposing costs.  Rule 15.7(a).  It is the trial court’s responsibility to enforce these disclosure rules.  See</w:t>
      </w:r>
      <w:r w:rsidRPr="0023316F">
        <w:rPr>
          <w:i/>
          <w:sz w:val="28"/>
          <w:szCs w:val="28"/>
        </w:rPr>
        <w:t xml:space="preserve"> State v. Tucker</w:t>
      </w:r>
      <w:r w:rsidRPr="0023316F">
        <w:rPr>
          <w:sz w:val="28"/>
          <w:szCs w:val="28"/>
        </w:rPr>
        <w:t>, 157 Ariz. 433, 441, 759 P.2d 579, 587 (1988).</w:t>
      </w:r>
    </w:p>
    <w:p w:rsidR="0023316F" w:rsidRPr="0023316F" w:rsidRDefault="0023316F" w:rsidP="00FC2552">
      <w:pPr>
        <w:pStyle w:val="Body"/>
        <w:widowControl w:val="0"/>
        <w:spacing w:line="480" w:lineRule="auto"/>
        <w:ind w:right="144" w:firstLine="720"/>
        <w:jc w:val="both"/>
        <w:rPr>
          <w:sz w:val="28"/>
          <w:szCs w:val="28"/>
        </w:rPr>
      </w:pPr>
      <w:r w:rsidRPr="0023316F">
        <w:rPr>
          <w:sz w:val="28"/>
          <w:szCs w:val="28"/>
        </w:rPr>
        <w:t xml:space="preserve">On top of the requirements of Rule 15.1, prosecutors have a due process obligation to unilaterally disclose exculpatory information to a defendant.  </w:t>
      </w:r>
      <w:r w:rsidRPr="0023316F">
        <w:rPr>
          <w:i/>
          <w:sz w:val="28"/>
          <w:szCs w:val="28"/>
        </w:rPr>
        <w:t>Brady v. Maryland</w:t>
      </w:r>
      <w:r w:rsidRPr="0023316F">
        <w:rPr>
          <w:sz w:val="28"/>
          <w:szCs w:val="28"/>
        </w:rPr>
        <w:t xml:space="preserve">, 373 U.S. 83, 83 S.Ct. 1194, 10 L.Ed.2d 215 (1963); </w:t>
      </w:r>
      <w:r w:rsidRPr="0023316F">
        <w:rPr>
          <w:i/>
          <w:sz w:val="28"/>
          <w:szCs w:val="28"/>
        </w:rPr>
        <w:t>Giglio v. United States</w:t>
      </w:r>
      <w:r w:rsidRPr="0023316F">
        <w:rPr>
          <w:sz w:val="28"/>
          <w:szCs w:val="28"/>
        </w:rPr>
        <w:t xml:space="preserve">, 405 U.S. 150, 92 S.Ct. 763, 31 L.Ed.2d 104 (1972); </w:t>
      </w:r>
      <w:r w:rsidRPr="0023316F">
        <w:rPr>
          <w:i/>
          <w:sz w:val="28"/>
          <w:szCs w:val="28"/>
        </w:rPr>
        <w:t>United States v. Bagley</w:t>
      </w:r>
      <w:r w:rsidRPr="0023316F">
        <w:rPr>
          <w:sz w:val="28"/>
          <w:szCs w:val="28"/>
        </w:rPr>
        <w:t>, 473 U.S. 667, 676-684, 105 S.Ct. 3375, 3380-85, 87 L.Ed.2d 481 (1985).  See also</w:t>
      </w:r>
      <w:r w:rsidRPr="0023316F">
        <w:rPr>
          <w:i/>
          <w:sz w:val="28"/>
          <w:szCs w:val="28"/>
        </w:rPr>
        <w:t>, Milke v. Mroz</w:t>
      </w:r>
      <w:r w:rsidRPr="0023316F">
        <w:rPr>
          <w:sz w:val="28"/>
          <w:szCs w:val="28"/>
        </w:rPr>
        <w:t xml:space="preserve">, 236 Ariz. 276, 280, 339 P.3d 659, 663 (App. 2014), </w:t>
      </w:r>
      <w:r w:rsidRPr="0023316F">
        <w:rPr>
          <w:i/>
          <w:sz w:val="28"/>
          <w:szCs w:val="28"/>
        </w:rPr>
        <w:t>review denied</w:t>
      </w:r>
      <w:r w:rsidRPr="0023316F">
        <w:rPr>
          <w:sz w:val="28"/>
          <w:szCs w:val="28"/>
        </w:rPr>
        <w:t xml:space="preserve">.  </w:t>
      </w:r>
      <w:r w:rsidRPr="0023316F">
        <w:rPr>
          <w:sz w:val="28"/>
          <w:szCs w:val="28"/>
        </w:rPr>
        <w:lastRenderedPageBreak/>
        <w:t xml:space="preserve">These cases hold that evidence favorable to an accused must be disclosed when the evidence is material either to guilt or to punishment.  </w:t>
      </w:r>
      <w:r w:rsidRPr="0023316F">
        <w:rPr>
          <w:i/>
          <w:sz w:val="28"/>
          <w:szCs w:val="28"/>
        </w:rPr>
        <w:t>Brady</w:t>
      </w:r>
      <w:r w:rsidRPr="0023316F">
        <w:rPr>
          <w:sz w:val="28"/>
          <w:szCs w:val="28"/>
        </w:rPr>
        <w:t xml:space="preserve">, 373 U.S., at 87, 83 S.Ct., at 1196-97.  Favorable evidence is material if there is a reasonable probability that had the evidence been disclosed the result of the proceeding would have been different.  </w:t>
      </w:r>
      <w:r w:rsidRPr="0023316F">
        <w:rPr>
          <w:i/>
          <w:sz w:val="28"/>
          <w:szCs w:val="28"/>
        </w:rPr>
        <w:t>Bagley</w:t>
      </w:r>
      <w:r w:rsidRPr="0023316F">
        <w:rPr>
          <w:sz w:val="28"/>
          <w:szCs w:val="28"/>
        </w:rPr>
        <w:t xml:space="preserve">, 473 U.S., at 682, 105 S.Ct., at 3383.  On the other hand, a defendant’s mere speculation that evidence might contain exculpatory material does not impose a disclosure obligation on prosecutors.  See </w:t>
      </w:r>
      <w:r w:rsidRPr="0023316F">
        <w:rPr>
          <w:i/>
          <w:sz w:val="28"/>
          <w:szCs w:val="28"/>
        </w:rPr>
        <w:t>State v. Acinelli</w:t>
      </w:r>
      <w:r w:rsidRPr="0023316F">
        <w:rPr>
          <w:sz w:val="28"/>
          <w:szCs w:val="28"/>
        </w:rPr>
        <w:t>, 191 Ariz. 66, 71, 952 P.2d 304, 309 (App. 1997).</w:t>
      </w:r>
    </w:p>
    <w:p w:rsidR="0023316F" w:rsidRPr="0023316F" w:rsidRDefault="0023316F" w:rsidP="00FC2552">
      <w:pPr>
        <w:pStyle w:val="Body"/>
        <w:widowControl w:val="0"/>
        <w:spacing w:line="480" w:lineRule="auto"/>
        <w:ind w:right="144" w:firstLine="720"/>
        <w:jc w:val="both"/>
        <w:rPr>
          <w:sz w:val="28"/>
          <w:szCs w:val="28"/>
        </w:rPr>
      </w:pPr>
      <w:r w:rsidRPr="0023316F">
        <w:rPr>
          <w:sz w:val="28"/>
          <w:szCs w:val="28"/>
        </w:rPr>
        <w:t xml:space="preserve">Petitioner’s proposal in R-15-0038 would require courts, at the mandatory prehearing conference under Rule 16.4, to “ensure” that the prosecutor has searched its and other “appropriate files” for information “favorable to the defense.”  Initially, this presents a number of practical problems.  First, it does not explain </w:t>
      </w:r>
      <w:r w:rsidRPr="0023316F">
        <w:rPr>
          <w:i/>
          <w:sz w:val="28"/>
          <w:szCs w:val="28"/>
        </w:rPr>
        <w:t>how</w:t>
      </w:r>
      <w:r w:rsidRPr="0023316F">
        <w:rPr>
          <w:sz w:val="28"/>
          <w:szCs w:val="28"/>
        </w:rPr>
        <w:t xml:space="preserve"> the courts would ensure such a search.  Would there be a colloquy with the prosecutor, as suggested in the petition?  If so, what proof would the prosecutor have to offer for the court to ensure that everything had been searched?  Second, petitioner does not define the term “files”.  The proposal would require, in addition to a search of the prosecutor’s and investigating police agency’s files, a search of “any other appropriate files”, without clarifying what that means.  The proposed “Comment” to the rule change does nothing to assist in clarifying that meaning.  Instead, it suggests the prosecutor would be required to search unconnected agency </w:t>
      </w:r>
      <w:r w:rsidRPr="0023316F">
        <w:rPr>
          <w:sz w:val="28"/>
          <w:szCs w:val="28"/>
        </w:rPr>
        <w:lastRenderedPageBreak/>
        <w:t>files, such as the Department of Child Safety (DCS) and outside labs, without regard to whether they are under the prosecutor’s “direction and control” (Rule 15.1(f)) and without regard as to how such a search is to be conducted and confidentiality addressed.  Finally, the proposal would expand the prosecutor’s obligation to search unknown files for any information that is simply “favorable to the defense”, without regard to the materiality of such information.  As shown below, this generic phrase, standing alone, is onerous and not consistent with current law.</w:t>
      </w:r>
    </w:p>
    <w:p w:rsidR="0023316F" w:rsidRPr="0023316F" w:rsidRDefault="0023316F" w:rsidP="00FC2552">
      <w:pPr>
        <w:pStyle w:val="Body"/>
        <w:widowControl w:val="0"/>
        <w:spacing w:line="480" w:lineRule="auto"/>
        <w:ind w:right="144" w:firstLine="720"/>
        <w:jc w:val="both"/>
        <w:rPr>
          <w:sz w:val="28"/>
          <w:szCs w:val="28"/>
        </w:rPr>
      </w:pPr>
      <w:r w:rsidRPr="0023316F">
        <w:rPr>
          <w:sz w:val="28"/>
          <w:szCs w:val="28"/>
        </w:rPr>
        <w:t>In addition to the practical problem it creates, the proposal to amend Rule 16.4 is unnecessary.  It seeks to add yet another rule - essentially directing the court to inquire if the prosecutor is following the rules - for something that the criminal rules already cover.  Requiring the Court to engage in some sort of inquiry with prosecutors at the prehearing conference to ensure they are following the rules already in place is redundant, is a waste of time and resources, and adds an unnecessary requirement on the courts and prosecution.</w:t>
      </w:r>
    </w:p>
    <w:p w:rsidR="0023316F" w:rsidRPr="0023316F" w:rsidRDefault="0023316F" w:rsidP="00FC2552">
      <w:pPr>
        <w:pStyle w:val="Body"/>
        <w:widowControl w:val="0"/>
        <w:spacing w:line="480" w:lineRule="auto"/>
        <w:ind w:right="144" w:firstLine="720"/>
        <w:jc w:val="both"/>
        <w:rPr>
          <w:sz w:val="28"/>
          <w:szCs w:val="28"/>
        </w:rPr>
      </w:pPr>
      <w:r w:rsidRPr="0023316F">
        <w:rPr>
          <w:sz w:val="28"/>
          <w:szCs w:val="28"/>
        </w:rPr>
        <w:t xml:space="preserve">Finally, the proposal is overbroad.  The proposed rule would expand the prosecutor’s obligations to anything that is simply “favorable to the defense”, which is not the standard of either the Arizona criminal rules or the United State Supreme Court pronouncements.  Prosecutors already have the duty to disclose exculpatory information.  They already have the duty to disclose information that </w:t>
      </w:r>
      <w:r w:rsidRPr="0023316F">
        <w:rPr>
          <w:sz w:val="28"/>
          <w:szCs w:val="28"/>
        </w:rPr>
        <w:lastRenderedPageBreak/>
        <w:t xml:space="preserve">tends to mitigate or negate the defendant’s guilt or reduce punishment.  This applies to information in the possession or control of law enforcement agencies and “any other person” under the prosecutor’s “direction or control” who has investigated or evaluated the case.  The proposed rule, however, would now extend the prosecutor’s duty to any information “favorable to the defense”, without regard to the materiality of such information.  Petitioner, in his proposed Comment, cites </w:t>
      </w:r>
      <w:r w:rsidRPr="0023316F">
        <w:rPr>
          <w:i/>
          <w:sz w:val="28"/>
          <w:szCs w:val="28"/>
        </w:rPr>
        <w:t>Kyles v. Whitley</w:t>
      </w:r>
      <w:r w:rsidRPr="0023316F">
        <w:rPr>
          <w:sz w:val="28"/>
          <w:szCs w:val="28"/>
        </w:rPr>
        <w:t xml:space="preserve">, 514 U.S. 419, 115 S.Ct. 1555, 131 L.Ed.2d 490 (1995) for the proposition that the prosecutor is required to “learn of any favorable evidence held by others acting on the prosecution’s behalf.”  However, </w:t>
      </w:r>
      <w:r w:rsidRPr="0023316F">
        <w:rPr>
          <w:i/>
          <w:sz w:val="28"/>
          <w:szCs w:val="28"/>
        </w:rPr>
        <w:t>Kyles</w:t>
      </w:r>
      <w:r w:rsidRPr="0023316F">
        <w:rPr>
          <w:sz w:val="28"/>
          <w:szCs w:val="28"/>
        </w:rPr>
        <w:t xml:space="preserve"> does not support Petitioner’s specific proposal.  While the statement is quoted correctly, its import is not fully set forth in the petition.  In the same paragraph as the quoted statement </w:t>
      </w:r>
      <w:r w:rsidRPr="0023316F">
        <w:rPr>
          <w:i/>
          <w:sz w:val="28"/>
          <w:szCs w:val="28"/>
        </w:rPr>
        <w:t>Kyles</w:t>
      </w:r>
      <w:r w:rsidRPr="0023316F">
        <w:rPr>
          <w:sz w:val="28"/>
          <w:szCs w:val="28"/>
        </w:rPr>
        <w:t xml:space="preserve"> also explicitly reiterates that such evidence must be </w:t>
      </w:r>
      <w:r w:rsidRPr="0023316F">
        <w:rPr>
          <w:i/>
          <w:sz w:val="28"/>
          <w:szCs w:val="28"/>
        </w:rPr>
        <w:t>material</w:t>
      </w:r>
      <w:r w:rsidRPr="0023316F">
        <w:rPr>
          <w:sz w:val="28"/>
          <w:szCs w:val="28"/>
        </w:rPr>
        <w:t xml:space="preserve"> before there is a duty to disclose:</w:t>
      </w:r>
    </w:p>
    <w:p w:rsidR="0023316F" w:rsidRPr="0023316F" w:rsidRDefault="0023316F" w:rsidP="009F0483">
      <w:pPr>
        <w:pStyle w:val="Body"/>
        <w:widowControl w:val="0"/>
        <w:spacing w:line="240" w:lineRule="auto"/>
        <w:ind w:right="720" w:firstLine="720"/>
        <w:jc w:val="both"/>
        <w:rPr>
          <w:sz w:val="28"/>
          <w:szCs w:val="28"/>
        </w:rPr>
      </w:pPr>
    </w:p>
    <w:p w:rsidR="0023316F" w:rsidRDefault="0023316F" w:rsidP="009F0483">
      <w:pPr>
        <w:pStyle w:val="Body"/>
        <w:widowControl w:val="0"/>
        <w:spacing w:line="240" w:lineRule="auto"/>
        <w:ind w:left="720" w:right="720" w:firstLine="0"/>
        <w:jc w:val="both"/>
        <w:rPr>
          <w:sz w:val="28"/>
          <w:szCs w:val="28"/>
        </w:rPr>
      </w:pPr>
      <w:r w:rsidRPr="0023316F">
        <w:rPr>
          <w:sz w:val="28"/>
          <w:szCs w:val="28"/>
        </w:rPr>
        <w:t xml:space="preserve">[S]howing that the prosecution knew of an item of favorable evidence unknown to the defense does not amount to a </w:t>
      </w:r>
      <w:r w:rsidRPr="0023316F">
        <w:rPr>
          <w:i/>
          <w:sz w:val="28"/>
          <w:szCs w:val="28"/>
        </w:rPr>
        <w:t>Brady</w:t>
      </w:r>
      <w:r w:rsidRPr="0023316F">
        <w:rPr>
          <w:sz w:val="28"/>
          <w:szCs w:val="28"/>
        </w:rPr>
        <w:t xml:space="preserve"> violation, without more.</w:t>
      </w:r>
    </w:p>
    <w:p w:rsidR="009F0483" w:rsidRDefault="009F0483" w:rsidP="009F0483">
      <w:pPr>
        <w:pStyle w:val="Body"/>
        <w:widowControl w:val="0"/>
        <w:spacing w:line="240" w:lineRule="auto"/>
        <w:ind w:right="720" w:firstLine="0"/>
        <w:jc w:val="both"/>
        <w:rPr>
          <w:sz w:val="28"/>
          <w:szCs w:val="28"/>
        </w:rPr>
      </w:pPr>
    </w:p>
    <w:p w:rsidR="00233E0E" w:rsidRPr="0023316F" w:rsidRDefault="0023316F" w:rsidP="00FC2552">
      <w:pPr>
        <w:pStyle w:val="Body"/>
        <w:widowControl w:val="0"/>
        <w:spacing w:line="480" w:lineRule="auto"/>
        <w:ind w:right="144" w:firstLine="0"/>
        <w:jc w:val="both"/>
        <w:rPr>
          <w:sz w:val="28"/>
          <w:szCs w:val="28"/>
        </w:rPr>
      </w:pPr>
      <w:r w:rsidRPr="0023316F">
        <w:rPr>
          <w:i/>
          <w:sz w:val="28"/>
          <w:szCs w:val="28"/>
        </w:rPr>
        <w:t>Kyles</w:t>
      </w:r>
      <w:r w:rsidRPr="0023316F">
        <w:rPr>
          <w:sz w:val="28"/>
          <w:szCs w:val="28"/>
        </w:rPr>
        <w:t xml:space="preserve">, 514 U.S., at 437, 115 S.Ct., at 1567.  It is only when favorable evidence “ris[es] to a material level of importance” that its nondisclosure is a violation.  </w:t>
      </w:r>
      <w:r w:rsidRPr="0023316F">
        <w:rPr>
          <w:i/>
          <w:sz w:val="28"/>
          <w:szCs w:val="28"/>
        </w:rPr>
        <w:t>Id.</w:t>
      </w:r>
      <w:r w:rsidRPr="0023316F">
        <w:rPr>
          <w:sz w:val="28"/>
          <w:szCs w:val="28"/>
        </w:rPr>
        <w:t xml:space="preserve"> at 438, 115 S.Ct. at 1568.  Thus, a </w:t>
      </w:r>
      <w:r w:rsidRPr="0023316F">
        <w:rPr>
          <w:i/>
          <w:sz w:val="28"/>
          <w:szCs w:val="28"/>
        </w:rPr>
        <w:t>Brady</w:t>
      </w:r>
      <w:r w:rsidRPr="0023316F">
        <w:rPr>
          <w:sz w:val="28"/>
          <w:szCs w:val="28"/>
        </w:rPr>
        <w:t xml:space="preserve"> violation occurs only when the prosecution suppresses “material” evidence that is favorable to the defense.  In short, </w:t>
      </w:r>
      <w:r w:rsidRPr="0023316F">
        <w:rPr>
          <w:i/>
          <w:sz w:val="28"/>
          <w:szCs w:val="28"/>
        </w:rPr>
        <w:t>Kyles</w:t>
      </w:r>
      <w:r w:rsidRPr="0023316F">
        <w:rPr>
          <w:sz w:val="28"/>
          <w:szCs w:val="28"/>
        </w:rPr>
        <w:t xml:space="preserve"> does </w:t>
      </w:r>
      <w:r w:rsidRPr="0023316F">
        <w:rPr>
          <w:sz w:val="28"/>
          <w:szCs w:val="28"/>
        </w:rPr>
        <w:lastRenderedPageBreak/>
        <w:t xml:space="preserve">not support the petition.  In the final analysis, </w:t>
      </w:r>
      <w:r w:rsidRPr="0023316F">
        <w:rPr>
          <w:i/>
          <w:sz w:val="28"/>
          <w:szCs w:val="28"/>
        </w:rPr>
        <w:t>Kyles</w:t>
      </w:r>
      <w:r w:rsidRPr="0023316F">
        <w:rPr>
          <w:sz w:val="28"/>
          <w:szCs w:val="28"/>
        </w:rPr>
        <w:t xml:space="preserve"> is a twenty years old case containing nothing new to support an unnecessary rule change in an already established area of law.</w:t>
      </w:r>
    </w:p>
    <w:p w:rsidR="00104F4E" w:rsidRPr="00104F4E" w:rsidRDefault="00104F4E" w:rsidP="00E950CA">
      <w:pPr>
        <w:pStyle w:val="Body"/>
        <w:widowControl w:val="0"/>
        <w:tabs>
          <w:tab w:val="left" w:pos="720"/>
          <w:tab w:val="left" w:pos="1440"/>
          <w:tab w:val="left" w:pos="2160"/>
          <w:tab w:val="left" w:pos="2880"/>
          <w:tab w:val="left" w:pos="8026"/>
        </w:tabs>
        <w:spacing w:line="480" w:lineRule="auto"/>
        <w:ind w:firstLine="720"/>
        <w:jc w:val="both"/>
        <w:rPr>
          <w:b/>
          <w:sz w:val="28"/>
          <w:szCs w:val="28"/>
        </w:rPr>
      </w:pPr>
      <w:r w:rsidRPr="00104F4E">
        <w:rPr>
          <w:b/>
          <w:sz w:val="28"/>
          <w:szCs w:val="28"/>
        </w:rPr>
        <w:t>III.</w:t>
      </w:r>
      <w:r w:rsidRPr="00104F4E">
        <w:rPr>
          <w:b/>
          <w:sz w:val="28"/>
          <w:szCs w:val="28"/>
        </w:rPr>
        <w:tab/>
        <w:t>CONCLUSION</w:t>
      </w:r>
      <w:r w:rsidR="00E950CA">
        <w:rPr>
          <w:b/>
          <w:sz w:val="28"/>
          <w:szCs w:val="28"/>
        </w:rPr>
        <w:tab/>
      </w:r>
    </w:p>
    <w:p w:rsidR="00CF58A1" w:rsidRPr="00CF58A1" w:rsidRDefault="006C485C" w:rsidP="00CF58A1">
      <w:pPr>
        <w:pStyle w:val="Body"/>
        <w:widowControl w:val="0"/>
        <w:spacing w:line="480" w:lineRule="auto"/>
        <w:ind w:firstLine="720"/>
        <w:jc w:val="both"/>
        <w:rPr>
          <w:sz w:val="28"/>
          <w:szCs w:val="28"/>
        </w:rPr>
      </w:pPr>
      <w:r>
        <w:rPr>
          <w:sz w:val="28"/>
          <w:szCs w:val="28"/>
        </w:rPr>
        <w:t xml:space="preserve">The </w:t>
      </w:r>
      <w:r w:rsidR="007D5F94">
        <w:rPr>
          <w:sz w:val="28"/>
          <w:szCs w:val="28"/>
        </w:rPr>
        <w:t>[CRPP]</w:t>
      </w:r>
      <w:r>
        <w:rPr>
          <w:sz w:val="28"/>
          <w:szCs w:val="28"/>
        </w:rPr>
        <w:t xml:space="preserve"> respectfully requests that the Arizona Supreme Court </w:t>
      </w:r>
      <w:r w:rsidR="00DA44C6">
        <w:rPr>
          <w:sz w:val="28"/>
          <w:szCs w:val="28"/>
        </w:rPr>
        <w:t>refuse to adopt</w:t>
      </w:r>
      <w:r w:rsidR="003D5C8A">
        <w:rPr>
          <w:sz w:val="28"/>
          <w:szCs w:val="28"/>
        </w:rPr>
        <w:t xml:space="preserve"> the </w:t>
      </w:r>
      <w:r w:rsidR="00676960">
        <w:rPr>
          <w:sz w:val="28"/>
          <w:szCs w:val="28"/>
        </w:rPr>
        <w:t>amendment</w:t>
      </w:r>
      <w:r w:rsidR="00DA44C6">
        <w:rPr>
          <w:sz w:val="28"/>
          <w:szCs w:val="28"/>
        </w:rPr>
        <w:t xml:space="preserve"> t</w:t>
      </w:r>
      <w:r w:rsidR="00DF6163">
        <w:rPr>
          <w:sz w:val="28"/>
          <w:szCs w:val="28"/>
        </w:rPr>
        <w:t xml:space="preserve">o Rule 16.4 as requested in </w:t>
      </w:r>
      <w:r w:rsidR="00DA44C6">
        <w:rPr>
          <w:sz w:val="28"/>
          <w:szCs w:val="28"/>
        </w:rPr>
        <w:t>petition</w:t>
      </w:r>
      <w:r w:rsidR="00DF6163">
        <w:rPr>
          <w:sz w:val="28"/>
          <w:szCs w:val="28"/>
        </w:rPr>
        <w:t xml:space="preserve"> R-15-0038</w:t>
      </w:r>
      <w:r w:rsidR="00DA44C6">
        <w:rPr>
          <w:sz w:val="28"/>
          <w:szCs w:val="28"/>
        </w:rPr>
        <w:t xml:space="preserve">.  Current criminal disclosure laws are very clear.  </w:t>
      </w:r>
      <w:r w:rsidR="00DF6163">
        <w:rPr>
          <w:sz w:val="28"/>
          <w:szCs w:val="28"/>
        </w:rPr>
        <w:t xml:space="preserve">Procedures are already firmly in place for ensuring that prosecutors comply with their </w:t>
      </w:r>
      <w:r w:rsidR="00DF6163" w:rsidRPr="00DF6163">
        <w:rPr>
          <w:i/>
          <w:sz w:val="28"/>
          <w:szCs w:val="28"/>
        </w:rPr>
        <w:t>Brady</w:t>
      </w:r>
      <w:r w:rsidR="00DF6163">
        <w:rPr>
          <w:sz w:val="28"/>
          <w:szCs w:val="28"/>
        </w:rPr>
        <w:t xml:space="preserve"> and Rule 15.1 obligations.  </w:t>
      </w:r>
      <w:r w:rsidR="00DA44C6">
        <w:rPr>
          <w:sz w:val="28"/>
          <w:szCs w:val="28"/>
        </w:rPr>
        <w:t>In addition to adding confusion to existing law, the proposal in the petition is unnecessary</w:t>
      </w:r>
      <w:r w:rsidR="004E71AB">
        <w:rPr>
          <w:sz w:val="28"/>
          <w:szCs w:val="28"/>
        </w:rPr>
        <w:t>,</w:t>
      </w:r>
      <w:r w:rsidR="00DA44C6">
        <w:rPr>
          <w:sz w:val="28"/>
          <w:szCs w:val="28"/>
        </w:rPr>
        <w:t xml:space="preserve"> imposing a new requirement on the courts for som</w:t>
      </w:r>
      <w:r w:rsidR="004E71AB">
        <w:rPr>
          <w:sz w:val="28"/>
          <w:szCs w:val="28"/>
        </w:rPr>
        <w:t>ething that is already provided</w:t>
      </w:r>
      <w:r w:rsidR="00DA44C6">
        <w:rPr>
          <w:sz w:val="28"/>
          <w:szCs w:val="28"/>
        </w:rPr>
        <w:t xml:space="preserve"> in the rules</w:t>
      </w:r>
      <w:r w:rsidR="004E71AB">
        <w:rPr>
          <w:sz w:val="28"/>
          <w:szCs w:val="28"/>
        </w:rPr>
        <w:t>.  And it is overbroad, expanding a prosecutor’s obligations beyond what is expressly prescribed in well-established standards</w:t>
      </w:r>
      <w:r w:rsidR="00DF6163">
        <w:rPr>
          <w:sz w:val="28"/>
          <w:szCs w:val="28"/>
        </w:rPr>
        <w:t xml:space="preserve"> and creating an undue burden on prosecutors</w:t>
      </w:r>
      <w:r w:rsidR="004E71AB">
        <w:rPr>
          <w:sz w:val="28"/>
          <w:szCs w:val="28"/>
        </w:rPr>
        <w:t>.</w:t>
      </w:r>
    </w:p>
    <w:p w:rsidR="00494BDF" w:rsidRPr="000F7A7F" w:rsidRDefault="00494BDF" w:rsidP="000C48A9">
      <w:pPr>
        <w:pStyle w:val="Body"/>
        <w:widowControl w:val="0"/>
        <w:ind w:firstLine="0"/>
        <w:jc w:val="both"/>
        <w:rPr>
          <w:szCs w:val="26"/>
        </w:rPr>
      </w:pPr>
    </w:p>
    <w:p w:rsidR="00933EA1" w:rsidRPr="000F7A7F" w:rsidRDefault="00933EA1" w:rsidP="000F7C13">
      <w:pPr>
        <w:spacing w:line="240" w:lineRule="auto"/>
        <w:rPr>
          <w:strike/>
          <w:sz w:val="26"/>
          <w:szCs w:val="26"/>
        </w:rPr>
      </w:pPr>
    </w:p>
    <w:p w:rsidR="00933EA1" w:rsidRPr="000F7A7F" w:rsidRDefault="00933EA1" w:rsidP="00933EA1">
      <w:pPr>
        <w:rPr>
          <w:sz w:val="26"/>
          <w:szCs w:val="26"/>
        </w:rPr>
      </w:pPr>
    </w:p>
    <w:p w:rsidR="00052372" w:rsidRPr="000F7A7F" w:rsidRDefault="00052372" w:rsidP="00933EA1">
      <w:pPr>
        <w:tabs>
          <w:tab w:val="left" w:pos="8145"/>
        </w:tabs>
        <w:rPr>
          <w:sz w:val="26"/>
          <w:szCs w:val="26"/>
        </w:rPr>
      </w:pPr>
    </w:p>
    <w:sectPr w:rsidR="00052372" w:rsidRPr="000F7A7F" w:rsidSect="006F63FD">
      <w:headerReference w:type="default" r:id="rId9"/>
      <w:footerReference w:type="even" r:id="rId10"/>
      <w:footerReference w:type="default" r:id="rId11"/>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0E8C" w:rsidRDefault="00C30E8C">
      <w:r>
        <w:separator/>
      </w:r>
    </w:p>
  </w:endnote>
  <w:endnote w:type="continuationSeparator" w:id="0">
    <w:p w:rsidR="00C30E8C" w:rsidRDefault="00C30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70CB" w:rsidRDefault="007870CB" w:rsidP="00861563">
    <w:pPr>
      <w:pStyle w:val="Footer"/>
      <w:ind w:right="360"/>
    </w:pPr>
  </w:p>
  <w:p w:rsidR="007D5C49" w:rsidRDefault="007D5C4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242502"/>
      <w:docPartObj>
        <w:docPartGallery w:val="Page Numbers (Bottom of Page)"/>
        <w:docPartUnique/>
      </w:docPartObj>
    </w:sdtPr>
    <w:sdtEndPr>
      <w:rPr>
        <w:noProof/>
        <w:sz w:val="26"/>
        <w:szCs w:val="26"/>
      </w:rPr>
    </w:sdtEndPr>
    <w:sdtContent>
      <w:p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A72A3F">
          <w:rPr>
            <w:noProof/>
            <w:sz w:val="26"/>
            <w:szCs w:val="26"/>
          </w:rPr>
          <w:t>1</w:t>
        </w:r>
        <w:r w:rsidRPr="006B4F9A">
          <w:rPr>
            <w:noProof/>
            <w:sz w:val="26"/>
            <w:szCs w:val="26"/>
          </w:rPr>
          <w:fldChar w:fldCharType="end"/>
        </w:r>
      </w:p>
    </w:sdtContent>
  </w:sdt>
  <w:p w:rsidR="007D5C49" w:rsidRDefault="007D5C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0E8C" w:rsidRDefault="00C30E8C">
      <w:r>
        <w:separator/>
      </w:r>
    </w:p>
  </w:footnote>
  <w:footnote w:type="continuationSeparator" w:id="0">
    <w:p w:rsidR="00C30E8C" w:rsidRDefault="00C30E8C">
      <w:r>
        <w:continuationSeparator/>
      </w:r>
    </w:p>
  </w:footnote>
  <w:footnote w:id="1">
    <w:p w:rsidR="007D5F94" w:rsidRPr="00FC2552" w:rsidRDefault="007D5F94" w:rsidP="00E42C8C">
      <w:pPr>
        <w:pStyle w:val="FootnoteText"/>
        <w:jc w:val="both"/>
        <w:rPr>
          <w:sz w:val="28"/>
          <w:szCs w:val="28"/>
        </w:rPr>
      </w:pPr>
      <w:r w:rsidRPr="00FC2552">
        <w:rPr>
          <w:rStyle w:val="FootnoteReference"/>
          <w:sz w:val="28"/>
          <w:szCs w:val="28"/>
        </w:rPr>
        <w:footnoteRef/>
      </w:r>
      <w:r w:rsidRPr="00FC2552">
        <w:rPr>
          <w:sz w:val="28"/>
          <w:szCs w:val="28"/>
        </w:rPr>
        <w:t xml:space="preserve"> The proposed comment attached as the Appendix has been </w:t>
      </w:r>
      <w:r w:rsidR="00E42C8C" w:rsidRPr="00FC2552">
        <w:rPr>
          <w:sz w:val="28"/>
          <w:szCs w:val="28"/>
        </w:rPr>
        <w:t>modified</w:t>
      </w:r>
      <w:r w:rsidRPr="00FC2552">
        <w:rPr>
          <w:sz w:val="28"/>
          <w:szCs w:val="28"/>
        </w:rPr>
        <w:t xml:space="preserve"> by the State Bar to reflect the true drafter of the proposed </w:t>
      </w:r>
      <w:r w:rsidR="00E42C8C" w:rsidRPr="00FC2552">
        <w:rPr>
          <w:sz w:val="28"/>
          <w:szCs w:val="28"/>
        </w:rPr>
        <w:t>comment</w:t>
      </w:r>
      <w:r w:rsidRPr="00FC2552">
        <w:rPr>
          <w:sz w:val="28"/>
          <w:szCs w:val="28"/>
        </w:rPr>
        <w:t>. As such, the instances where the State Bar of Arizona was referenced as</w:t>
      </w:r>
      <w:r w:rsidR="00E42C8C" w:rsidRPr="00FC2552">
        <w:rPr>
          <w:sz w:val="28"/>
          <w:szCs w:val="28"/>
        </w:rPr>
        <w:t xml:space="preserve"> filing the comment </w:t>
      </w:r>
      <w:r w:rsidRPr="00FC2552">
        <w:rPr>
          <w:sz w:val="28"/>
          <w:szCs w:val="28"/>
        </w:rPr>
        <w:t>ha</w:t>
      </w:r>
      <w:r w:rsidR="00E42C8C" w:rsidRPr="00FC2552">
        <w:rPr>
          <w:sz w:val="28"/>
          <w:szCs w:val="28"/>
        </w:rPr>
        <w:t>ve</w:t>
      </w:r>
      <w:r w:rsidRPr="00FC2552">
        <w:rPr>
          <w:sz w:val="28"/>
          <w:szCs w:val="28"/>
        </w:rPr>
        <w:t xml:space="preserve"> been modified, in brackets, and replaced with Criminal Prosecution Practice &amp; Procedure Committee.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0C48A9">
    <w:pPr>
      <w:pStyle w:val="Header"/>
    </w:pPr>
    <w:r>
      <w:rPr>
        <w:noProof/>
      </w:rPr>
      <mc:AlternateContent>
        <mc:Choice Requires="wps">
          <w:drawing>
            <wp:anchor distT="0" distB="0" distL="114300" distR="114300" simplePos="0" relativeHeight="251658240" behindDoc="0" locked="0" layoutInCell="1" allowOverlap="1" wp14:anchorId="785CBDF3" wp14:editId="18F00D3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05E6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4C36B24B" wp14:editId="6962C880">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0C8842"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0DB2CDDD" wp14:editId="1F905853">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3051D2"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rsidR="007D5C49" w:rsidRDefault="00000C35">
    <w:r>
      <w:rPr>
        <w:noProof/>
      </w:rPr>
      <mc:AlternateContent>
        <mc:Choice Requires="wps">
          <w:drawing>
            <wp:anchor distT="0" distB="0" distL="114300" distR="114300" simplePos="0" relativeHeight="251659264" behindDoc="0" locked="0" layoutInCell="1" allowOverlap="1" wp14:anchorId="624703F5" wp14:editId="596FA60B">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C233CC8"/>
    <w:multiLevelType w:val="hybridMultilevel"/>
    <w:tmpl w:val="B4C8D57A"/>
    <w:lvl w:ilvl="0" w:tplc="1D9EB0E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F2000D"/>
    <w:multiLevelType w:val="hybridMultilevel"/>
    <w:tmpl w:val="44F86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4"/>
  </w:num>
  <w:num w:numId="3">
    <w:abstractNumId w:val="0"/>
  </w:num>
  <w:num w:numId="4">
    <w:abstractNumId w:val="4"/>
  </w:num>
  <w:num w:numId="5">
    <w:abstractNumId w:val="7"/>
  </w:num>
  <w:num w:numId="6">
    <w:abstractNumId w:val="9"/>
  </w:num>
  <w:num w:numId="7">
    <w:abstractNumId w:val="1"/>
  </w:num>
  <w:num w:numId="8">
    <w:abstractNumId w:val="15"/>
  </w:num>
  <w:num w:numId="9">
    <w:abstractNumId w:val="10"/>
  </w:num>
  <w:num w:numId="10">
    <w:abstractNumId w:val="12"/>
  </w:num>
  <w:num w:numId="11">
    <w:abstractNumId w:val="11"/>
  </w:num>
  <w:num w:numId="12">
    <w:abstractNumId w:val="6"/>
  </w:num>
  <w:num w:numId="13">
    <w:abstractNumId w:val="2"/>
  </w:num>
  <w:num w:numId="14">
    <w:abstractNumId w:val="3"/>
  </w:num>
  <w:num w:numId="15">
    <w:abstractNumId w:va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200F1"/>
    <w:rsid w:val="000410B3"/>
    <w:rsid w:val="00043D4D"/>
    <w:rsid w:val="00052372"/>
    <w:rsid w:val="000666D1"/>
    <w:rsid w:val="00087B0C"/>
    <w:rsid w:val="000917C0"/>
    <w:rsid w:val="00096ACD"/>
    <w:rsid w:val="000A1D6B"/>
    <w:rsid w:val="000C48A9"/>
    <w:rsid w:val="000D00F9"/>
    <w:rsid w:val="000F7A7F"/>
    <w:rsid w:val="000F7C13"/>
    <w:rsid w:val="00104F4E"/>
    <w:rsid w:val="00116D61"/>
    <w:rsid w:val="00134203"/>
    <w:rsid w:val="00135326"/>
    <w:rsid w:val="00157DD6"/>
    <w:rsid w:val="00171A56"/>
    <w:rsid w:val="00183B74"/>
    <w:rsid w:val="001A2520"/>
    <w:rsid w:val="001F591C"/>
    <w:rsid w:val="002318BE"/>
    <w:rsid w:val="0023316F"/>
    <w:rsid w:val="00233E0E"/>
    <w:rsid w:val="0027372D"/>
    <w:rsid w:val="00274D6A"/>
    <w:rsid w:val="00277FBA"/>
    <w:rsid w:val="00294E50"/>
    <w:rsid w:val="002A0C22"/>
    <w:rsid w:val="00352347"/>
    <w:rsid w:val="00355637"/>
    <w:rsid w:val="003566D6"/>
    <w:rsid w:val="00357F4D"/>
    <w:rsid w:val="003617D1"/>
    <w:rsid w:val="00377199"/>
    <w:rsid w:val="003A28AC"/>
    <w:rsid w:val="003B0C63"/>
    <w:rsid w:val="003D5C8A"/>
    <w:rsid w:val="003F3959"/>
    <w:rsid w:val="00407E2D"/>
    <w:rsid w:val="00416A68"/>
    <w:rsid w:val="004331B2"/>
    <w:rsid w:val="00440E4C"/>
    <w:rsid w:val="00463734"/>
    <w:rsid w:val="00494BDF"/>
    <w:rsid w:val="004A4076"/>
    <w:rsid w:val="004C3AE3"/>
    <w:rsid w:val="004C5571"/>
    <w:rsid w:val="004E71AB"/>
    <w:rsid w:val="00500258"/>
    <w:rsid w:val="00504E1E"/>
    <w:rsid w:val="00506859"/>
    <w:rsid w:val="00510C2D"/>
    <w:rsid w:val="00511BDB"/>
    <w:rsid w:val="005153B0"/>
    <w:rsid w:val="00520F93"/>
    <w:rsid w:val="00566856"/>
    <w:rsid w:val="005A21B0"/>
    <w:rsid w:val="005B5161"/>
    <w:rsid w:val="005D6AD4"/>
    <w:rsid w:val="006338C1"/>
    <w:rsid w:val="00636F5E"/>
    <w:rsid w:val="00665CCF"/>
    <w:rsid w:val="006666D1"/>
    <w:rsid w:val="006721EC"/>
    <w:rsid w:val="00676960"/>
    <w:rsid w:val="006932BA"/>
    <w:rsid w:val="006B4F9A"/>
    <w:rsid w:val="006C485C"/>
    <w:rsid w:val="006D19C7"/>
    <w:rsid w:val="006E5FBF"/>
    <w:rsid w:val="006F63FD"/>
    <w:rsid w:val="007173B7"/>
    <w:rsid w:val="00732169"/>
    <w:rsid w:val="00735659"/>
    <w:rsid w:val="0077110E"/>
    <w:rsid w:val="00774666"/>
    <w:rsid w:val="007870CB"/>
    <w:rsid w:val="007A3F0F"/>
    <w:rsid w:val="007B4DE0"/>
    <w:rsid w:val="007D5C49"/>
    <w:rsid w:val="007D5F94"/>
    <w:rsid w:val="007D73FF"/>
    <w:rsid w:val="008006ED"/>
    <w:rsid w:val="00822598"/>
    <w:rsid w:val="008360A1"/>
    <w:rsid w:val="00861563"/>
    <w:rsid w:val="00871AAA"/>
    <w:rsid w:val="00891AAA"/>
    <w:rsid w:val="008939E7"/>
    <w:rsid w:val="00933EA1"/>
    <w:rsid w:val="00951416"/>
    <w:rsid w:val="00960D21"/>
    <w:rsid w:val="00981D29"/>
    <w:rsid w:val="00981E11"/>
    <w:rsid w:val="009D7A5B"/>
    <w:rsid w:val="009F0483"/>
    <w:rsid w:val="00A1564B"/>
    <w:rsid w:val="00A5194F"/>
    <w:rsid w:val="00A539A2"/>
    <w:rsid w:val="00A72A3F"/>
    <w:rsid w:val="00A871D6"/>
    <w:rsid w:val="00AF282C"/>
    <w:rsid w:val="00AF3FF7"/>
    <w:rsid w:val="00AF7BAF"/>
    <w:rsid w:val="00B1491D"/>
    <w:rsid w:val="00B4675C"/>
    <w:rsid w:val="00B47B7D"/>
    <w:rsid w:val="00B71FB0"/>
    <w:rsid w:val="00B87B69"/>
    <w:rsid w:val="00B93BBD"/>
    <w:rsid w:val="00C03E0F"/>
    <w:rsid w:val="00C11D11"/>
    <w:rsid w:val="00C30E8C"/>
    <w:rsid w:val="00C52E56"/>
    <w:rsid w:val="00C5407A"/>
    <w:rsid w:val="00C662B0"/>
    <w:rsid w:val="00C84FD4"/>
    <w:rsid w:val="00C93B60"/>
    <w:rsid w:val="00C958EE"/>
    <w:rsid w:val="00CD21FB"/>
    <w:rsid w:val="00CF58A1"/>
    <w:rsid w:val="00D22619"/>
    <w:rsid w:val="00D423FE"/>
    <w:rsid w:val="00D442E4"/>
    <w:rsid w:val="00D72D57"/>
    <w:rsid w:val="00D80EDC"/>
    <w:rsid w:val="00DA2672"/>
    <w:rsid w:val="00DA44C6"/>
    <w:rsid w:val="00DF4F15"/>
    <w:rsid w:val="00DF6163"/>
    <w:rsid w:val="00DF7CD3"/>
    <w:rsid w:val="00E047D3"/>
    <w:rsid w:val="00E172DE"/>
    <w:rsid w:val="00E2470C"/>
    <w:rsid w:val="00E266B7"/>
    <w:rsid w:val="00E321C5"/>
    <w:rsid w:val="00E42C8C"/>
    <w:rsid w:val="00E53FE1"/>
    <w:rsid w:val="00E5772B"/>
    <w:rsid w:val="00E6239E"/>
    <w:rsid w:val="00E67511"/>
    <w:rsid w:val="00E73D71"/>
    <w:rsid w:val="00E82D0F"/>
    <w:rsid w:val="00E950B5"/>
    <w:rsid w:val="00E950CA"/>
    <w:rsid w:val="00EF5F7E"/>
    <w:rsid w:val="00F05879"/>
    <w:rsid w:val="00F06F5B"/>
    <w:rsid w:val="00F2485D"/>
    <w:rsid w:val="00F33926"/>
    <w:rsid w:val="00F60C61"/>
    <w:rsid w:val="00F64B52"/>
    <w:rsid w:val="00F90A70"/>
    <w:rsid w:val="00FB5291"/>
    <w:rsid w:val="00FC2552"/>
    <w:rsid w:val="00FE5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D1EB18A-4CC4-4671-B7E4-788A9A638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hn.Furlong@staff.azbar.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2B08E-49BD-4F1D-9456-B68DD56C7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0</TotalTime>
  <Pages>9</Pages>
  <Words>1434</Words>
  <Characters>8179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9594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creator>Superior Court</dc:creator>
  <cp:lastModifiedBy>Vasquez, Venessa</cp:lastModifiedBy>
  <cp:revision>2</cp:revision>
  <cp:lastPrinted>2014-04-30T16:27:00Z</cp:lastPrinted>
  <dcterms:created xsi:type="dcterms:W3CDTF">2016-05-12T23:19:00Z</dcterms:created>
  <dcterms:modified xsi:type="dcterms:W3CDTF">2016-05-12T23:19:00Z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