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87" w:rsidRPr="00A34742" w:rsidRDefault="00BD3F87" w:rsidP="00BD3F87">
      <w:pPr>
        <w:pStyle w:val="BodyText"/>
        <w:spacing w:before="3"/>
        <w:ind w:left="0" w:right="90"/>
        <w:jc w:val="center"/>
        <w:rPr>
          <w:rFonts w:cs="Times New Roman"/>
          <w:b/>
        </w:rPr>
      </w:pPr>
      <w:r w:rsidRPr="24CCC2B0">
        <w:rPr>
          <w:rFonts w:cs="Times New Roman"/>
          <w:b/>
          <w:bCs/>
        </w:rPr>
        <w:t>APPENDIX A</w:t>
      </w:r>
    </w:p>
    <w:p w:rsidR="00BD3F87" w:rsidRDefault="00BD3F87" w:rsidP="00BD3F87">
      <w:pPr>
        <w:pStyle w:val="BodyText"/>
        <w:spacing w:before="3"/>
        <w:ind w:left="0" w:right="90" w:firstLine="899"/>
        <w:jc w:val="center"/>
        <w:rPr>
          <w:rFonts w:cs="Times New Roman"/>
        </w:rPr>
      </w:pPr>
    </w:p>
    <w:p w:rsidR="00BD3F87" w:rsidRPr="0062144F" w:rsidRDefault="00BD3F87" w:rsidP="00BD3F87">
      <w:pPr>
        <w:pStyle w:val="BodyText"/>
        <w:spacing w:before="3"/>
        <w:ind w:left="0" w:right="90"/>
        <w:jc w:val="center"/>
        <w:rPr>
          <w:b/>
          <w:sz w:val="24"/>
        </w:rPr>
      </w:pPr>
      <w:r w:rsidRPr="00E45631">
        <w:rPr>
          <w:b/>
          <w:bCs/>
          <w:sz w:val="24"/>
          <w:szCs w:val="24"/>
        </w:rPr>
        <w:t>Rules of Procedure for Eviction Actions</w:t>
      </w:r>
    </w:p>
    <w:p w:rsidR="00BD3F87" w:rsidRPr="0062144F" w:rsidRDefault="00BD3F87" w:rsidP="00BD3F87">
      <w:pPr>
        <w:pStyle w:val="BodyText"/>
        <w:spacing w:before="3"/>
        <w:ind w:left="0" w:right="90" w:firstLine="899"/>
        <w:jc w:val="center"/>
        <w:rPr>
          <w:sz w:val="24"/>
        </w:rPr>
      </w:pPr>
    </w:p>
    <w:p w:rsidR="00BD3F87" w:rsidRDefault="00BD3F87" w:rsidP="00BD3F87">
      <w:pPr>
        <w:pStyle w:val="BodyText"/>
        <w:tabs>
          <w:tab w:val="left" w:pos="5741"/>
          <w:tab w:val="left" w:pos="8048"/>
          <w:tab w:val="left" w:pos="8744"/>
        </w:tabs>
        <w:spacing w:before="12"/>
        <w:ind w:left="0" w:right="90"/>
        <w:jc w:val="both"/>
        <w:rPr>
          <w:rStyle w:val="Strong"/>
          <w:rFonts w:cs="Times New Roman"/>
          <w:color w:val="212121"/>
          <w:sz w:val="24"/>
          <w:szCs w:val="24"/>
          <w:lang w:val="en"/>
        </w:rPr>
      </w:pPr>
      <w:r w:rsidRPr="00E45631">
        <w:rPr>
          <w:b/>
          <w:bCs/>
          <w:spacing w:val="-1"/>
          <w:sz w:val="24"/>
          <w:szCs w:val="24"/>
        </w:rPr>
        <w:t xml:space="preserve">Rule 5. </w:t>
      </w:r>
      <w:r w:rsidRPr="24CCC2B0">
        <w:rPr>
          <w:rStyle w:val="Strong"/>
          <w:rFonts w:cs="Times New Roman"/>
          <w:color w:val="212121"/>
          <w:sz w:val="24"/>
          <w:szCs w:val="24"/>
          <w:lang w:val="en"/>
        </w:rPr>
        <w:t>Summons and Complaint: Issuance, Content and Service of Process</w:t>
      </w:r>
    </w:p>
    <w:p w:rsidR="00BD3F87" w:rsidRPr="00077994" w:rsidRDefault="00BD3F87" w:rsidP="00BD3F87">
      <w:pPr>
        <w:widowControl/>
        <w:shd w:val="clear" w:color="auto" w:fill="FFFFFF" w:themeFill="background1"/>
        <w:spacing w:line="270" w:lineRule="atLeast"/>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b/>
          <w:bCs/>
          <w:color w:val="212121"/>
          <w:sz w:val="24"/>
          <w:szCs w:val="24"/>
          <w:lang w:val="en"/>
        </w:rPr>
        <w:t>a. Summons.</w:t>
      </w:r>
      <w:r w:rsidRPr="00077994">
        <w:rPr>
          <w:rFonts w:ascii="Times New Roman" w:eastAsia="Times New Roman" w:hAnsi="Times New Roman" w:cs="Times New Roman"/>
          <w:color w:val="212121"/>
          <w:sz w:val="24"/>
          <w:szCs w:val="24"/>
          <w:lang w:val="en"/>
        </w:rPr>
        <w:t xml:space="preserve"> The summons in an eviction action shall be a document separate from the complaint, shall be issued in accordance with applicable statutory provisions,</w:t>
      </w:r>
      <w:r w:rsidRPr="24CCC2B0">
        <w:rPr>
          <w:rFonts w:ascii="Times New Roman" w:eastAsia="Times New Roman" w:hAnsi="Times New Roman" w:cs="Times New Roman"/>
          <w:strike/>
          <w:color w:val="212121"/>
          <w:sz w:val="24"/>
          <w:szCs w:val="24"/>
          <w:lang w:val="en"/>
        </w:rPr>
        <w:t xml:space="preserve"> and</w:t>
      </w:r>
      <w:r w:rsidRPr="00A63DD4">
        <w:rPr>
          <w:rFonts w:ascii="Times New Roman" w:eastAsia="Times New Roman" w:hAnsi="Times New Roman" w:cs="Times New Roman"/>
          <w:color w:val="212121"/>
          <w:sz w:val="24"/>
          <w:szCs w:val="24"/>
          <w:lang w:val="en"/>
        </w:rPr>
        <w:t xml:space="preserve"> shall identify the defendants to the action, </w:t>
      </w:r>
      <w:r w:rsidRPr="00110132">
        <w:rPr>
          <w:rFonts w:ascii="Times New Roman" w:eastAsia="Times New Roman" w:hAnsi="Times New Roman" w:cs="Times New Roman"/>
          <w:color w:val="212121"/>
          <w:sz w:val="24"/>
          <w:szCs w:val="24"/>
          <w:u w:val="single"/>
          <w:lang w:val="en"/>
        </w:rPr>
        <w:t>and shall be in the approved form referenced in Rule 20 of these rules</w:t>
      </w:r>
      <w:r w:rsidRPr="00077994">
        <w:rPr>
          <w:rFonts w:ascii="Times New Roman" w:eastAsia="Times New Roman" w:hAnsi="Times New Roman" w:cs="Times New Roman"/>
          <w:color w:val="212121"/>
          <w:sz w:val="24"/>
          <w:szCs w:val="24"/>
          <w:lang w:val="en"/>
        </w:rPr>
        <w:t>. If the name of a defendant is unknown, the summons and complaint may name a fictitious defendant and any occupants of the property. The court shall liberally grant leave to amend the complaint and summons to reflect the true names of defendants if they become known to the plaintiff. The summons shall also include the following:</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(1) Name of the court and its street address, city, and telephone number;</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(2) Date and time set for the trial of the matter;</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(3) Notice that if the tenant fails to appear, a default judgment will likely be entered against the tenant, granting the relief specifically requested in the complaint, including removing the tenant from the property; and</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(4) A disclosure in substantially the following form: “Requests for reasonable accommodation for persons with disabilities should be made to the court as soon as possible.”</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(5) In residential property actions only, on a separate page served upon the tenant, the information contained in the Residential Eviction Procedures Information Sheet substantially in the form included as Appendix A to these Rules.</w:t>
      </w:r>
    </w:p>
    <w:p w:rsidR="00BD3F87" w:rsidRPr="00077994" w:rsidRDefault="00BD3F87" w:rsidP="00BD3F87">
      <w:pPr>
        <w:widowControl/>
        <w:shd w:val="clear" w:color="auto" w:fill="FFFFFF" w:themeFill="background1"/>
        <w:spacing w:line="270" w:lineRule="atLeast"/>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b/>
          <w:bCs/>
          <w:color w:val="212121"/>
          <w:sz w:val="24"/>
          <w:szCs w:val="24"/>
          <w:lang w:val="en"/>
        </w:rPr>
        <w:t>b. Complaint.</w:t>
      </w:r>
      <w:r w:rsidRPr="00077994">
        <w:rPr>
          <w:rFonts w:ascii="Times New Roman" w:eastAsia="Times New Roman" w:hAnsi="Times New Roman" w:cs="Times New Roman"/>
          <w:color w:val="212121"/>
          <w:sz w:val="24"/>
          <w:szCs w:val="24"/>
          <w:lang w:val="en"/>
        </w:rPr>
        <w:t xml:space="preserve"> The complaint shall:</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(1) Be brought in the legal name of the party claiming entitlement to possession of the property.</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 xml:space="preserve">(2) </w:t>
      </w:r>
      <w:proofErr w:type="gramStart"/>
      <w:r w:rsidRPr="00077994">
        <w:rPr>
          <w:rFonts w:ascii="Times New Roman" w:eastAsia="Times New Roman" w:hAnsi="Times New Roman" w:cs="Times New Roman"/>
          <w:color w:val="212121"/>
          <w:sz w:val="24"/>
          <w:szCs w:val="24"/>
          <w:lang w:val="en"/>
        </w:rPr>
        <w:t>Include</w:t>
      </w:r>
      <w:proofErr w:type="gramEnd"/>
      <w:r w:rsidRPr="00077994">
        <w:rPr>
          <w:rFonts w:ascii="Times New Roman" w:eastAsia="Times New Roman" w:hAnsi="Times New Roman" w:cs="Times New Roman"/>
          <w:color w:val="212121"/>
          <w:sz w:val="24"/>
          <w:szCs w:val="24"/>
          <w:lang w:val="en"/>
        </w:rPr>
        <w:t xml:space="preserve"> the business name, if any, and address of the property;</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(3) If an attorney represents the plaintiff, state the name, address, telephone number, and Bar number of the attorney in the upper left hand corner;</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(4) If the plaintiff is unrepresented, state the plaintiff's address, name and telephone number in the upper left hand corner;</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(5) State that the property in question is located within the judicial precinct where the complaint is filed;</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 xml:space="preserve">(6) </w:t>
      </w:r>
      <w:r w:rsidRPr="009C5B46">
        <w:rPr>
          <w:rFonts w:ascii="Times New Roman" w:eastAsia="Times New Roman" w:hAnsi="Times New Roman" w:cs="Times New Roman"/>
          <w:strike/>
          <w:color w:val="212121"/>
          <w:sz w:val="24"/>
          <w:szCs w:val="24"/>
          <w:lang w:val="en"/>
        </w:rPr>
        <w:t>State in bold print, capitalized, and underlined at the top center of the first page, below the case caption, “</w:t>
      </w:r>
      <w:r w:rsidRPr="009C5B46">
        <w:rPr>
          <w:rStyle w:val="Strong"/>
          <w:rFonts w:ascii="Times New Roman" w:eastAsia="Times New Roman" w:hAnsi="Times New Roman" w:cs="Times New Roman"/>
          <w:strike/>
          <w:color w:val="212121"/>
          <w:sz w:val="24"/>
          <w:szCs w:val="24"/>
          <w:lang w:val="en"/>
        </w:rPr>
        <w:t>YOUR LANDLORD IS SUING TO HAVE YOU EVICTED. PLEASE READ CAREFULLY</w:t>
      </w:r>
      <w:r w:rsidRPr="009C5B46">
        <w:rPr>
          <w:rFonts w:ascii="Times New Roman" w:eastAsia="Times New Roman" w:hAnsi="Times New Roman" w:cs="Times New Roman"/>
          <w:strike/>
          <w:color w:val="212121"/>
          <w:sz w:val="24"/>
          <w:szCs w:val="24"/>
          <w:lang w:val="en"/>
        </w:rPr>
        <w:t>”;</w:t>
      </w:r>
      <w:r w:rsidRPr="009C5B46">
        <w:rPr>
          <w:rFonts w:ascii="Times New Roman" w:eastAsia="Times New Roman" w:hAnsi="Times New Roman" w:cs="Times New Roman"/>
          <w:color w:val="212121"/>
          <w:sz w:val="24"/>
          <w:szCs w:val="24"/>
          <w:lang w:val="en"/>
        </w:rPr>
        <w:t xml:space="preserve"> </w:t>
      </w:r>
      <w:r w:rsidRPr="00110132">
        <w:rPr>
          <w:rFonts w:ascii="Times New Roman" w:eastAsia="Times New Roman" w:hAnsi="Times New Roman" w:cs="Times New Roman"/>
          <w:color w:val="212121"/>
          <w:sz w:val="24"/>
          <w:szCs w:val="24"/>
          <w:u w:val="single"/>
          <w:lang w:val="en"/>
        </w:rPr>
        <w:t>Be in the approved form referenced in Rule 20 of these rules;</w:t>
      </w:r>
    </w:p>
    <w:p w:rsidR="00BD3F87" w:rsidRPr="0033635D"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u w:val="single"/>
          <w:lang w:val="en"/>
        </w:rPr>
      </w:pPr>
      <w:r w:rsidRPr="00077994">
        <w:rPr>
          <w:rFonts w:ascii="Times New Roman" w:eastAsia="Times New Roman" w:hAnsi="Times New Roman" w:cs="Times New Roman"/>
          <w:color w:val="212121"/>
          <w:sz w:val="24"/>
          <w:szCs w:val="24"/>
          <w:lang w:val="en"/>
        </w:rPr>
        <w:t xml:space="preserve">(7) State the specific reason for the eviction; that the defendant was served a proper notice to vacate, if applicable; the date the notice was served; and what manner of service was used. A copy of the notice </w:t>
      </w:r>
      <w:r w:rsidRPr="009C5B46">
        <w:rPr>
          <w:rFonts w:ascii="Times New Roman" w:eastAsia="Times New Roman" w:hAnsi="Times New Roman" w:cs="Times New Roman"/>
          <w:color w:val="212121"/>
          <w:sz w:val="24"/>
          <w:szCs w:val="24"/>
          <w:lang w:val="en"/>
        </w:rPr>
        <w:t xml:space="preserve">shall be </w:t>
      </w:r>
      <w:r w:rsidRPr="009C5B46">
        <w:rPr>
          <w:rFonts w:ascii="Times New Roman" w:eastAsia="Times New Roman" w:hAnsi="Times New Roman" w:cs="Times New Roman"/>
          <w:strike/>
          <w:color w:val="212121"/>
          <w:sz w:val="24"/>
          <w:szCs w:val="24"/>
          <w:lang w:val="en"/>
        </w:rPr>
        <w:t>attached as an exhibit to the complaint.</w:t>
      </w:r>
      <w:r w:rsidRPr="004606BD">
        <w:rPr>
          <w:rFonts w:ascii="Times New Roman" w:eastAsia="Times New Roman" w:hAnsi="Times New Roman" w:cs="Times New Roman"/>
          <w:color w:val="212121"/>
          <w:sz w:val="24"/>
          <w:szCs w:val="24"/>
          <w:lang w:val="en"/>
        </w:rPr>
        <w:t>in the</w:t>
      </w:r>
      <w:r>
        <w:rPr>
          <w:rFonts w:ascii="Times New Roman" w:eastAsia="Times New Roman" w:hAnsi="Times New Roman" w:cs="Times New Roman"/>
          <w:color w:val="212121"/>
          <w:sz w:val="24"/>
          <w:szCs w:val="24"/>
          <w:lang w:val="en"/>
        </w:rPr>
        <w:t xml:space="preserve"> </w:t>
      </w:r>
      <w:r w:rsidRPr="00110132">
        <w:rPr>
          <w:rFonts w:ascii="Times New Roman" w:eastAsia="Times New Roman" w:hAnsi="Times New Roman" w:cs="Times New Roman"/>
          <w:color w:val="212121"/>
          <w:sz w:val="24"/>
          <w:szCs w:val="24"/>
          <w:u w:val="single"/>
          <w:lang w:val="en"/>
        </w:rPr>
        <w:t xml:space="preserve">approved form as referenced in Rule 20 of these rules shall be attached as an exhibit to the complaint. </w:t>
      </w:r>
    </w:p>
    <w:p w:rsidR="00BD3F87" w:rsidRPr="00077994" w:rsidRDefault="00BD3F87" w:rsidP="00BD3F87">
      <w:pPr>
        <w:widowControl/>
        <w:shd w:val="clear" w:color="auto" w:fill="FFFFFF" w:themeFill="background1"/>
        <w:spacing w:line="270" w:lineRule="atLeast"/>
        <w:ind w:left="900" w:hanging="360"/>
        <w:rPr>
          <w:rFonts w:ascii="Times New Roman" w:eastAsia="Times New Roman" w:hAnsi="Times New Roman" w:cs="Times New Roman"/>
          <w:color w:val="212121"/>
          <w:sz w:val="24"/>
          <w:szCs w:val="24"/>
          <w:lang w:val="en"/>
        </w:rPr>
      </w:pPr>
      <w:r w:rsidRPr="00077994">
        <w:rPr>
          <w:rFonts w:ascii="Times New Roman" w:eastAsia="Times New Roman" w:hAnsi="Times New Roman" w:cs="Times New Roman"/>
          <w:color w:val="212121"/>
          <w:sz w:val="24"/>
          <w:szCs w:val="24"/>
          <w:lang w:val="en"/>
        </w:rPr>
        <w:t>(8) Be verified. This means that the attorney signing the complaint shall verify that the attorney believes the assertions in the complaint to be true on the basis of a reasonably diligent inquiry.</w:t>
      </w:r>
    </w:p>
    <w:p w:rsidR="00BD3F87" w:rsidRDefault="00BD3F87" w:rsidP="00BD3F87">
      <w:pPr>
        <w:pStyle w:val="BodyText"/>
        <w:tabs>
          <w:tab w:val="left" w:pos="5741"/>
          <w:tab w:val="left" w:pos="8048"/>
          <w:tab w:val="left" w:pos="8744"/>
        </w:tabs>
        <w:spacing w:before="12"/>
        <w:ind w:left="0" w:right="90"/>
        <w:jc w:val="both"/>
        <w:rPr>
          <w:rFonts w:cs="Times New Roman"/>
          <w:b/>
          <w:bCs/>
          <w:color w:val="212121"/>
          <w:sz w:val="24"/>
          <w:szCs w:val="24"/>
          <w:lang w:val="en"/>
        </w:rPr>
      </w:pPr>
      <w:r w:rsidRPr="24CCC2B0">
        <w:rPr>
          <w:rFonts w:cs="Times New Roman"/>
          <w:b/>
          <w:bCs/>
          <w:color w:val="212121"/>
          <w:sz w:val="24"/>
          <w:szCs w:val="24"/>
          <w:lang w:val="en"/>
        </w:rPr>
        <w:t xml:space="preserve">c. – g. [no change] </w:t>
      </w:r>
    </w:p>
    <w:p w:rsidR="00BD3F87" w:rsidRDefault="00BD3F87" w:rsidP="00BD3F87">
      <w:pPr>
        <w:rPr>
          <w:rFonts w:ascii="Times New Roman" w:eastAsia="Times New Roman" w:hAnsi="Times New Roman" w:cs="Times New Roman"/>
          <w:b/>
          <w:bCs/>
          <w:color w:val="212121"/>
          <w:sz w:val="24"/>
          <w:szCs w:val="24"/>
          <w:lang w:val="en"/>
        </w:rPr>
      </w:pPr>
    </w:p>
    <w:p w:rsidR="00BD3F87" w:rsidRPr="00CF2DC6" w:rsidRDefault="00BD3F87" w:rsidP="00BD3F87">
      <w:pPr>
        <w:pStyle w:val="BodyText"/>
        <w:tabs>
          <w:tab w:val="left" w:pos="5741"/>
          <w:tab w:val="left" w:pos="8048"/>
          <w:tab w:val="left" w:pos="8744"/>
        </w:tabs>
        <w:spacing w:before="12"/>
        <w:ind w:left="0" w:right="90"/>
        <w:rPr>
          <w:b/>
          <w:spacing w:val="-1"/>
          <w:sz w:val="24"/>
        </w:rPr>
      </w:pPr>
    </w:p>
    <w:p w:rsidR="00BD3F87" w:rsidRDefault="00BD3F87" w:rsidP="00BD3F87">
      <w:pPr>
        <w:widowControl/>
        <w:shd w:val="clear" w:color="auto" w:fill="FFFFFF" w:themeFill="background1"/>
        <w:spacing w:line="270" w:lineRule="atLeast"/>
        <w:jc w:val="both"/>
        <w:rPr>
          <w:rStyle w:val="Strong"/>
          <w:rFonts w:ascii="Times New Roman" w:hAnsi="Times New Roman" w:cs="Times New Roman"/>
          <w:color w:val="212121"/>
          <w:sz w:val="24"/>
          <w:szCs w:val="24"/>
          <w:lang w:val="en"/>
        </w:rPr>
      </w:pPr>
      <w:r w:rsidRPr="009C5B46">
        <w:rPr>
          <w:rStyle w:val="Strong"/>
          <w:rFonts w:ascii="Times New Roman" w:eastAsia="Times New Roman" w:hAnsi="Times New Roman" w:cs="Times New Roman"/>
          <w:color w:val="212121"/>
          <w:sz w:val="24"/>
          <w:szCs w:val="24"/>
          <w:lang w:val="en"/>
        </w:rPr>
        <w:t>Rule 13. Entry of Judgment and Relief Granted</w:t>
      </w:r>
    </w:p>
    <w:p w:rsidR="00BD3F87" w:rsidRPr="00634FD0" w:rsidRDefault="00BD3F87" w:rsidP="00BD3F87">
      <w:pPr>
        <w:widowControl/>
        <w:shd w:val="clear" w:color="auto" w:fill="FFFFFF" w:themeFill="background1"/>
        <w:spacing w:line="270" w:lineRule="atLeast"/>
        <w:jc w:val="both"/>
        <w:rPr>
          <w:rFonts w:ascii="Times New Roman" w:eastAsia="Times New Roman" w:hAnsi="Times New Roman" w:cs="Times New Roman"/>
          <w:b/>
          <w:bCs/>
          <w:color w:val="212121"/>
          <w:sz w:val="24"/>
          <w:szCs w:val="24"/>
          <w:lang w:val="en"/>
        </w:rPr>
      </w:pPr>
      <w:r w:rsidRPr="009C5B46">
        <w:rPr>
          <w:rStyle w:val="Strong"/>
          <w:rFonts w:ascii="Times New Roman" w:eastAsia="Times New Roman" w:hAnsi="Times New Roman" w:cs="Times New Roman"/>
          <w:color w:val="212121"/>
          <w:sz w:val="24"/>
          <w:szCs w:val="24"/>
          <w:lang w:val="en"/>
        </w:rPr>
        <w:t>a. – g. [no change]</w:t>
      </w:r>
    </w:p>
    <w:p w:rsidR="00BD3F87" w:rsidRPr="00A63DD4" w:rsidRDefault="00BD3F87" w:rsidP="00BD3F87">
      <w:pPr>
        <w:pStyle w:val="BodyText"/>
        <w:tabs>
          <w:tab w:val="left" w:pos="5741"/>
          <w:tab w:val="left" w:pos="8048"/>
          <w:tab w:val="left" w:pos="8744"/>
        </w:tabs>
        <w:spacing w:before="12"/>
        <w:ind w:left="0" w:right="90"/>
        <w:jc w:val="both"/>
        <w:rPr>
          <w:rFonts w:cs="Times New Roman"/>
          <w:spacing w:val="-1"/>
          <w:sz w:val="24"/>
          <w:szCs w:val="24"/>
          <w:u w:val="single"/>
        </w:rPr>
      </w:pPr>
      <w:r w:rsidRPr="00F75264">
        <w:rPr>
          <w:rFonts w:cs="Times New Roman"/>
          <w:b/>
          <w:bCs/>
          <w:color w:val="212121"/>
          <w:sz w:val="24"/>
          <w:szCs w:val="24"/>
          <w:u w:val="single"/>
          <w:lang w:val="en"/>
        </w:rPr>
        <w:t xml:space="preserve">h. </w:t>
      </w:r>
      <w:r w:rsidRPr="24CCC2B0">
        <w:rPr>
          <w:rFonts w:cs="Times New Roman"/>
          <w:color w:val="212121"/>
          <w:sz w:val="24"/>
          <w:szCs w:val="24"/>
          <w:u w:val="single"/>
          <w:lang w:val="en"/>
        </w:rPr>
        <w:t>The judgment must be in the approved form referenced in Rule 20 of these rules.</w:t>
      </w:r>
    </w:p>
    <w:p w:rsidR="00BD3F87" w:rsidRDefault="00BD3F87" w:rsidP="00BD3F87">
      <w:pPr>
        <w:pStyle w:val="BodyText"/>
        <w:tabs>
          <w:tab w:val="left" w:pos="5741"/>
          <w:tab w:val="left" w:pos="8048"/>
          <w:tab w:val="left" w:pos="8744"/>
        </w:tabs>
        <w:spacing w:before="12"/>
        <w:ind w:left="0" w:right="90"/>
        <w:jc w:val="both"/>
        <w:rPr>
          <w:b/>
          <w:spacing w:val="-1"/>
          <w:sz w:val="24"/>
          <w:u w:val="single"/>
        </w:rPr>
      </w:pPr>
    </w:p>
    <w:p w:rsidR="00BD3F87" w:rsidRDefault="00BD3F87" w:rsidP="00BD3F87">
      <w:pPr>
        <w:pStyle w:val="BodyText"/>
        <w:tabs>
          <w:tab w:val="left" w:pos="5741"/>
          <w:tab w:val="left" w:pos="8048"/>
          <w:tab w:val="left" w:pos="8744"/>
        </w:tabs>
        <w:spacing w:before="12"/>
        <w:ind w:left="0" w:right="90"/>
        <w:jc w:val="both"/>
        <w:rPr>
          <w:b/>
          <w:spacing w:val="-1"/>
          <w:sz w:val="24"/>
          <w:u w:val="single"/>
        </w:rPr>
      </w:pPr>
    </w:p>
    <w:p w:rsidR="00BD3F87" w:rsidRPr="00110132" w:rsidRDefault="00BD3F87" w:rsidP="00BD3F87">
      <w:pPr>
        <w:pStyle w:val="BodyText"/>
        <w:tabs>
          <w:tab w:val="left" w:pos="5741"/>
          <w:tab w:val="left" w:pos="8048"/>
          <w:tab w:val="left" w:pos="8744"/>
        </w:tabs>
        <w:spacing w:before="12"/>
        <w:ind w:left="0" w:right="90"/>
        <w:jc w:val="both"/>
        <w:rPr>
          <w:rFonts w:cs="Times New Roman"/>
          <w:b/>
          <w:bCs/>
          <w:spacing w:val="-1"/>
          <w:sz w:val="24"/>
          <w:szCs w:val="24"/>
          <w:u w:val="single"/>
        </w:rPr>
      </w:pPr>
      <w:r w:rsidRPr="24CCC2B0">
        <w:rPr>
          <w:rFonts w:cs="Times New Roman"/>
          <w:b/>
          <w:bCs/>
          <w:spacing w:val="-1"/>
          <w:sz w:val="24"/>
          <w:szCs w:val="24"/>
          <w:u w:val="single"/>
        </w:rPr>
        <w:t xml:space="preserve">Rule 20. Forms. </w:t>
      </w:r>
    </w:p>
    <w:p w:rsidR="00BD3F87" w:rsidRPr="00110132" w:rsidRDefault="00BD3F87" w:rsidP="00BD3F87">
      <w:pPr>
        <w:pStyle w:val="BodyText"/>
        <w:tabs>
          <w:tab w:val="left" w:pos="5741"/>
          <w:tab w:val="left" w:pos="8048"/>
          <w:tab w:val="left" w:pos="8744"/>
        </w:tabs>
        <w:spacing w:before="12"/>
        <w:ind w:left="0" w:right="90"/>
        <w:jc w:val="both"/>
        <w:rPr>
          <w:rFonts w:cs="Times New Roman"/>
          <w:b/>
          <w:bCs/>
          <w:spacing w:val="-1"/>
          <w:sz w:val="24"/>
          <w:szCs w:val="24"/>
          <w:u w:val="single"/>
        </w:rPr>
      </w:pPr>
    </w:p>
    <w:p w:rsidR="00BD3F87" w:rsidRPr="00110132" w:rsidRDefault="00BD3F87" w:rsidP="00BD3F87">
      <w:pPr>
        <w:pStyle w:val="BodyText"/>
        <w:numPr>
          <w:ilvl w:val="0"/>
          <w:numId w:val="1"/>
        </w:numPr>
        <w:tabs>
          <w:tab w:val="left" w:pos="5741"/>
          <w:tab w:val="left" w:pos="8048"/>
          <w:tab w:val="left" w:pos="8744"/>
        </w:tabs>
        <w:spacing w:before="12"/>
        <w:ind w:right="90"/>
        <w:jc w:val="both"/>
        <w:rPr>
          <w:rFonts w:cs="Times New Roman"/>
          <w:spacing w:val="-1"/>
          <w:sz w:val="24"/>
          <w:szCs w:val="24"/>
          <w:u w:val="single"/>
        </w:rPr>
      </w:pPr>
      <w:r w:rsidRPr="24CCC2B0">
        <w:rPr>
          <w:rFonts w:cs="Times New Roman"/>
          <w:b/>
          <w:bCs/>
          <w:spacing w:val="-1"/>
          <w:sz w:val="24"/>
          <w:szCs w:val="24"/>
          <w:u w:val="single"/>
        </w:rPr>
        <w:t xml:space="preserve">Mandated Forms. </w:t>
      </w:r>
      <w:r w:rsidRPr="24CCC2B0">
        <w:rPr>
          <w:rFonts w:cs="Times New Roman"/>
          <w:sz w:val="24"/>
          <w:szCs w:val="24"/>
          <w:u w:val="single"/>
          <w:lang w:val="en"/>
        </w:rPr>
        <w:t>Attorneys representing landlords</w:t>
      </w:r>
      <w:r>
        <w:rPr>
          <w:rFonts w:cs="Times New Roman"/>
          <w:sz w:val="24"/>
          <w:szCs w:val="24"/>
          <w:u w:val="single"/>
          <w:lang w:val="en"/>
        </w:rPr>
        <w:t>,</w:t>
      </w:r>
      <w:r w:rsidRPr="24CCC2B0">
        <w:rPr>
          <w:rFonts w:cs="Times New Roman"/>
          <w:sz w:val="24"/>
          <w:szCs w:val="24"/>
          <w:u w:val="single"/>
          <w:lang w:val="en"/>
        </w:rPr>
        <w:t xml:space="preserve"> landlords filing </w:t>
      </w:r>
      <w:r w:rsidRPr="24CCC2B0">
        <w:rPr>
          <w:rFonts w:cs="Times New Roman"/>
          <w:i/>
          <w:iCs/>
          <w:sz w:val="24"/>
          <w:szCs w:val="24"/>
          <w:u w:val="single"/>
          <w:lang w:val="en"/>
        </w:rPr>
        <w:t>pro per</w:t>
      </w:r>
      <w:r>
        <w:rPr>
          <w:rFonts w:cs="Times New Roman"/>
          <w:i/>
          <w:iCs/>
          <w:sz w:val="24"/>
          <w:szCs w:val="24"/>
          <w:u w:val="single"/>
          <w:lang w:val="en"/>
        </w:rPr>
        <w:t>, and judges and court staff</w:t>
      </w:r>
      <w:r w:rsidRPr="24CCC2B0">
        <w:rPr>
          <w:rFonts w:cs="Times New Roman"/>
          <w:sz w:val="24"/>
          <w:szCs w:val="24"/>
          <w:u w:val="single"/>
          <w:lang w:val="en"/>
        </w:rPr>
        <w:t xml:space="preserve"> must use</w:t>
      </w:r>
      <w:r>
        <w:rPr>
          <w:rFonts w:cs="Times New Roman"/>
          <w:sz w:val="24"/>
          <w:szCs w:val="24"/>
          <w:u w:val="single"/>
          <w:lang w:val="en"/>
        </w:rPr>
        <w:t>, as appropriate,</w:t>
      </w:r>
      <w:r w:rsidRPr="24CCC2B0">
        <w:rPr>
          <w:rFonts w:cs="Times New Roman"/>
          <w:sz w:val="24"/>
          <w:szCs w:val="24"/>
          <w:u w:val="single"/>
          <w:lang w:val="en"/>
        </w:rPr>
        <w:t xml:space="preserve"> the eviction forms</w:t>
      </w:r>
      <w:r>
        <w:rPr>
          <w:rFonts w:cs="Times New Roman"/>
          <w:sz w:val="24"/>
          <w:szCs w:val="24"/>
          <w:u w:val="single"/>
          <w:lang w:val="en"/>
        </w:rPr>
        <w:t xml:space="preserve"> </w:t>
      </w:r>
      <w:r w:rsidRPr="24CCC2B0">
        <w:rPr>
          <w:rFonts w:cs="Times New Roman"/>
          <w:sz w:val="24"/>
          <w:szCs w:val="24"/>
          <w:u w:val="single"/>
          <w:lang w:val="en"/>
        </w:rPr>
        <w:t>approved by the Administrative Director of the Administrative Office of the Courts, listed in subsection (b) and made available at www.azcourts.gov. The Administrative Director of the Administrative Office of the Courts is authorized to modify these forms in response to changes in state laws or procedures, to make other necessary administrative amendments or technical corrections, or to add or delete forms as may be appropriate. Upon a showing of good cause and in the interest of justice in a particular case, the court may permit use of a form other than the approved form the court finds to be consistent with law as the approved form.</w:t>
      </w:r>
    </w:p>
    <w:p w:rsidR="00BD3F87" w:rsidRPr="00110132" w:rsidRDefault="00BD3F87" w:rsidP="00BD3F87">
      <w:pPr>
        <w:pStyle w:val="BodyText"/>
        <w:tabs>
          <w:tab w:val="left" w:pos="5741"/>
          <w:tab w:val="left" w:pos="8048"/>
          <w:tab w:val="left" w:pos="8744"/>
        </w:tabs>
        <w:spacing w:before="12"/>
        <w:ind w:left="720" w:right="90"/>
        <w:jc w:val="both"/>
        <w:rPr>
          <w:rFonts w:cs="Times New Roman"/>
          <w:spacing w:val="-1"/>
          <w:u w:val="single"/>
        </w:rPr>
      </w:pPr>
    </w:p>
    <w:p w:rsidR="00BD3F87" w:rsidRPr="00B25096" w:rsidRDefault="00BD3F87" w:rsidP="00BD3F87">
      <w:pPr>
        <w:pStyle w:val="BodyText"/>
        <w:numPr>
          <w:ilvl w:val="0"/>
          <w:numId w:val="1"/>
        </w:numPr>
        <w:tabs>
          <w:tab w:val="left" w:pos="5741"/>
          <w:tab w:val="left" w:pos="8048"/>
          <w:tab w:val="left" w:pos="8744"/>
        </w:tabs>
        <w:spacing w:before="12"/>
        <w:ind w:right="90"/>
        <w:jc w:val="both"/>
        <w:rPr>
          <w:rFonts w:cs="Times New Roman"/>
          <w:spacing w:val="-1"/>
          <w:u w:val="single"/>
        </w:rPr>
      </w:pPr>
      <w:r>
        <w:rPr>
          <w:b/>
          <w:bCs/>
          <w:spacing w:val="-1"/>
          <w:sz w:val="24"/>
          <w:szCs w:val="24"/>
          <w:u w:val="single"/>
        </w:rPr>
        <w:t>Types of Forms</w:t>
      </w:r>
      <w:r w:rsidRPr="24CCC2B0">
        <w:rPr>
          <w:rFonts w:cs="Times New Roman"/>
          <w:spacing w:val="-1"/>
          <w:u w:val="single"/>
        </w:rPr>
        <w:t>.</w:t>
      </w:r>
    </w:p>
    <w:p w:rsidR="00BD3F87" w:rsidRPr="00110132"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u w:val="single"/>
        </w:rPr>
      </w:pPr>
      <w:r w:rsidRPr="00110132">
        <w:rPr>
          <w:rFonts w:ascii="Times New Roman" w:eastAsia="Times New Roman" w:hAnsi="Times New Roman" w:cs="Times New Roman"/>
          <w:spacing w:val="-1"/>
          <w:sz w:val="24"/>
          <w:szCs w:val="24"/>
          <w:u w:val="single"/>
        </w:rPr>
        <w:t>Eviction Action Complaint;</w:t>
      </w:r>
    </w:p>
    <w:p w:rsidR="00BD3F87" w:rsidRPr="00110132"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u w:val="single"/>
        </w:rPr>
      </w:pPr>
      <w:r w:rsidRPr="00110132">
        <w:rPr>
          <w:rFonts w:ascii="Times New Roman" w:eastAsia="Times New Roman" w:hAnsi="Times New Roman" w:cs="Times New Roman"/>
          <w:spacing w:val="-1"/>
          <w:sz w:val="24"/>
          <w:szCs w:val="24"/>
          <w:u w:val="single"/>
        </w:rPr>
        <w:t>Eviction Action Summons;</w:t>
      </w:r>
    </w:p>
    <w:p w:rsidR="00BD3F87" w:rsidRPr="00110132"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u w:val="single"/>
        </w:rPr>
      </w:pPr>
      <w:r w:rsidRPr="00110132">
        <w:rPr>
          <w:rFonts w:ascii="Times New Roman" w:eastAsia="Times New Roman" w:hAnsi="Times New Roman" w:cs="Times New Roman"/>
          <w:spacing w:val="-1"/>
          <w:sz w:val="24"/>
          <w:szCs w:val="24"/>
          <w:u w:val="single"/>
        </w:rPr>
        <w:t>Eviction Action Judgment;</w:t>
      </w:r>
    </w:p>
    <w:p w:rsidR="00BD3F87" w:rsidRPr="00110132"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u w:val="single"/>
        </w:rPr>
      </w:pPr>
      <w:r w:rsidRPr="00110132">
        <w:rPr>
          <w:rFonts w:ascii="Times New Roman" w:eastAsia="Times New Roman" w:hAnsi="Times New Roman" w:cs="Times New Roman"/>
          <w:spacing w:val="-1"/>
          <w:sz w:val="24"/>
          <w:szCs w:val="24"/>
          <w:u w:val="single"/>
        </w:rPr>
        <w:t>5-Day Notice to Move - Health and Safety Violation;</w:t>
      </w:r>
    </w:p>
    <w:p w:rsidR="00BD3F87" w:rsidRPr="00110132"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u w:val="single"/>
        </w:rPr>
      </w:pPr>
      <w:r w:rsidRPr="00110132">
        <w:rPr>
          <w:rFonts w:ascii="Times New Roman" w:eastAsia="Times New Roman" w:hAnsi="Times New Roman" w:cs="Times New Roman"/>
          <w:spacing w:val="-1"/>
          <w:sz w:val="24"/>
          <w:szCs w:val="24"/>
          <w:u w:val="single"/>
        </w:rPr>
        <w:t>5-Day Notice to Move - Failure to Pay Rent;</w:t>
      </w:r>
    </w:p>
    <w:p w:rsidR="00BD3F87" w:rsidRPr="00110132"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u w:val="single"/>
        </w:rPr>
      </w:pPr>
      <w:r w:rsidRPr="00110132">
        <w:rPr>
          <w:rFonts w:ascii="Times New Roman" w:eastAsia="Times New Roman" w:hAnsi="Times New Roman" w:cs="Times New Roman"/>
          <w:spacing w:val="-1"/>
          <w:sz w:val="24"/>
          <w:szCs w:val="24"/>
          <w:u w:val="single"/>
        </w:rPr>
        <w:t>10-Day Notice to Move - Material Breach;</w:t>
      </w:r>
    </w:p>
    <w:p w:rsidR="00BD3F87" w:rsidRPr="00110132"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u w:val="single"/>
        </w:rPr>
      </w:pPr>
      <w:r w:rsidRPr="00110132">
        <w:rPr>
          <w:rFonts w:ascii="Times New Roman" w:eastAsia="Times New Roman" w:hAnsi="Times New Roman" w:cs="Times New Roman"/>
          <w:spacing w:val="-1"/>
          <w:sz w:val="24"/>
          <w:szCs w:val="24"/>
          <w:u w:val="single"/>
        </w:rPr>
        <w:t>10-Day Notice to Move - Repeat Material or Health and Safety Breach; and</w:t>
      </w:r>
    </w:p>
    <w:p w:rsidR="00BD3F87" w:rsidRPr="009C5B46"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rPr>
      </w:pPr>
      <w:r w:rsidRPr="00110132">
        <w:rPr>
          <w:rFonts w:ascii="Times New Roman" w:eastAsia="Times New Roman" w:hAnsi="Times New Roman" w:cs="Times New Roman"/>
          <w:spacing w:val="-1"/>
          <w:sz w:val="24"/>
          <w:szCs w:val="24"/>
          <w:u w:val="single"/>
        </w:rPr>
        <w:t>Immediate Notice to Move - Material and Irreparable Breach</w:t>
      </w:r>
    </w:p>
    <w:p w:rsidR="00BD3F87" w:rsidRDefault="00BD3F87" w:rsidP="00BD3F87">
      <w:pPr>
        <w:pStyle w:val="ListParagraph"/>
        <w:numPr>
          <w:ilvl w:val="0"/>
          <w:numId w:val="2"/>
        </w:numPr>
        <w:spacing w:before="11"/>
        <w:ind w:left="1080" w:right="9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u w:val="single"/>
        </w:rPr>
        <w:t xml:space="preserve">Other notices that are approve by the Administrative Director of the AOC. </w:t>
      </w:r>
    </w:p>
    <w:p w:rsidR="00BD3F87" w:rsidRPr="00110132" w:rsidRDefault="00BD3F87" w:rsidP="00BD3F87">
      <w:pPr>
        <w:pStyle w:val="ListParagraph"/>
        <w:spacing w:before="11"/>
        <w:ind w:left="1080" w:right="90"/>
        <w:jc w:val="both"/>
        <w:rPr>
          <w:rFonts w:ascii="Times New Roman" w:eastAsia="Times New Roman" w:hAnsi="Times New Roman" w:cs="Times New Roman"/>
          <w:spacing w:val="-1"/>
          <w:sz w:val="24"/>
          <w:szCs w:val="24"/>
        </w:rPr>
      </w:pPr>
    </w:p>
    <w:p w:rsidR="00BD3F87" w:rsidRPr="00110132" w:rsidRDefault="00BD3F87" w:rsidP="00BD3F87">
      <w:pPr>
        <w:pStyle w:val="ListParagraph"/>
        <w:numPr>
          <w:ilvl w:val="0"/>
          <w:numId w:val="1"/>
        </w:numPr>
        <w:spacing w:before="11"/>
        <w:ind w:right="90"/>
        <w:jc w:val="both"/>
        <w:rPr>
          <w:rFonts w:ascii="Times New Roman" w:eastAsia="Times New Roman" w:hAnsi="Times New Roman" w:cs="Times New Roman"/>
          <w:b/>
          <w:bCs/>
          <w:spacing w:val="-1"/>
          <w:sz w:val="24"/>
          <w:szCs w:val="24"/>
          <w:u w:val="single"/>
        </w:rPr>
      </w:pPr>
      <w:r w:rsidRPr="00F75264">
        <w:rPr>
          <w:rFonts w:ascii="Times New Roman" w:eastAsia="Times New Roman" w:hAnsi="Times New Roman" w:cs="Times New Roman"/>
          <w:b/>
          <w:bCs/>
          <w:spacing w:val="-1"/>
          <w:sz w:val="24"/>
          <w:szCs w:val="24"/>
          <w:u w:val="single"/>
        </w:rPr>
        <w:t>No Charge for Forms</w:t>
      </w:r>
      <w:r w:rsidRPr="00110132">
        <w:rPr>
          <w:rFonts w:ascii="Times New Roman" w:eastAsia="Times New Roman" w:hAnsi="Times New Roman" w:cs="Times New Roman"/>
          <w:spacing w:val="-1"/>
          <w:sz w:val="24"/>
          <w:szCs w:val="24"/>
          <w:u w:val="single"/>
        </w:rPr>
        <w:t>. Courts must provide all eviction action forms without charge.</w:t>
      </w:r>
    </w:p>
    <w:p w:rsidR="005F48D3" w:rsidRDefault="00BD3F87">
      <w:bookmarkStart w:id="0" w:name="_GoBack"/>
      <w:bookmarkEnd w:id="0"/>
    </w:p>
    <w:sectPr w:rsidR="005F48D3" w:rsidSect="00F75264">
      <w:footerReference w:type="default" r:id="rId5"/>
      <w:pgSz w:w="12240" w:h="15840"/>
      <w:pgMar w:top="1440" w:right="1440" w:bottom="1440" w:left="1440" w:header="576" w:footer="1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31348194"/>
      <w:docPartObj>
        <w:docPartGallery w:val="Page Numbers (Bottom of Page)"/>
        <w:docPartUnique/>
      </w:docPartObj>
    </w:sdtPr>
    <w:sdtEndPr>
      <w:rPr>
        <w:noProof/>
      </w:rPr>
    </w:sdtEndPr>
    <w:sdtContent>
      <w:p w:rsidR="00AC1652" w:rsidRPr="00110132" w:rsidRDefault="00BD3F87">
        <w:pPr>
          <w:pStyle w:val="Footer"/>
          <w:jc w:val="center"/>
          <w:rPr>
            <w:rFonts w:ascii="Times New Roman" w:hAnsi="Times New Roman" w:cs="Times New Roman"/>
          </w:rPr>
        </w:pPr>
        <w:r w:rsidRPr="00110132">
          <w:rPr>
            <w:rFonts w:ascii="Times New Roman" w:hAnsi="Times New Roman" w:cs="Times New Roman"/>
          </w:rPr>
          <w:fldChar w:fldCharType="begin"/>
        </w:r>
        <w:r w:rsidRPr="00110132">
          <w:rPr>
            <w:rFonts w:ascii="Times New Roman" w:hAnsi="Times New Roman" w:cs="Times New Roman"/>
          </w:rPr>
          <w:instrText xml:space="preserve"> PAGE   \* MERGEFORMAT </w:instrText>
        </w:r>
        <w:r w:rsidRPr="00110132">
          <w:rPr>
            <w:rFonts w:ascii="Times New Roman" w:hAnsi="Times New Roman" w:cs="Times New Roman"/>
          </w:rPr>
          <w:fldChar w:fldCharType="separate"/>
        </w:r>
        <w:r>
          <w:rPr>
            <w:rFonts w:ascii="Times New Roman" w:hAnsi="Times New Roman" w:cs="Times New Roman"/>
            <w:noProof/>
          </w:rPr>
          <w:t>1</w:t>
        </w:r>
        <w:r w:rsidRPr="00110132">
          <w:rPr>
            <w:rFonts w:ascii="Times New Roman" w:hAnsi="Times New Roman" w:cs="Times New Roman"/>
            <w:noProof/>
          </w:rPr>
          <w:fldChar w:fldCharType="end"/>
        </w:r>
      </w:p>
    </w:sdtContent>
  </w:sdt>
  <w:p w:rsidR="00AC1652" w:rsidRDefault="00BD3F8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82943"/>
    <w:multiLevelType w:val="hybridMultilevel"/>
    <w:tmpl w:val="C9B25E10"/>
    <w:lvl w:ilvl="0" w:tplc="649C3F10">
      <w:start w:val="1"/>
      <w:numFmt w:val="lowerLetter"/>
      <w:lvlText w:val="%1."/>
      <w:lvlJc w:val="left"/>
      <w:pPr>
        <w:ind w:left="720" w:hanging="360"/>
      </w:pPr>
      <w:rPr>
        <w:rFonts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C64F5"/>
    <w:multiLevelType w:val="hybridMultilevel"/>
    <w:tmpl w:val="CE0AF2F6"/>
    <w:lvl w:ilvl="0" w:tplc="55D2C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87"/>
    <w:rsid w:val="003348FE"/>
    <w:rsid w:val="009C50C5"/>
    <w:rsid w:val="00B375E9"/>
    <w:rsid w:val="00BD3F87"/>
    <w:rsid w:val="00C4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B150D-8138-430E-A5BE-BBC744F5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3F8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3F87"/>
    <w:pPr>
      <w:ind w:left="10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BD3F87"/>
    <w:rPr>
      <w:rFonts w:ascii="Times New Roman" w:eastAsia="Times New Roman" w:hAnsi="Times New Roman"/>
      <w:sz w:val="28"/>
      <w:szCs w:val="28"/>
    </w:rPr>
  </w:style>
  <w:style w:type="paragraph" w:styleId="ListParagraph">
    <w:name w:val="List Paragraph"/>
    <w:basedOn w:val="Normal"/>
    <w:uiPriority w:val="34"/>
    <w:qFormat/>
    <w:rsid w:val="00BD3F87"/>
  </w:style>
  <w:style w:type="paragraph" w:styleId="Footer">
    <w:name w:val="footer"/>
    <w:basedOn w:val="Normal"/>
    <w:link w:val="FooterChar"/>
    <w:uiPriority w:val="99"/>
    <w:unhideWhenUsed/>
    <w:rsid w:val="00BD3F87"/>
    <w:pPr>
      <w:tabs>
        <w:tab w:val="center" w:pos="4680"/>
        <w:tab w:val="right" w:pos="9360"/>
      </w:tabs>
    </w:pPr>
  </w:style>
  <w:style w:type="character" w:customStyle="1" w:styleId="FooterChar">
    <w:name w:val="Footer Char"/>
    <w:basedOn w:val="DefaultParagraphFont"/>
    <w:link w:val="Footer"/>
    <w:uiPriority w:val="99"/>
    <w:rsid w:val="00BD3F87"/>
  </w:style>
  <w:style w:type="character" w:styleId="Strong">
    <w:name w:val="Strong"/>
    <w:basedOn w:val="DefaultParagraphFont"/>
    <w:uiPriority w:val="22"/>
    <w:qFormat/>
    <w:rsid w:val="00BD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 Nick</dc:creator>
  <cp:keywords/>
  <dc:description/>
  <cp:lastModifiedBy>Olm, Nick</cp:lastModifiedBy>
  <cp:revision>1</cp:revision>
  <dcterms:created xsi:type="dcterms:W3CDTF">2016-07-01T22:59:00Z</dcterms:created>
  <dcterms:modified xsi:type="dcterms:W3CDTF">2016-07-01T22:59:00Z</dcterms:modified>
</cp:coreProperties>
</file>