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3457BA39" w14:textId="77777777" w:rsidTr="006F63FD">
        <w:trPr>
          <w:cantSplit/>
          <w:trHeight w:val="1987"/>
        </w:trPr>
        <w:tc>
          <w:tcPr>
            <w:tcW w:w="4836" w:type="dxa"/>
          </w:tcPr>
          <w:p w14:paraId="7C51E8B0" w14:textId="77777777" w:rsidR="00000C35" w:rsidRDefault="00732169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 xml:space="preserve">John </w:t>
            </w:r>
            <w:r w:rsidR="00A93A7C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 xml:space="preserve">Furlong, </w:t>
            </w:r>
            <w:r w:rsidRPr="006F63FD">
              <w:rPr>
                <w:sz w:val="28"/>
                <w:szCs w:val="28"/>
              </w:rPr>
              <w:t>Bar No. 018356</w:t>
            </w:r>
            <w:r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14:paraId="6D5896C1" w14:textId="77777777"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7A9C5CD3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5BA20E73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73113F18" w14:textId="77777777"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  <w:p w14:paraId="77AE7C71" w14:textId="77777777" w:rsidR="006F63FD" w:rsidRPr="00735659" w:rsidRDefault="00862FBE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8" w:history="1">
              <w:r w:rsidR="006F63FD" w:rsidRPr="003F71FF">
                <w:rPr>
                  <w:rStyle w:val="Hyperlink"/>
                  <w:sz w:val="28"/>
                  <w:szCs w:val="28"/>
                </w:rPr>
                <w:t>John.Furlong@staff.azbar.org</w:t>
              </w:r>
            </w:hyperlink>
          </w:p>
        </w:tc>
        <w:tc>
          <w:tcPr>
            <w:tcW w:w="4200" w:type="dxa"/>
          </w:tcPr>
          <w:p w14:paraId="7BE8FDA6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248FEC5C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406B3C1F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268F056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3BAA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A73D0C3" w14:textId="49752365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</w:t>
            </w:r>
            <w:r w:rsidR="009D3DF3">
              <w:rPr>
                <w:b/>
                <w:sz w:val="28"/>
                <w:szCs w:val="28"/>
              </w:rPr>
              <w:t>TO AMEND THE RULES OF PROCEDURE FOR EVICTION ACTIONS</w:t>
            </w:r>
          </w:p>
          <w:p w14:paraId="181C80D0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8867957" w14:textId="77777777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9D3DF3">
              <w:rPr>
                <w:sz w:val="28"/>
                <w:szCs w:val="28"/>
              </w:rPr>
              <w:t>16-0022</w:t>
            </w:r>
          </w:p>
          <w:p w14:paraId="79E9C6E8" w14:textId="77777777" w:rsidR="000F7A7F" w:rsidRPr="006F63FD" w:rsidRDefault="009D3DF3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REPLY</w:t>
            </w:r>
            <w:r w:rsidR="000F7A7F" w:rsidRPr="006F63FD">
              <w:rPr>
                <w:b/>
                <w:sz w:val="28"/>
                <w:szCs w:val="28"/>
              </w:rPr>
              <w:t xml:space="preserve"> OF</w:t>
            </w:r>
          </w:p>
          <w:p w14:paraId="1880BD5A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THE STATE BAR OF ARIZONA</w:t>
            </w:r>
          </w:p>
          <w:p w14:paraId="1DECDDF8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30C3662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</w:tbl>
    <w:bookmarkEnd w:id="1"/>
    <w:p w14:paraId="57CFE66F" w14:textId="48F01F59" w:rsidR="000E245A" w:rsidRPr="000E245A" w:rsidRDefault="000E245A" w:rsidP="000E245A">
      <w:pPr>
        <w:pStyle w:val="BodyText"/>
        <w:spacing w:before="18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245A">
        <w:rPr>
          <w:sz w:val="28"/>
          <w:szCs w:val="28"/>
        </w:rPr>
        <w:t xml:space="preserve">Pursuant to Rule 28 of the Rules of the Supreme Court, the </w:t>
      </w:r>
      <w:r>
        <w:rPr>
          <w:sz w:val="28"/>
          <w:szCs w:val="28"/>
        </w:rPr>
        <w:t>State Bar of Arizona</w:t>
      </w:r>
      <w:r w:rsidR="00130701">
        <w:rPr>
          <w:sz w:val="28"/>
          <w:szCs w:val="28"/>
        </w:rPr>
        <w:t xml:space="preserve"> (“State Bar”)</w:t>
      </w:r>
      <w:r w:rsidRPr="000E245A">
        <w:rPr>
          <w:sz w:val="28"/>
          <w:szCs w:val="28"/>
        </w:rPr>
        <w:t xml:space="preserve"> respectfully responds to comments submitted in opposition to the Petition to Amend the Rules of Procedure for Eviction Actions by adding a change of judge rule, as Rule 9(c).  The proposed rule would permit a change of judge as a matter of right and for c</w:t>
      </w:r>
      <w:r w:rsidR="00C76353">
        <w:rPr>
          <w:sz w:val="28"/>
          <w:szCs w:val="28"/>
        </w:rPr>
        <w:t>ause in eviction actions in justice c</w:t>
      </w:r>
      <w:r w:rsidRPr="000E245A">
        <w:rPr>
          <w:sz w:val="28"/>
          <w:szCs w:val="28"/>
        </w:rPr>
        <w:t>ourt</w:t>
      </w:r>
      <w:r w:rsidR="00C76353">
        <w:rPr>
          <w:sz w:val="28"/>
          <w:szCs w:val="28"/>
        </w:rPr>
        <w:t>s</w:t>
      </w:r>
      <w:r w:rsidRPr="000E245A">
        <w:rPr>
          <w:sz w:val="28"/>
          <w:szCs w:val="28"/>
        </w:rPr>
        <w:t xml:space="preserve">.  The proposed rule is similar to Rule 133(d) of the Justice Court Rules of Civil Procedure that permits a change of judge in other civil cases heard by the justice courts. As discussed in the </w:t>
      </w:r>
      <w:r w:rsidR="00130701">
        <w:rPr>
          <w:sz w:val="28"/>
          <w:szCs w:val="28"/>
        </w:rPr>
        <w:t>P</w:t>
      </w:r>
      <w:r w:rsidRPr="000E245A">
        <w:rPr>
          <w:sz w:val="28"/>
          <w:szCs w:val="28"/>
        </w:rPr>
        <w:t>etition, eviction cases in justice court</w:t>
      </w:r>
      <w:r w:rsidR="00C76353">
        <w:rPr>
          <w:sz w:val="28"/>
          <w:szCs w:val="28"/>
        </w:rPr>
        <w:t>s</w:t>
      </w:r>
      <w:r w:rsidRPr="000E245A">
        <w:rPr>
          <w:sz w:val="28"/>
          <w:szCs w:val="28"/>
        </w:rPr>
        <w:t xml:space="preserve"> are the only civil cases in justice or superior courts without a change of judge rule.   </w:t>
      </w:r>
      <w:r>
        <w:rPr>
          <w:sz w:val="28"/>
          <w:szCs w:val="28"/>
        </w:rPr>
        <w:t>The State Bar</w:t>
      </w:r>
      <w:r w:rsidRPr="000E245A">
        <w:rPr>
          <w:sz w:val="28"/>
          <w:szCs w:val="28"/>
        </w:rPr>
        <w:t xml:space="preserve"> </w:t>
      </w:r>
      <w:r w:rsidR="00130701">
        <w:rPr>
          <w:sz w:val="28"/>
          <w:szCs w:val="28"/>
        </w:rPr>
        <w:t>believes</w:t>
      </w:r>
      <w:r w:rsidR="00130701" w:rsidRPr="000E245A">
        <w:rPr>
          <w:sz w:val="28"/>
          <w:szCs w:val="28"/>
        </w:rPr>
        <w:t xml:space="preserve"> </w:t>
      </w:r>
      <w:r w:rsidRPr="000E245A">
        <w:rPr>
          <w:sz w:val="28"/>
          <w:szCs w:val="28"/>
        </w:rPr>
        <w:t>Arizona courts should provide an opportunity for a change</w:t>
      </w:r>
      <w:r w:rsidR="00130701">
        <w:rPr>
          <w:sz w:val="28"/>
          <w:szCs w:val="28"/>
        </w:rPr>
        <w:t xml:space="preserve"> of</w:t>
      </w:r>
      <w:r w:rsidRPr="000E245A">
        <w:rPr>
          <w:sz w:val="28"/>
          <w:szCs w:val="28"/>
        </w:rPr>
        <w:t xml:space="preserve"> judge as a matter of </w:t>
      </w:r>
      <w:r w:rsidRPr="000E245A">
        <w:rPr>
          <w:sz w:val="28"/>
          <w:szCs w:val="28"/>
        </w:rPr>
        <w:lastRenderedPageBreak/>
        <w:t xml:space="preserve">right in all cases as a matter of fundamental fairness.  Thus, this </w:t>
      </w:r>
      <w:r w:rsidR="00D6596F">
        <w:rPr>
          <w:sz w:val="28"/>
          <w:szCs w:val="28"/>
        </w:rPr>
        <w:t>P</w:t>
      </w:r>
      <w:r w:rsidRPr="000E245A">
        <w:rPr>
          <w:sz w:val="28"/>
          <w:szCs w:val="28"/>
        </w:rPr>
        <w:t xml:space="preserve">etition </w:t>
      </w:r>
      <w:r w:rsidR="002930CA">
        <w:rPr>
          <w:sz w:val="28"/>
          <w:szCs w:val="28"/>
        </w:rPr>
        <w:t xml:space="preserve">promotes </w:t>
      </w:r>
      <w:r w:rsidRPr="000E245A">
        <w:rPr>
          <w:sz w:val="28"/>
          <w:szCs w:val="28"/>
        </w:rPr>
        <w:t>access to justice</w:t>
      </w:r>
      <w:r w:rsidR="00D6596F">
        <w:rPr>
          <w:sz w:val="28"/>
          <w:szCs w:val="28"/>
        </w:rPr>
        <w:t xml:space="preserve"> by providing this</w:t>
      </w:r>
      <w:r w:rsidR="00232D14">
        <w:rPr>
          <w:sz w:val="28"/>
          <w:szCs w:val="28"/>
        </w:rPr>
        <w:t xml:space="preserve"> </w:t>
      </w:r>
      <w:r w:rsidR="002930CA">
        <w:rPr>
          <w:sz w:val="28"/>
          <w:szCs w:val="28"/>
        </w:rPr>
        <w:t>proce</w:t>
      </w:r>
      <w:r w:rsidR="00D6596F">
        <w:rPr>
          <w:sz w:val="28"/>
          <w:szCs w:val="28"/>
        </w:rPr>
        <w:t>dural safegua</w:t>
      </w:r>
      <w:r w:rsidR="00232D14">
        <w:rPr>
          <w:sz w:val="28"/>
          <w:szCs w:val="28"/>
        </w:rPr>
        <w:t>rd</w:t>
      </w:r>
      <w:r w:rsidR="00D6596F">
        <w:rPr>
          <w:sz w:val="28"/>
          <w:szCs w:val="28"/>
        </w:rPr>
        <w:t xml:space="preserve"> to eviction litigants,</w:t>
      </w:r>
      <w:r w:rsidR="00232D14">
        <w:rPr>
          <w:sz w:val="28"/>
          <w:szCs w:val="28"/>
        </w:rPr>
        <w:t xml:space="preserve"> who are often tenants facing a substantial hardship if they are displaced from their homes.</w:t>
      </w:r>
      <w:r w:rsidRPr="000E245A">
        <w:rPr>
          <w:sz w:val="28"/>
          <w:szCs w:val="28"/>
        </w:rPr>
        <w:t xml:space="preserve">  </w:t>
      </w:r>
    </w:p>
    <w:p w14:paraId="5DC8273C" w14:textId="3EEF6D07" w:rsidR="000E245A" w:rsidRPr="000E245A" w:rsidRDefault="000E245A" w:rsidP="000E245A">
      <w:pPr>
        <w:pStyle w:val="BodyText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0E245A">
        <w:rPr>
          <w:sz w:val="28"/>
          <w:szCs w:val="28"/>
        </w:rPr>
        <w:t>The Committee on Limited Jurisdiction Courts (“LJC”) su</w:t>
      </w:r>
      <w:r w:rsidR="00CA6F70">
        <w:rPr>
          <w:sz w:val="28"/>
          <w:szCs w:val="28"/>
        </w:rPr>
        <w:t xml:space="preserve">bmitted a comment opposing the Petition.  </w:t>
      </w:r>
      <w:r w:rsidRPr="000E245A">
        <w:rPr>
          <w:sz w:val="28"/>
          <w:szCs w:val="28"/>
        </w:rPr>
        <w:t xml:space="preserve">The LJC claims the amendment is impractical, unnecessary, </w:t>
      </w:r>
      <w:r w:rsidR="00130701">
        <w:rPr>
          <w:sz w:val="28"/>
          <w:szCs w:val="28"/>
        </w:rPr>
        <w:t>im</w:t>
      </w:r>
      <w:r w:rsidRPr="000E245A">
        <w:rPr>
          <w:sz w:val="28"/>
          <w:szCs w:val="28"/>
        </w:rPr>
        <w:t>prudent</w:t>
      </w:r>
      <w:r w:rsidR="00130701">
        <w:rPr>
          <w:sz w:val="28"/>
          <w:szCs w:val="28"/>
        </w:rPr>
        <w:t>,</w:t>
      </w:r>
      <w:r w:rsidRPr="000E245A">
        <w:rPr>
          <w:sz w:val="28"/>
          <w:szCs w:val="28"/>
        </w:rPr>
        <w:t xml:space="preserve"> and will likely have an adverse impact on tenants. As explained below, the </w:t>
      </w:r>
      <w:r>
        <w:rPr>
          <w:sz w:val="28"/>
          <w:szCs w:val="28"/>
        </w:rPr>
        <w:t>State Bar</w:t>
      </w:r>
      <w:r w:rsidRPr="000E245A">
        <w:rPr>
          <w:sz w:val="28"/>
          <w:szCs w:val="28"/>
        </w:rPr>
        <w:t xml:space="preserve"> </w:t>
      </w:r>
      <w:r w:rsidR="006E712D">
        <w:rPr>
          <w:sz w:val="28"/>
          <w:szCs w:val="28"/>
        </w:rPr>
        <w:t>disagrees with the LJC’s averments.</w:t>
      </w:r>
      <w:r w:rsidRPr="000E245A">
        <w:rPr>
          <w:sz w:val="28"/>
          <w:szCs w:val="28"/>
        </w:rPr>
        <w:t xml:space="preserve">   </w:t>
      </w:r>
    </w:p>
    <w:p w14:paraId="62960CC0" w14:textId="342FF608" w:rsidR="000E245A" w:rsidRPr="000E245A" w:rsidRDefault="00F0735C" w:rsidP="000E245A">
      <w:pPr>
        <w:pStyle w:val="BodyText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As support for the</w:t>
      </w:r>
      <w:r w:rsidR="000E245A" w:rsidRPr="000E245A">
        <w:rPr>
          <w:sz w:val="28"/>
          <w:szCs w:val="28"/>
        </w:rPr>
        <w:t xml:space="preserve"> assertion that the rule is not needed, the LJC claims the central courthouse</w:t>
      </w:r>
      <w:r w:rsidR="00C76353">
        <w:rPr>
          <w:sz w:val="28"/>
          <w:szCs w:val="28"/>
        </w:rPr>
        <w:t>,</w:t>
      </w:r>
      <w:r w:rsidR="000E245A" w:rsidRPr="000E245A">
        <w:rPr>
          <w:sz w:val="28"/>
          <w:szCs w:val="28"/>
        </w:rPr>
        <w:t xml:space="preserve"> in Phoenix</w:t>
      </w:r>
      <w:r w:rsidR="00C76353">
        <w:rPr>
          <w:sz w:val="28"/>
          <w:szCs w:val="28"/>
        </w:rPr>
        <w:t>,</w:t>
      </w:r>
      <w:r w:rsidR="000E245A" w:rsidRPr="000E245A">
        <w:rPr>
          <w:sz w:val="28"/>
          <w:szCs w:val="28"/>
        </w:rPr>
        <w:t xml:space="preserve"> will honor a change of judge request because “[n]o judge wants to hear a case in which his or her objectivity is in question.” </w:t>
      </w:r>
      <w:r>
        <w:rPr>
          <w:sz w:val="28"/>
          <w:szCs w:val="28"/>
        </w:rPr>
        <w:t>What remains unclear, is</w:t>
      </w:r>
      <w:r w:rsidR="000E245A" w:rsidRPr="000E245A">
        <w:rPr>
          <w:sz w:val="28"/>
          <w:szCs w:val="28"/>
        </w:rPr>
        <w:t xml:space="preserve"> how a litigant would even know such a procedure is available.  This informal policy referenced by the LJC is</w:t>
      </w:r>
      <w:r>
        <w:rPr>
          <w:sz w:val="28"/>
          <w:szCs w:val="28"/>
        </w:rPr>
        <w:t xml:space="preserve"> not commonly known</w:t>
      </w:r>
      <w:r w:rsidR="000E245A" w:rsidRPr="000E245A">
        <w:rPr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 w:rsidR="000E245A" w:rsidRPr="000E245A">
        <w:rPr>
          <w:sz w:val="28"/>
          <w:szCs w:val="28"/>
        </w:rPr>
        <w:t xml:space="preserve"> litigants and legal services attorneys</w:t>
      </w:r>
      <w:r>
        <w:rPr>
          <w:sz w:val="28"/>
          <w:szCs w:val="28"/>
        </w:rPr>
        <w:t>. Both litigants and legal services attorneys should not be presumed to know or to be able to rely on this unwritten, discretionary trend of granting such request</w:t>
      </w:r>
      <w:r w:rsidR="003F1762">
        <w:rPr>
          <w:sz w:val="28"/>
          <w:szCs w:val="28"/>
        </w:rPr>
        <w:t>s</w:t>
      </w:r>
      <w:r w:rsidR="000E245A" w:rsidRPr="000E245A">
        <w:rPr>
          <w:sz w:val="28"/>
          <w:szCs w:val="28"/>
        </w:rPr>
        <w:t xml:space="preserve">. Moreover, if </w:t>
      </w:r>
      <w:r>
        <w:rPr>
          <w:sz w:val="28"/>
          <w:szCs w:val="28"/>
        </w:rPr>
        <w:t xml:space="preserve">such requests are routinely granted, this policy should be memorialized into a rule that can be referenced and relied upon by all litigants.  </w:t>
      </w:r>
      <w:r w:rsidR="00C76353">
        <w:rPr>
          <w:sz w:val="26"/>
        </w:rPr>
        <w:t>Also important to note, i</w:t>
      </w:r>
      <w:r w:rsidR="00C76353" w:rsidRPr="006712C1">
        <w:rPr>
          <w:sz w:val="26"/>
        </w:rPr>
        <w:t>n Pima County</w:t>
      </w:r>
      <w:r w:rsidR="00C76353">
        <w:rPr>
          <w:sz w:val="26"/>
        </w:rPr>
        <w:t xml:space="preserve">, the second largest county, </w:t>
      </w:r>
      <w:r w:rsidR="00C76353" w:rsidRPr="006712C1">
        <w:rPr>
          <w:sz w:val="26"/>
        </w:rPr>
        <w:t xml:space="preserve">all eviction cases are heard in a consolidated justice court.  </w:t>
      </w:r>
      <w:hyperlink r:id="rId9" w:history="1">
        <w:r w:rsidR="00C76353" w:rsidRPr="00B676E9">
          <w:rPr>
            <w:rStyle w:val="Hyperlink"/>
            <w:sz w:val="26"/>
          </w:rPr>
          <w:t>www.jp.pima.gov/home/htm</w:t>
        </w:r>
      </w:hyperlink>
    </w:p>
    <w:p w14:paraId="4B4DCD18" w14:textId="6D56C6D6" w:rsidR="000E245A" w:rsidRPr="000E245A" w:rsidRDefault="000E245A" w:rsidP="00CA6F70">
      <w:pPr>
        <w:pStyle w:val="FootnoteText"/>
        <w:spacing w:line="480" w:lineRule="auto"/>
        <w:jc w:val="both"/>
        <w:rPr>
          <w:sz w:val="28"/>
          <w:szCs w:val="28"/>
        </w:rPr>
      </w:pPr>
      <w:r w:rsidRPr="000E245A">
        <w:rPr>
          <w:sz w:val="28"/>
          <w:szCs w:val="28"/>
        </w:rPr>
        <w:lastRenderedPageBreak/>
        <w:tab/>
      </w:r>
      <w:r w:rsidR="00203093">
        <w:rPr>
          <w:sz w:val="28"/>
          <w:szCs w:val="28"/>
        </w:rPr>
        <w:t>T</w:t>
      </w:r>
      <w:r w:rsidRPr="000E245A">
        <w:rPr>
          <w:sz w:val="28"/>
          <w:szCs w:val="28"/>
        </w:rPr>
        <w:t xml:space="preserve">he LJC </w:t>
      </w:r>
      <w:r w:rsidR="00203093">
        <w:rPr>
          <w:sz w:val="28"/>
          <w:szCs w:val="28"/>
        </w:rPr>
        <w:t>asserts</w:t>
      </w:r>
      <w:r w:rsidR="00C76353">
        <w:rPr>
          <w:sz w:val="28"/>
          <w:szCs w:val="28"/>
        </w:rPr>
        <w:t xml:space="preserve"> that isolated rural courts cannot easily</w:t>
      </w:r>
      <w:r w:rsidRPr="000E245A">
        <w:rPr>
          <w:sz w:val="28"/>
          <w:szCs w:val="28"/>
        </w:rPr>
        <w:t xml:space="preserve"> accommodate requests</w:t>
      </w:r>
      <w:r w:rsidR="00C2161B">
        <w:rPr>
          <w:sz w:val="28"/>
          <w:szCs w:val="28"/>
        </w:rPr>
        <w:t>;</w:t>
      </w:r>
      <w:r w:rsidRPr="000E245A">
        <w:rPr>
          <w:sz w:val="28"/>
          <w:szCs w:val="28"/>
        </w:rPr>
        <w:t xml:space="preserve"> an</w:t>
      </w:r>
      <w:r w:rsidR="00C76353">
        <w:rPr>
          <w:sz w:val="28"/>
          <w:szCs w:val="28"/>
        </w:rPr>
        <w:t>d stand-alone urban courts may</w:t>
      </w:r>
      <w:r w:rsidRPr="000E245A">
        <w:rPr>
          <w:sz w:val="28"/>
          <w:szCs w:val="28"/>
        </w:rPr>
        <w:t xml:space="preserve"> find it</w:t>
      </w:r>
      <w:r w:rsidR="00C76353">
        <w:rPr>
          <w:sz w:val="28"/>
          <w:szCs w:val="28"/>
        </w:rPr>
        <w:t xml:space="preserve"> difficult to readily</w:t>
      </w:r>
      <w:r w:rsidRPr="000E245A">
        <w:rPr>
          <w:sz w:val="28"/>
          <w:szCs w:val="28"/>
        </w:rPr>
        <w:t xml:space="preserve"> accommodate a change of judge request.  </w:t>
      </w:r>
      <w:r>
        <w:rPr>
          <w:sz w:val="28"/>
          <w:szCs w:val="28"/>
        </w:rPr>
        <w:t>The State Bar</w:t>
      </w:r>
      <w:r w:rsidRPr="000E245A">
        <w:rPr>
          <w:sz w:val="28"/>
          <w:szCs w:val="28"/>
        </w:rPr>
        <w:t xml:space="preserve"> </w:t>
      </w:r>
      <w:r w:rsidR="003F1762">
        <w:rPr>
          <w:sz w:val="28"/>
          <w:szCs w:val="28"/>
        </w:rPr>
        <w:t>anticipates the contrary. The State Bar</w:t>
      </w:r>
      <w:r w:rsidR="00146411">
        <w:rPr>
          <w:sz w:val="28"/>
          <w:szCs w:val="28"/>
        </w:rPr>
        <w:t xml:space="preserve"> </w:t>
      </w:r>
      <w:r w:rsidR="00F5199F">
        <w:rPr>
          <w:sz w:val="28"/>
          <w:szCs w:val="28"/>
        </w:rPr>
        <w:t>believes that</w:t>
      </w:r>
      <w:r w:rsidR="00F5199F" w:rsidRPr="000E245A">
        <w:rPr>
          <w:sz w:val="28"/>
          <w:szCs w:val="28"/>
        </w:rPr>
        <w:t xml:space="preserve"> </w:t>
      </w:r>
      <w:r w:rsidRPr="000E245A">
        <w:rPr>
          <w:sz w:val="28"/>
          <w:szCs w:val="28"/>
        </w:rPr>
        <w:t>the number of change of judge requests in rural courts will be few</w:t>
      </w:r>
      <w:r w:rsidR="00146411">
        <w:rPr>
          <w:sz w:val="28"/>
          <w:szCs w:val="28"/>
        </w:rPr>
        <w:t>. Currently,</w:t>
      </w:r>
      <w:r w:rsidR="00CA6F70">
        <w:rPr>
          <w:sz w:val="28"/>
          <w:szCs w:val="28"/>
        </w:rPr>
        <w:t xml:space="preserve"> </w:t>
      </w:r>
      <w:r w:rsidRPr="000E245A">
        <w:rPr>
          <w:sz w:val="28"/>
          <w:szCs w:val="28"/>
        </w:rPr>
        <w:t xml:space="preserve">there are </w:t>
      </w:r>
      <w:r w:rsidR="00F5199F">
        <w:rPr>
          <w:sz w:val="28"/>
          <w:szCs w:val="28"/>
        </w:rPr>
        <w:t>few</w:t>
      </w:r>
      <w:r w:rsidRPr="000E245A">
        <w:rPr>
          <w:sz w:val="28"/>
          <w:szCs w:val="28"/>
        </w:rPr>
        <w:t xml:space="preserve"> eviction cases filed in these courts, even </w:t>
      </w:r>
      <w:r w:rsidR="00CA6F70" w:rsidRPr="000E245A">
        <w:rPr>
          <w:sz w:val="28"/>
          <w:szCs w:val="28"/>
        </w:rPr>
        <w:t>fewer where</w:t>
      </w:r>
      <w:r w:rsidRPr="000E245A">
        <w:rPr>
          <w:sz w:val="28"/>
          <w:szCs w:val="28"/>
        </w:rPr>
        <w:t xml:space="preserve"> the tenant </w:t>
      </w:r>
      <w:r w:rsidR="00146411">
        <w:rPr>
          <w:sz w:val="28"/>
          <w:szCs w:val="28"/>
        </w:rPr>
        <w:t>appears</w:t>
      </w:r>
      <w:r w:rsidR="00F5199F">
        <w:rPr>
          <w:sz w:val="28"/>
          <w:szCs w:val="28"/>
        </w:rPr>
        <w:t>,</w:t>
      </w:r>
      <w:r w:rsidRPr="000E245A">
        <w:rPr>
          <w:sz w:val="28"/>
          <w:szCs w:val="28"/>
        </w:rPr>
        <w:t xml:space="preserve"> and </w:t>
      </w:r>
      <w:r w:rsidR="00146411">
        <w:rPr>
          <w:sz w:val="28"/>
          <w:szCs w:val="28"/>
        </w:rPr>
        <w:t>even fewer litigants that appe</w:t>
      </w:r>
      <w:r w:rsidR="00CA6F70">
        <w:rPr>
          <w:sz w:val="28"/>
          <w:szCs w:val="28"/>
        </w:rPr>
        <w:t xml:space="preserve">ar </w:t>
      </w:r>
      <w:r w:rsidR="00C76353">
        <w:rPr>
          <w:sz w:val="28"/>
          <w:szCs w:val="28"/>
        </w:rPr>
        <w:t>and request</w:t>
      </w:r>
      <w:r w:rsidR="00CA6F70">
        <w:rPr>
          <w:sz w:val="28"/>
          <w:szCs w:val="28"/>
        </w:rPr>
        <w:t xml:space="preserve"> a change of judge</w:t>
      </w:r>
      <w:r w:rsidRPr="000E245A">
        <w:rPr>
          <w:sz w:val="28"/>
          <w:szCs w:val="28"/>
        </w:rPr>
        <w:t xml:space="preserve">. </w:t>
      </w:r>
      <w:r w:rsidR="00146411">
        <w:rPr>
          <w:sz w:val="28"/>
          <w:szCs w:val="28"/>
        </w:rPr>
        <w:t>For</w:t>
      </w:r>
      <w:r w:rsidRPr="000E245A">
        <w:rPr>
          <w:sz w:val="28"/>
          <w:szCs w:val="28"/>
        </w:rPr>
        <w:t xml:space="preserve"> example, during the prior </w:t>
      </w:r>
      <w:r w:rsidR="00F5199F">
        <w:rPr>
          <w:sz w:val="28"/>
          <w:szCs w:val="28"/>
        </w:rPr>
        <w:t>three</w:t>
      </w:r>
      <w:r w:rsidRPr="000E245A">
        <w:rPr>
          <w:sz w:val="28"/>
          <w:szCs w:val="28"/>
        </w:rPr>
        <w:t xml:space="preserve"> years ending June 30, 2014, only </w:t>
      </w:r>
      <w:r w:rsidRPr="00CA6F70">
        <w:rPr>
          <w:sz w:val="28"/>
          <w:szCs w:val="28"/>
        </w:rPr>
        <w:t>18</w:t>
      </w:r>
      <w:r w:rsidRPr="000E245A">
        <w:rPr>
          <w:b/>
          <w:sz w:val="28"/>
          <w:szCs w:val="28"/>
        </w:rPr>
        <w:t xml:space="preserve"> </w:t>
      </w:r>
      <w:r w:rsidRPr="000E245A">
        <w:rPr>
          <w:sz w:val="28"/>
          <w:szCs w:val="28"/>
        </w:rPr>
        <w:t xml:space="preserve">eviction cases were filed in the Duncan Justice Court.  None of those cases went to trial.  </w:t>
      </w:r>
      <w:r w:rsidRPr="000E245A">
        <w:rPr>
          <w:i/>
          <w:sz w:val="28"/>
          <w:szCs w:val="28"/>
        </w:rPr>
        <w:t>See</w:t>
      </w:r>
      <w:r w:rsidRPr="000E245A">
        <w:rPr>
          <w:sz w:val="28"/>
          <w:szCs w:val="28"/>
        </w:rPr>
        <w:t xml:space="preserve"> </w:t>
      </w:r>
      <w:hyperlink r:id="rId10" w:history="1">
        <w:r w:rsidR="00C76353" w:rsidRPr="00B676E9">
          <w:rPr>
            <w:rStyle w:val="Hyperlink"/>
            <w:sz w:val="28"/>
            <w:szCs w:val="28"/>
          </w:rPr>
          <w:t>http://www.azcourts.gov/Portals/39/2013DR/JPGreenlee.pdf</w:t>
        </w:r>
      </w:hyperlink>
      <w:r w:rsidR="00C76353">
        <w:rPr>
          <w:sz w:val="28"/>
          <w:szCs w:val="28"/>
        </w:rPr>
        <w:t xml:space="preserve">; </w:t>
      </w:r>
      <w:hyperlink r:id="rId11" w:history="1">
        <w:r w:rsidR="00C76353" w:rsidRPr="00B676E9">
          <w:rPr>
            <w:rStyle w:val="Hyperlink"/>
            <w:sz w:val="28"/>
            <w:szCs w:val="28"/>
          </w:rPr>
          <w:t>www.azcourts.gov/Portals/39/2014DR/JPGreenlee.pdf</w:t>
        </w:r>
      </w:hyperlink>
      <w:r w:rsidR="00C76353">
        <w:rPr>
          <w:sz w:val="28"/>
          <w:szCs w:val="28"/>
        </w:rPr>
        <w:t xml:space="preserve">. </w:t>
      </w:r>
      <w:r w:rsidRPr="000E245A">
        <w:rPr>
          <w:sz w:val="28"/>
          <w:szCs w:val="28"/>
        </w:rPr>
        <w:t xml:space="preserve">Thus, the proposed rule change would have had no effect on justice court administration in the Duncan Justice Court over that </w:t>
      </w:r>
      <w:r w:rsidR="00F5199F">
        <w:rPr>
          <w:sz w:val="28"/>
          <w:szCs w:val="28"/>
        </w:rPr>
        <w:t>three</w:t>
      </w:r>
      <w:r w:rsidRPr="000E245A">
        <w:rPr>
          <w:sz w:val="28"/>
          <w:szCs w:val="28"/>
        </w:rPr>
        <w:t xml:space="preserve"> year period.  In fact, </w:t>
      </w:r>
      <w:r w:rsidR="00C76353">
        <w:rPr>
          <w:sz w:val="28"/>
          <w:szCs w:val="28"/>
        </w:rPr>
        <w:t>no trials took place in</w:t>
      </w:r>
      <w:r w:rsidRPr="000E245A">
        <w:rPr>
          <w:sz w:val="28"/>
          <w:szCs w:val="28"/>
        </w:rPr>
        <w:t xml:space="preserve"> Duncan Just</w:t>
      </w:r>
      <w:r>
        <w:rPr>
          <w:sz w:val="28"/>
          <w:szCs w:val="28"/>
        </w:rPr>
        <w:t>ice C</w:t>
      </w:r>
      <w:r w:rsidRPr="000E245A">
        <w:rPr>
          <w:sz w:val="28"/>
          <w:szCs w:val="28"/>
        </w:rPr>
        <w:t xml:space="preserve">ourt </w:t>
      </w:r>
      <w:r w:rsidR="00C76353">
        <w:rPr>
          <w:sz w:val="28"/>
          <w:szCs w:val="28"/>
        </w:rPr>
        <w:t>during</w:t>
      </w:r>
      <w:r w:rsidRPr="000E245A">
        <w:rPr>
          <w:sz w:val="28"/>
          <w:szCs w:val="28"/>
        </w:rPr>
        <w:t xml:space="preserve"> those years.</w:t>
      </w:r>
      <w:r w:rsidRPr="000E245A">
        <w:rPr>
          <w:rStyle w:val="FootnoteReference"/>
          <w:sz w:val="28"/>
          <w:szCs w:val="28"/>
        </w:rPr>
        <w:footnoteReference w:id="1"/>
      </w:r>
      <w:r w:rsidRPr="000E245A">
        <w:rPr>
          <w:sz w:val="28"/>
          <w:szCs w:val="28"/>
        </w:rPr>
        <w:t xml:space="preserve">  </w:t>
      </w:r>
    </w:p>
    <w:p w14:paraId="02C1EC29" w14:textId="21475CD9" w:rsidR="000E245A" w:rsidRPr="000E245A" w:rsidRDefault="000E245A" w:rsidP="000E245A">
      <w:pPr>
        <w:pStyle w:val="FootnoteText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0E245A">
        <w:rPr>
          <w:sz w:val="28"/>
          <w:szCs w:val="28"/>
        </w:rPr>
        <w:t xml:space="preserve">Other rural courts throughout the state </w:t>
      </w:r>
      <w:r w:rsidR="001E3401">
        <w:rPr>
          <w:sz w:val="28"/>
          <w:szCs w:val="28"/>
        </w:rPr>
        <w:t>reflect</w:t>
      </w:r>
      <w:r w:rsidRPr="000E245A">
        <w:rPr>
          <w:sz w:val="28"/>
          <w:szCs w:val="28"/>
        </w:rPr>
        <w:t xml:space="preserve"> similar statistics.  In the Safford Justice Court</w:t>
      </w:r>
      <w:r w:rsidR="00906C91">
        <w:rPr>
          <w:sz w:val="28"/>
          <w:szCs w:val="28"/>
        </w:rPr>
        <w:t>, located</w:t>
      </w:r>
      <w:r w:rsidRPr="000E245A">
        <w:rPr>
          <w:sz w:val="28"/>
          <w:szCs w:val="28"/>
        </w:rPr>
        <w:t xml:space="preserve"> in Graham County</w:t>
      </w:r>
      <w:r w:rsidR="00CA6F70">
        <w:rPr>
          <w:sz w:val="28"/>
          <w:szCs w:val="28"/>
        </w:rPr>
        <w:t>,</w:t>
      </w:r>
      <w:r w:rsidR="00CA6F70" w:rsidRPr="000E245A">
        <w:rPr>
          <w:sz w:val="28"/>
          <w:szCs w:val="28"/>
        </w:rPr>
        <w:t xml:space="preserve"> 58</w:t>
      </w:r>
      <w:r w:rsidRPr="000E245A">
        <w:rPr>
          <w:sz w:val="28"/>
          <w:szCs w:val="28"/>
        </w:rPr>
        <w:t xml:space="preserve"> evictions were filed</w:t>
      </w:r>
      <w:r w:rsidR="00906C91">
        <w:rPr>
          <w:sz w:val="28"/>
          <w:szCs w:val="28"/>
        </w:rPr>
        <w:t xml:space="preserve"> in 2014. N</w:t>
      </w:r>
      <w:r w:rsidRPr="000E245A">
        <w:rPr>
          <w:sz w:val="28"/>
          <w:szCs w:val="28"/>
        </w:rPr>
        <w:t xml:space="preserve">one </w:t>
      </w:r>
      <w:r w:rsidR="00906C91">
        <w:rPr>
          <w:sz w:val="28"/>
          <w:szCs w:val="28"/>
        </w:rPr>
        <w:t>of these matters proceeded</w:t>
      </w:r>
      <w:r w:rsidR="00C76353">
        <w:rPr>
          <w:sz w:val="28"/>
          <w:szCs w:val="28"/>
        </w:rPr>
        <w:t xml:space="preserve"> to trial. </w:t>
      </w:r>
      <w:r w:rsidRPr="00C76353">
        <w:rPr>
          <w:color w:val="0070C0"/>
          <w:sz w:val="28"/>
          <w:szCs w:val="28"/>
          <w:u w:val="single"/>
        </w:rPr>
        <w:t xml:space="preserve">http://www.azcourts.gov/Portals/39/ </w:t>
      </w:r>
      <w:r w:rsidRPr="00C76353">
        <w:rPr>
          <w:color w:val="0070C0"/>
          <w:sz w:val="28"/>
          <w:szCs w:val="28"/>
          <w:u w:val="single"/>
        </w:rPr>
        <w:lastRenderedPageBreak/>
        <w:t>2014DR/JPGraham.pdf#page=5</w:t>
      </w:r>
      <w:r w:rsidRPr="000E245A">
        <w:rPr>
          <w:sz w:val="28"/>
          <w:szCs w:val="28"/>
        </w:rPr>
        <w:t>.  In</w:t>
      </w:r>
      <w:r w:rsidR="00906C91">
        <w:rPr>
          <w:sz w:val="28"/>
          <w:szCs w:val="28"/>
        </w:rPr>
        <w:t xml:space="preserve"> the</w:t>
      </w:r>
      <w:r w:rsidRPr="000E245A">
        <w:rPr>
          <w:sz w:val="28"/>
          <w:szCs w:val="28"/>
        </w:rPr>
        <w:t xml:space="preserve"> Quartzsite Justice Court</w:t>
      </w:r>
      <w:r w:rsidR="00906C91">
        <w:rPr>
          <w:sz w:val="28"/>
          <w:szCs w:val="28"/>
        </w:rPr>
        <w:t>, located</w:t>
      </w:r>
      <w:r w:rsidRPr="000E245A">
        <w:rPr>
          <w:sz w:val="28"/>
          <w:szCs w:val="28"/>
        </w:rPr>
        <w:t xml:space="preserve"> in La Paz County, 20 evictions were filed in 2013</w:t>
      </w:r>
      <w:r w:rsidR="00CA6F70">
        <w:rPr>
          <w:sz w:val="28"/>
          <w:szCs w:val="28"/>
        </w:rPr>
        <w:t>,</w:t>
      </w:r>
      <w:r w:rsidR="00CA6F70" w:rsidRPr="000E245A">
        <w:rPr>
          <w:sz w:val="28"/>
          <w:szCs w:val="28"/>
        </w:rPr>
        <w:t xml:space="preserve"> none</w:t>
      </w:r>
      <w:r w:rsidRPr="000E245A">
        <w:rPr>
          <w:sz w:val="28"/>
          <w:szCs w:val="28"/>
        </w:rPr>
        <w:t xml:space="preserve"> </w:t>
      </w:r>
      <w:r w:rsidR="00906C91">
        <w:rPr>
          <w:sz w:val="28"/>
          <w:szCs w:val="28"/>
        </w:rPr>
        <w:t>of which proceeded</w:t>
      </w:r>
      <w:r w:rsidRPr="000E245A">
        <w:rPr>
          <w:sz w:val="28"/>
          <w:szCs w:val="28"/>
        </w:rPr>
        <w:t xml:space="preserve"> to trial.  </w:t>
      </w:r>
      <w:r w:rsidRPr="00C76353">
        <w:rPr>
          <w:color w:val="0070C0"/>
          <w:sz w:val="28"/>
          <w:szCs w:val="28"/>
          <w:u w:val="single"/>
        </w:rPr>
        <w:t>http</w:t>
      </w:r>
      <w:r w:rsidR="00C76353" w:rsidRPr="00C76353">
        <w:rPr>
          <w:color w:val="0070C0"/>
          <w:sz w:val="28"/>
          <w:szCs w:val="28"/>
          <w:u w:val="single"/>
        </w:rPr>
        <w:t>://www.azcourts.gov/Portals/39/</w:t>
      </w:r>
      <w:r w:rsidRPr="00C76353">
        <w:rPr>
          <w:color w:val="0070C0"/>
          <w:sz w:val="28"/>
          <w:szCs w:val="28"/>
          <w:u w:val="single"/>
        </w:rPr>
        <w:t>2014DR/JPLaPaz.pdf#page=5</w:t>
      </w:r>
      <w:r w:rsidRPr="000E245A">
        <w:rPr>
          <w:sz w:val="28"/>
          <w:szCs w:val="28"/>
        </w:rPr>
        <w:t>. In Lake Havasu Justice Court in Mohave County, 172 evictions</w:t>
      </w:r>
      <w:r w:rsidR="00906C91">
        <w:rPr>
          <w:sz w:val="28"/>
          <w:szCs w:val="28"/>
        </w:rPr>
        <w:t xml:space="preserve"> actions</w:t>
      </w:r>
      <w:r w:rsidRPr="000E245A">
        <w:rPr>
          <w:sz w:val="28"/>
          <w:szCs w:val="28"/>
        </w:rPr>
        <w:t xml:space="preserve"> were filed in 2014</w:t>
      </w:r>
      <w:r w:rsidR="00906C91">
        <w:rPr>
          <w:sz w:val="28"/>
          <w:szCs w:val="28"/>
        </w:rPr>
        <w:t>,</w:t>
      </w:r>
      <w:r w:rsidRPr="000E245A">
        <w:rPr>
          <w:sz w:val="28"/>
          <w:szCs w:val="28"/>
        </w:rPr>
        <w:t xml:space="preserve"> and none </w:t>
      </w:r>
      <w:r w:rsidR="00906C91">
        <w:rPr>
          <w:sz w:val="28"/>
          <w:szCs w:val="28"/>
        </w:rPr>
        <w:t>of these cases proceeded</w:t>
      </w:r>
      <w:r w:rsidR="00C76353">
        <w:rPr>
          <w:sz w:val="28"/>
          <w:szCs w:val="28"/>
        </w:rPr>
        <w:t xml:space="preserve"> to trial. </w:t>
      </w:r>
      <w:r w:rsidRPr="00C76353">
        <w:rPr>
          <w:color w:val="0070C0"/>
          <w:sz w:val="28"/>
          <w:szCs w:val="28"/>
          <w:u w:val="single"/>
        </w:rPr>
        <w:t>http://www.azcourts.gov/Portals/ 39/2014DR/JPMohave.pdf</w:t>
      </w:r>
      <w:r w:rsidRPr="000E245A">
        <w:rPr>
          <w:sz w:val="28"/>
          <w:szCs w:val="28"/>
        </w:rPr>
        <w:t xml:space="preserve">. Finally, in Pinetop/Lakeside Justice Court in Navajo County, 52 evictions were filed </w:t>
      </w:r>
      <w:r w:rsidR="00CA6F70">
        <w:rPr>
          <w:sz w:val="28"/>
          <w:szCs w:val="28"/>
        </w:rPr>
        <w:t xml:space="preserve">between </w:t>
      </w:r>
      <w:r w:rsidR="00CA6F70" w:rsidRPr="000E245A">
        <w:rPr>
          <w:sz w:val="28"/>
          <w:szCs w:val="28"/>
        </w:rPr>
        <w:t>2013</w:t>
      </w:r>
      <w:r w:rsidRPr="000E245A">
        <w:rPr>
          <w:sz w:val="28"/>
          <w:szCs w:val="28"/>
        </w:rPr>
        <w:t xml:space="preserve"> and 2014</w:t>
      </w:r>
      <w:r w:rsidR="00906C91">
        <w:rPr>
          <w:sz w:val="28"/>
          <w:szCs w:val="28"/>
        </w:rPr>
        <w:t>,</w:t>
      </w:r>
      <w:r w:rsidRPr="000E245A">
        <w:rPr>
          <w:sz w:val="28"/>
          <w:szCs w:val="28"/>
        </w:rPr>
        <w:t xml:space="preserve"> and none </w:t>
      </w:r>
      <w:r w:rsidR="00906C91">
        <w:rPr>
          <w:sz w:val="28"/>
          <w:szCs w:val="28"/>
        </w:rPr>
        <w:t>proceeded</w:t>
      </w:r>
      <w:r w:rsidRPr="000E245A">
        <w:rPr>
          <w:sz w:val="28"/>
          <w:szCs w:val="28"/>
        </w:rPr>
        <w:t xml:space="preserve"> to trial.  </w:t>
      </w:r>
      <w:r w:rsidRPr="00C76353">
        <w:rPr>
          <w:color w:val="0070C0"/>
          <w:sz w:val="28"/>
          <w:szCs w:val="28"/>
          <w:u w:val="single"/>
        </w:rPr>
        <w:t>http://www.azcourts. gov/Portals/39/2014DR/JPNavajo.pdf#page=7</w:t>
      </w:r>
      <w:r w:rsidRPr="000E245A">
        <w:rPr>
          <w:sz w:val="28"/>
          <w:szCs w:val="28"/>
        </w:rPr>
        <w:t xml:space="preserve">.  </w:t>
      </w:r>
    </w:p>
    <w:p w14:paraId="5BE991E0" w14:textId="0295173F" w:rsidR="00044436" w:rsidRDefault="000E245A" w:rsidP="00CA6F70">
      <w:pPr>
        <w:pStyle w:val="FootnoteText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0E245A">
        <w:rPr>
          <w:sz w:val="28"/>
          <w:szCs w:val="28"/>
        </w:rPr>
        <w:t>While the number of eviction</w:t>
      </w:r>
      <w:r w:rsidR="00E246E5">
        <w:rPr>
          <w:sz w:val="28"/>
          <w:szCs w:val="28"/>
        </w:rPr>
        <w:t xml:space="preserve"> cases</w:t>
      </w:r>
      <w:r w:rsidRPr="000E245A">
        <w:rPr>
          <w:sz w:val="28"/>
          <w:szCs w:val="28"/>
        </w:rPr>
        <w:t xml:space="preserve"> filed in urban </w:t>
      </w:r>
      <w:r w:rsidR="00E246E5">
        <w:rPr>
          <w:sz w:val="28"/>
          <w:szCs w:val="28"/>
        </w:rPr>
        <w:t xml:space="preserve">justice </w:t>
      </w:r>
      <w:r w:rsidRPr="000E245A">
        <w:rPr>
          <w:sz w:val="28"/>
          <w:szCs w:val="28"/>
        </w:rPr>
        <w:t>courts may be higher,</w:t>
      </w:r>
      <w:r w:rsidR="00E246E5">
        <w:rPr>
          <w:sz w:val="28"/>
          <w:szCs w:val="28"/>
        </w:rPr>
        <w:t xml:space="preserve"> a rule granting a right to a change of judge is not anticipated to signif</w:t>
      </w:r>
      <w:r w:rsidR="00AE3206">
        <w:rPr>
          <w:sz w:val="28"/>
          <w:szCs w:val="28"/>
        </w:rPr>
        <w:t>ic</w:t>
      </w:r>
      <w:r w:rsidR="00E246E5">
        <w:rPr>
          <w:sz w:val="28"/>
          <w:szCs w:val="28"/>
        </w:rPr>
        <w:t>antly impact the court’s administration</w:t>
      </w:r>
      <w:r w:rsidRPr="000E245A">
        <w:rPr>
          <w:sz w:val="28"/>
          <w:szCs w:val="28"/>
        </w:rPr>
        <w:t xml:space="preserve"> given the large number of default judgments in eviction cases.  </w:t>
      </w:r>
      <w:r w:rsidR="00414F41">
        <w:rPr>
          <w:sz w:val="28"/>
          <w:szCs w:val="28"/>
        </w:rPr>
        <w:t xml:space="preserve"> To the extent this Court is concerned about the proposed Rule 9(c) over-burdening </w:t>
      </w:r>
      <w:r w:rsidR="00CC4B1E">
        <w:rPr>
          <w:sz w:val="28"/>
          <w:szCs w:val="28"/>
        </w:rPr>
        <w:t xml:space="preserve">the justice courts, </w:t>
      </w:r>
      <w:r w:rsidR="00CA6F70">
        <w:rPr>
          <w:sz w:val="28"/>
          <w:szCs w:val="28"/>
        </w:rPr>
        <w:t xml:space="preserve">the State Bar </w:t>
      </w:r>
      <w:r w:rsidR="00CC4B1E">
        <w:rPr>
          <w:sz w:val="28"/>
          <w:szCs w:val="28"/>
        </w:rPr>
        <w:t>respectfully requests</w:t>
      </w:r>
      <w:r w:rsidRPr="000E245A">
        <w:rPr>
          <w:sz w:val="28"/>
          <w:szCs w:val="28"/>
        </w:rPr>
        <w:t xml:space="preserve"> a one-year </w:t>
      </w:r>
      <w:r w:rsidR="004C6451">
        <w:rPr>
          <w:sz w:val="28"/>
          <w:szCs w:val="28"/>
        </w:rPr>
        <w:t>provisional rule-term that could be extended if the concerns expressed by the LJC do not come to fruition, as antic</w:t>
      </w:r>
      <w:r w:rsidR="00AE3206">
        <w:rPr>
          <w:sz w:val="28"/>
          <w:szCs w:val="28"/>
        </w:rPr>
        <w:t>i</w:t>
      </w:r>
      <w:r w:rsidR="00CA6F70">
        <w:rPr>
          <w:sz w:val="28"/>
          <w:szCs w:val="28"/>
        </w:rPr>
        <w:t>pated by the State Bar</w:t>
      </w:r>
      <w:r w:rsidRPr="000E245A">
        <w:rPr>
          <w:sz w:val="28"/>
          <w:szCs w:val="28"/>
        </w:rPr>
        <w:t>.  If the rule change is promulgated on a one year basis, this will give the LJC sufficient time to document any actual widespread administrative issues.  If such evidence is pro</w:t>
      </w:r>
      <w:r w:rsidR="004C6451">
        <w:rPr>
          <w:sz w:val="28"/>
          <w:szCs w:val="28"/>
        </w:rPr>
        <w:t>cured</w:t>
      </w:r>
      <w:r w:rsidRPr="000E245A">
        <w:rPr>
          <w:sz w:val="28"/>
          <w:szCs w:val="28"/>
        </w:rPr>
        <w:t>, the</w:t>
      </w:r>
      <w:r w:rsidR="004C6451">
        <w:rPr>
          <w:sz w:val="28"/>
          <w:szCs w:val="28"/>
        </w:rPr>
        <w:t xml:space="preserve"> Court would have the opportunity to revisit the propr</w:t>
      </w:r>
      <w:r w:rsidR="00CA6F70">
        <w:rPr>
          <w:sz w:val="28"/>
          <w:szCs w:val="28"/>
        </w:rPr>
        <w:t>iety of this proposed new rule.</w:t>
      </w:r>
    </w:p>
    <w:p w14:paraId="593E2604" w14:textId="451D1C88" w:rsidR="000E245A" w:rsidRPr="000E245A" w:rsidRDefault="00044436" w:rsidP="00CA6F70">
      <w:pPr>
        <w:pStyle w:val="BodyText"/>
        <w:spacing w:line="480" w:lineRule="auto"/>
        <w:jc w:val="both"/>
        <w:rPr>
          <w:rFonts w:cs="Arial"/>
          <w:b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Arizona has a statute that addresses </w:t>
      </w:r>
      <w:r w:rsidRPr="000E245A">
        <w:rPr>
          <w:sz w:val="28"/>
          <w:szCs w:val="28"/>
        </w:rPr>
        <w:t>change of venue requests</w:t>
      </w:r>
      <w:r>
        <w:rPr>
          <w:sz w:val="28"/>
          <w:szCs w:val="28"/>
        </w:rPr>
        <w:t xml:space="preserve"> in justice courts</w:t>
      </w:r>
      <w:r w:rsidR="00983934">
        <w:rPr>
          <w:sz w:val="28"/>
          <w:szCs w:val="28"/>
        </w:rPr>
        <w:t>, and</w:t>
      </w:r>
      <w:r>
        <w:rPr>
          <w:sz w:val="28"/>
          <w:szCs w:val="28"/>
        </w:rPr>
        <w:t xml:space="preserve"> provides the timeframe in which</w:t>
      </w:r>
      <w:r w:rsidR="00937F55">
        <w:rPr>
          <w:sz w:val="28"/>
          <w:szCs w:val="28"/>
        </w:rPr>
        <w:t xml:space="preserve"> the parties must</w:t>
      </w:r>
      <w:r>
        <w:rPr>
          <w:sz w:val="28"/>
          <w:szCs w:val="28"/>
        </w:rPr>
        <w:t xml:space="preserve"> appear before the new justice pursuant to the order of transfer.</w:t>
      </w:r>
      <w:r w:rsidR="00CA6F70"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 xml:space="preserve">  </w:t>
      </w:r>
      <w:r w:rsidRPr="000E245A">
        <w:rPr>
          <w:sz w:val="28"/>
          <w:szCs w:val="28"/>
        </w:rPr>
        <w:t xml:space="preserve"> </w:t>
      </w:r>
    </w:p>
    <w:p w14:paraId="40455AB1" w14:textId="11EBBD51" w:rsidR="000E245A" w:rsidRPr="000E245A" w:rsidRDefault="00CA6F70" w:rsidP="000E245A">
      <w:pPr>
        <w:pStyle w:val="BodyText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1A25">
        <w:rPr>
          <w:sz w:val="28"/>
          <w:szCs w:val="28"/>
        </w:rPr>
        <w:t>Just as the time requirements for change of venue orders have proven to be attainable, the State Bar believes that request</w:t>
      </w:r>
      <w:r w:rsidR="004F35FF">
        <w:rPr>
          <w:sz w:val="28"/>
          <w:szCs w:val="28"/>
        </w:rPr>
        <w:t>s</w:t>
      </w:r>
      <w:r w:rsidR="00C81A25">
        <w:rPr>
          <w:sz w:val="28"/>
          <w:szCs w:val="28"/>
        </w:rPr>
        <w:t xml:space="preserve"> for change of judges can be attained in a similar, timely manner under proposed Rule 9(c). </w:t>
      </w:r>
    </w:p>
    <w:p w14:paraId="3FB52014" w14:textId="0C4E3AA4" w:rsidR="000E245A" w:rsidRPr="000E245A" w:rsidRDefault="000E245A" w:rsidP="000E245A">
      <w:pPr>
        <w:pStyle w:val="BodyText"/>
        <w:spacing w:line="480" w:lineRule="auto"/>
        <w:jc w:val="both"/>
        <w:rPr>
          <w:sz w:val="28"/>
          <w:szCs w:val="28"/>
        </w:rPr>
      </w:pPr>
      <w:r w:rsidRPr="000E245A">
        <w:rPr>
          <w:sz w:val="28"/>
          <w:szCs w:val="28"/>
        </w:rPr>
        <w:tab/>
        <w:t>The LJC also claims the amendment is no</w:t>
      </w:r>
      <w:r w:rsidR="00C76353">
        <w:rPr>
          <w:sz w:val="28"/>
          <w:szCs w:val="28"/>
        </w:rPr>
        <w:t>t prudent.</w:t>
      </w:r>
      <w:r w:rsidRPr="000E245A">
        <w:rPr>
          <w:sz w:val="28"/>
          <w:szCs w:val="28"/>
        </w:rPr>
        <w:t xml:space="preserve">  The LJC cites to the Arizona Judicial Council resolution standard and claims it will not be pos</w:t>
      </w:r>
      <w:r w:rsidR="00C76353">
        <w:rPr>
          <w:sz w:val="28"/>
          <w:szCs w:val="28"/>
        </w:rPr>
        <w:t>sible to meet this standard in isolated rural courts and most likely</w:t>
      </w:r>
      <w:r w:rsidRPr="000E245A">
        <w:rPr>
          <w:sz w:val="28"/>
          <w:szCs w:val="28"/>
        </w:rPr>
        <w:t xml:space="preserve"> in stand-alone urban courts.  The LJC </w:t>
      </w:r>
      <w:r w:rsidR="00703E7D">
        <w:rPr>
          <w:sz w:val="28"/>
          <w:szCs w:val="28"/>
        </w:rPr>
        <w:t>has not provided data in support of this assertion.</w:t>
      </w:r>
      <w:r w:rsidRPr="000E245A">
        <w:rPr>
          <w:sz w:val="28"/>
          <w:szCs w:val="28"/>
        </w:rPr>
        <w:t xml:space="preserve"> </w:t>
      </w:r>
      <w:r w:rsidR="00703E7D">
        <w:rPr>
          <w:sz w:val="28"/>
          <w:szCs w:val="28"/>
        </w:rPr>
        <w:t xml:space="preserve">If this Court </w:t>
      </w:r>
      <w:r w:rsidR="00C76353">
        <w:rPr>
          <w:sz w:val="28"/>
          <w:szCs w:val="28"/>
        </w:rPr>
        <w:t>is inclined to promulgate this r</w:t>
      </w:r>
      <w:r w:rsidR="00703E7D">
        <w:rPr>
          <w:sz w:val="28"/>
          <w:szCs w:val="28"/>
        </w:rPr>
        <w:t xml:space="preserve">ule on a one-year provisional basis, </w:t>
      </w:r>
      <w:r w:rsidRPr="000E245A">
        <w:rPr>
          <w:sz w:val="28"/>
          <w:szCs w:val="28"/>
        </w:rPr>
        <w:t>the one</w:t>
      </w:r>
      <w:r w:rsidR="00703E7D">
        <w:rPr>
          <w:sz w:val="28"/>
          <w:szCs w:val="28"/>
        </w:rPr>
        <w:t xml:space="preserve"> </w:t>
      </w:r>
      <w:r w:rsidR="00CA6F70" w:rsidRPr="000E245A">
        <w:rPr>
          <w:sz w:val="28"/>
          <w:szCs w:val="28"/>
        </w:rPr>
        <w:t>year will</w:t>
      </w:r>
      <w:r w:rsidRPr="000E245A">
        <w:rPr>
          <w:sz w:val="28"/>
          <w:szCs w:val="28"/>
        </w:rPr>
        <w:t xml:space="preserve"> give the justice courts time to provide this data</w:t>
      </w:r>
      <w:r w:rsidR="00703E7D">
        <w:rPr>
          <w:sz w:val="28"/>
          <w:szCs w:val="28"/>
        </w:rPr>
        <w:t xml:space="preserve">, if it in fact supports the LCJ’s </w:t>
      </w:r>
      <w:r w:rsidR="00C76353">
        <w:rPr>
          <w:sz w:val="28"/>
          <w:szCs w:val="28"/>
        </w:rPr>
        <w:t>concerns</w:t>
      </w:r>
      <w:r w:rsidRPr="000E245A">
        <w:rPr>
          <w:sz w:val="28"/>
          <w:szCs w:val="28"/>
        </w:rPr>
        <w:t xml:space="preserve">. </w:t>
      </w:r>
      <w:r w:rsidR="00FB60B2">
        <w:rPr>
          <w:sz w:val="28"/>
          <w:szCs w:val="28"/>
        </w:rPr>
        <w:t>A</w:t>
      </w:r>
      <w:r w:rsidRPr="000E245A">
        <w:rPr>
          <w:sz w:val="28"/>
          <w:szCs w:val="28"/>
        </w:rPr>
        <w:t>s</w:t>
      </w:r>
      <w:r>
        <w:rPr>
          <w:sz w:val="28"/>
          <w:szCs w:val="28"/>
        </w:rPr>
        <w:t xml:space="preserve"> explained in the P</w:t>
      </w:r>
      <w:r w:rsidRPr="000E245A">
        <w:rPr>
          <w:sz w:val="28"/>
          <w:szCs w:val="28"/>
        </w:rPr>
        <w:t xml:space="preserve">etition, the case processing standards are intended to provide the courts with a framework for the development and testing of case </w:t>
      </w:r>
      <w:r w:rsidRPr="000E245A">
        <w:rPr>
          <w:sz w:val="28"/>
          <w:szCs w:val="28"/>
        </w:rPr>
        <w:lastRenderedPageBreak/>
        <w:t>management reports and are intended to compl</w:t>
      </w:r>
      <w:r w:rsidR="00F5199F">
        <w:rPr>
          <w:sz w:val="28"/>
          <w:szCs w:val="28"/>
        </w:rPr>
        <w:t>e</w:t>
      </w:r>
      <w:r w:rsidRPr="000E245A">
        <w:rPr>
          <w:sz w:val="28"/>
          <w:szCs w:val="28"/>
        </w:rPr>
        <w:t>ment, not supplant</w:t>
      </w:r>
      <w:r w:rsidR="00F5199F">
        <w:rPr>
          <w:sz w:val="28"/>
          <w:szCs w:val="28"/>
        </w:rPr>
        <w:t>,</w:t>
      </w:r>
      <w:r w:rsidRPr="000E245A">
        <w:rPr>
          <w:sz w:val="28"/>
          <w:szCs w:val="28"/>
        </w:rPr>
        <w:t xml:space="preserve"> due process considerations.  These standards are not set in stone, </w:t>
      </w:r>
      <w:r w:rsidR="00701A8F">
        <w:rPr>
          <w:sz w:val="28"/>
          <w:szCs w:val="28"/>
        </w:rPr>
        <w:t xml:space="preserve">but </w:t>
      </w:r>
      <w:r w:rsidRPr="000E245A">
        <w:rPr>
          <w:sz w:val="28"/>
          <w:szCs w:val="28"/>
        </w:rPr>
        <w:t>should be able to accommodate the change of judge requests</w:t>
      </w:r>
      <w:r w:rsidR="00F5199F">
        <w:rPr>
          <w:sz w:val="28"/>
          <w:szCs w:val="28"/>
        </w:rPr>
        <w:t>,</w:t>
      </w:r>
      <w:r w:rsidRPr="000E245A">
        <w:rPr>
          <w:sz w:val="28"/>
          <w:szCs w:val="28"/>
        </w:rPr>
        <w:t xml:space="preserve"> and can be tweaked if necessary. The one</w:t>
      </w:r>
      <w:r w:rsidR="00F5199F">
        <w:rPr>
          <w:sz w:val="28"/>
          <w:szCs w:val="28"/>
        </w:rPr>
        <w:t>-</w:t>
      </w:r>
      <w:r w:rsidRPr="000E245A">
        <w:rPr>
          <w:sz w:val="28"/>
          <w:szCs w:val="28"/>
        </w:rPr>
        <w:t xml:space="preserve">year limit will provide everyone an opportunity to see what effect, if any, the change of judge rule has on processing standards and judicial administration.  </w:t>
      </w:r>
    </w:p>
    <w:p w14:paraId="65694ECD" w14:textId="6C3E4317" w:rsidR="000E245A" w:rsidRPr="000E245A" w:rsidRDefault="000E245A" w:rsidP="000E245A">
      <w:pPr>
        <w:pStyle w:val="BodyText"/>
        <w:spacing w:line="480" w:lineRule="auto"/>
        <w:jc w:val="both"/>
        <w:rPr>
          <w:sz w:val="28"/>
          <w:szCs w:val="28"/>
        </w:rPr>
      </w:pPr>
      <w:r w:rsidRPr="000E245A">
        <w:rPr>
          <w:sz w:val="28"/>
          <w:szCs w:val="28"/>
        </w:rPr>
        <w:tab/>
      </w:r>
      <w:r w:rsidR="00862FBE">
        <w:rPr>
          <w:sz w:val="28"/>
          <w:szCs w:val="28"/>
        </w:rPr>
        <w:t>The</w:t>
      </w:r>
      <w:r w:rsidR="00C76353">
        <w:rPr>
          <w:sz w:val="28"/>
          <w:szCs w:val="28"/>
        </w:rPr>
        <w:t xml:space="preserve"> LJC claims the amendment will likely</w:t>
      </w:r>
      <w:r w:rsidRPr="000E245A">
        <w:rPr>
          <w:sz w:val="28"/>
          <w:szCs w:val="28"/>
        </w:rPr>
        <w:t xml:space="preserve"> have an adverse impact on tenants.  The LJC claims that tenants are unrepresented 99% of the time</w:t>
      </w:r>
      <w:r w:rsidR="00CA6F70">
        <w:rPr>
          <w:sz w:val="28"/>
          <w:szCs w:val="28"/>
        </w:rPr>
        <w:t>,</w:t>
      </w:r>
      <w:r w:rsidR="00CA6F70" w:rsidRPr="000E245A">
        <w:rPr>
          <w:sz w:val="28"/>
          <w:szCs w:val="28"/>
        </w:rPr>
        <w:t xml:space="preserve"> will</w:t>
      </w:r>
      <w:r w:rsidRPr="000E245A">
        <w:rPr>
          <w:sz w:val="28"/>
          <w:szCs w:val="28"/>
        </w:rPr>
        <w:t xml:space="preserve"> not know about this rule, </w:t>
      </w:r>
      <w:r w:rsidR="00CA6F70">
        <w:rPr>
          <w:sz w:val="28"/>
          <w:szCs w:val="28"/>
        </w:rPr>
        <w:t xml:space="preserve">or </w:t>
      </w:r>
      <w:r w:rsidR="00CA6F70" w:rsidRPr="000E245A">
        <w:rPr>
          <w:sz w:val="28"/>
          <w:szCs w:val="28"/>
        </w:rPr>
        <w:t>would</w:t>
      </w:r>
      <w:r w:rsidR="00C76353">
        <w:rPr>
          <w:sz w:val="28"/>
          <w:szCs w:val="28"/>
        </w:rPr>
        <w:t xml:space="preserve"> not have the knowledge and sophistication</w:t>
      </w:r>
      <w:r w:rsidRPr="000E245A">
        <w:rPr>
          <w:sz w:val="28"/>
          <w:szCs w:val="28"/>
        </w:rPr>
        <w:t xml:space="preserve"> to use i</w:t>
      </w:r>
      <w:r>
        <w:rPr>
          <w:sz w:val="28"/>
          <w:szCs w:val="28"/>
        </w:rPr>
        <w:t>t.  The State Bar</w:t>
      </w:r>
      <w:r w:rsidRPr="000E245A">
        <w:rPr>
          <w:sz w:val="28"/>
          <w:szCs w:val="28"/>
        </w:rPr>
        <w:t xml:space="preserve"> knows of no other situation where such a claim is considered a valid reason to not promulgate a procedural rule.  Certainly it was not a valid reason to not have change of judge provisions in Rule 42 of the Rules of Civil Procedure or Rule 133 of the Justice Court Rules of Procedure.   </w:t>
      </w:r>
      <w:r w:rsidR="00701A8F">
        <w:rPr>
          <w:sz w:val="28"/>
          <w:szCs w:val="28"/>
        </w:rPr>
        <w:t>Proposed Rule 9(c)</w:t>
      </w:r>
      <w:r w:rsidRPr="000E245A">
        <w:rPr>
          <w:sz w:val="28"/>
          <w:szCs w:val="28"/>
        </w:rPr>
        <w:t xml:space="preserve"> brings parity to eviction cases heard in justice court</w:t>
      </w:r>
      <w:r w:rsidR="00701A8F">
        <w:rPr>
          <w:sz w:val="28"/>
          <w:szCs w:val="28"/>
        </w:rPr>
        <w:t>s</w:t>
      </w:r>
      <w:r w:rsidR="00C76353">
        <w:rPr>
          <w:sz w:val="28"/>
          <w:szCs w:val="28"/>
        </w:rPr>
        <w:t xml:space="preserve"> with</w:t>
      </w:r>
      <w:r w:rsidR="00CA6F70" w:rsidRPr="000E245A">
        <w:rPr>
          <w:sz w:val="28"/>
          <w:szCs w:val="28"/>
        </w:rPr>
        <w:t xml:space="preserve"> eviction</w:t>
      </w:r>
      <w:r w:rsidR="00701A8F">
        <w:rPr>
          <w:sz w:val="28"/>
          <w:szCs w:val="28"/>
        </w:rPr>
        <w:t xml:space="preserve"> cases before </w:t>
      </w:r>
      <w:r w:rsidRPr="000E245A">
        <w:rPr>
          <w:sz w:val="28"/>
          <w:szCs w:val="28"/>
        </w:rPr>
        <w:t>superior court</w:t>
      </w:r>
      <w:r w:rsidR="00701A8F">
        <w:rPr>
          <w:sz w:val="28"/>
          <w:szCs w:val="28"/>
        </w:rPr>
        <w:t>s</w:t>
      </w:r>
      <w:r w:rsidR="00C76353">
        <w:rPr>
          <w:sz w:val="28"/>
          <w:szCs w:val="28"/>
        </w:rPr>
        <w:t>, and other civil cases</w:t>
      </w:r>
      <w:r w:rsidR="00701A8F">
        <w:rPr>
          <w:sz w:val="28"/>
          <w:szCs w:val="28"/>
        </w:rPr>
        <w:t>.</w:t>
      </w:r>
      <w:r w:rsidRPr="000E245A">
        <w:rPr>
          <w:sz w:val="28"/>
          <w:szCs w:val="28"/>
        </w:rPr>
        <w:t xml:space="preserve"> </w:t>
      </w:r>
    </w:p>
    <w:p w14:paraId="1400FC05" w14:textId="506A3B41" w:rsidR="000E245A" w:rsidRPr="000E245A" w:rsidRDefault="00B868B3" w:rsidP="000E245A">
      <w:pPr>
        <w:pStyle w:val="BodyText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Finally, the LJC’s </w:t>
      </w:r>
      <w:r w:rsidR="00862FBE">
        <w:rPr>
          <w:sz w:val="28"/>
          <w:szCs w:val="28"/>
        </w:rPr>
        <w:t>claim</w:t>
      </w:r>
      <w:bookmarkStart w:id="2" w:name="_GoBack"/>
      <w:bookmarkEnd w:id="2"/>
      <w:r w:rsidR="00CA6F70" w:rsidRPr="000E245A">
        <w:rPr>
          <w:sz w:val="28"/>
          <w:szCs w:val="28"/>
        </w:rPr>
        <w:t xml:space="preserve"> that</w:t>
      </w:r>
      <w:r w:rsidR="00233FA8">
        <w:rPr>
          <w:sz w:val="28"/>
          <w:szCs w:val="28"/>
        </w:rPr>
        <w:t xml:space="preserve"> </w:t>
      </w:r>
      <w:r w:rsidR="00CA6F70">
        <w:rPr>
          <w:sz w:val="28"/>
          <w:szCs w:val="28"/>
        </w:rPr>
        <w:t>neither</w:t>
      </w:r>
      <w:r w:rsidR="00CA6F70" w:rsidRPr="000E245A">
        <w:rPr>
          <w:sz w:val="28"/>
          <w:szCs w:val="28"/>
        </w:rPr>
        <w:t xml:space="preserve"> justice</w:t>
      </w:r>
      <w:r w:rsidR="00CA6F70">
        <w:rPr>
          <w:sz w:val="28"/>
          <w:szCs w:val="28"/>
        </w:rPr>
        <w:t>s</w:t>
      </w:r>
      <w:r w:rsidR="00CA6F70" w:rsidRPr="000E245A">
        <w:rPr>
          <w:sz w:val="28"/>
          <w:szCs w:val="28"/>
        </w:rPr>
        <w:t xml:space="preserve"> of the peace nor</w:t>
      </w:r>
      <w:r w:rsidR="000E245A" w:rsidRPr="000E245A">
        <w:rPr>
          <w:sz w:val="28"/>
          <w:szCs w:val="28"/>
        </w:rPr>
        <w:t xml:space="preserve"> landlord attorney</w:t>
      </w:r>
      <w:r w:rsidR="00233FA8">
        <w:rPr>
          <w:sz w:val="28"/>
          <w:szCs w:val="28"/>
        </w:rPr>
        <w:t>s</w:t>
      </w:r>
      <w:r w:rsidR="000E245A" w:rsidRPr="000E245A">
        <w:rPr>
          <w:sz w:val="28"/>
          <w:szCs w:val="28"/>
        </w:rPr>
        <w:t xml:space="preserve"> w</w:t>
      </w:r>
      <w:r w:rsidR="00233FA8">
        <w:rPr>
          <w:sz w:val="28"/>
          <w:szCs w:val="28"/>
        </w:rPr>
        <w:t>ere</w:t>
      </w:r>
      <w:r w:rsidR="000E245A" w:rsidRPr="000E245A">
        <w:rPr>
          <w:sz w:val="28"/>
          <w:szCs w:val="28"/>
        </w:rPr>
        <w:t xml:space="preserve"> consulted about th</w:t>
      </w:r>
      <w:r w:rsidR="00233FA8">
        <w:rPr>
          <w:sz w:val="28"/>
          <w:szCs w:val="28"/>
        </w:rPr>
        <w:t>e</w:t>
      </w:r>
      <w:r w:rsidR="000E245A" w:rsidRPr="000E245A">
        <w:rPr>
          <w:sz w:val="28"/>
          <w:szCs w:val="28"/>
        </w:rPr>
        <w:t xml:space="preserve"> </w:t>
      </w:r>
      <w:r w:rsidR="00233FA8">
        <w:rPr>
          <w:sz w:val="28"/>
          <w:szCs w:val="28"/>
        </w:rPr>
        <w:t xml:space="preserve">proposed </w:t>
      </w:r>
      <w:r w:rsidR="000E245A" w:rsidRPr="000E245A">
        <w:rPr>
          <w:sz w:val="28"/>
          <w:szCs w:val="28"/>
        </w:rPr>
        <w:t>rule change before the petition was filed</w:t>
      </w:r>
      <w:r w:rsidR="00233FA8">
        <w:rPr>
          <w:sz w:val="28"/>
          <w:szCs w:val="28"/>
        </w:rPr>
        <w:t xml:space="preserve"> is incorrect.</w:t>
      </w:r>
      <w:r w:rsidR="000E245A" w:rsidRPr="000E245A">
        <w:rPr>
          <w:sz w:val="28"/>
          <w:szCs w:val="28"/>
        </w:rPr>
        <w:t xml:space="preserve">  The LJC comments were submitted by Maricopa County Justice</w:t>
      </w:r>
      <w:r w:rsidR="00C76353">
        <w:rPr>
          <w:sz w:val="28"/>
          <w:szCs w:val="28"/>
        </w:rPr>
        <w:t xml:space="preserve"> of the Peace</w:t>
      </w:r>
      <w:r w:rsidR="000E245A" w:rsidRPr="000E245A">
        <w:rPr>
          <w:sz w:val="28"/>
          <w:szCs w:val="28"/>
        </w:rPr>
        <w:t xml:space="preserve"> Steven McMurry who attended the Board of Governors</w:t>
      </w:r>
      <w:r w:rsidR="000E245A">
        <w:rPr>
          <w:sz w:val="28"/>
          <w:szCs w:val="28"/>
        </w:rPr>
        <w:t>’</w:t>
      </w:r>
      <w:r w:rsidR="000E245A" w:rsidRPr="000E245A">
        <w:rPr>
          <w:sz w:val="28"/>
          <w:szCs w:val="28"/>
        </w:rPr>
        <w:t xml:space="preserve"> meeting where this</w:t>
      </w:r>
      <w:r w:rsidR="000E245A">
        <w:rPr>
          <w:sz w:val="28"/>
          <w:szCs w:val="28"/>
        </w:rPr>
        <w:t xml:space="preserve"> P</w:t>
      </w:r>
      <w:r w:rsidR="000E245A" w:rsidRPr="000E245A">
        <w:rPr>
          <w:sz w:val="28"/>
          <w:szCs w:val="28"/>
        </w:rPr>
        <w:t>etition was discussed and voted upon</w:t>
      </w:r>
      <w:r w:rsidR="00F5199F">
        <w:rPr>
          <w:sz w:val="28"/>
          <w:szCs w:val="28"/>
        </w:rPr>
        <w:t>; he</w:t>
      </w:r>
      <w:r w:rsidR="000E245A" w:rsidRPr="000E245A">
        <w:rPr>
          <w:sz w:val="28"/>
          <w:szCs w:val="28"/>
        </w:rPr>
        <w:t xml:space="preserve"> provided testimony </w:t>
      </w:r>
      <w:r w:rsidR="000E245A">
        <w:rPr>
          <w:sz w:val="28"/>
          <w:szCs w:val="28"/>
        </w:rPr>
        <w:t xml:space="preserve">in opposition to the </w:t>
      </w:r>
      <w:r w:rsidR="000E245A">
        <w:rPr>
          <w:sz w:val="28"/>
          <w:szCs w:val="28"/>
        </w:rPr>
        <w:lastRenderedPageBreak/>
        <w:t>P</w:t>
      </w:r>
      <w:r w:rsidR="000E245A" w:rsidRPr="000E245A">
        <w:rPr>
          <w:sz w:val="28"/>
          <w:szCs w:val="28"/>
        </w:rPr>
        <w:t xml:space="preserve">etition.  </w:t>
      </w:r>
      <w:r w:rsidR="001E4518">
        <w:rPr>
          <w:sz w:val="28"/>
          <w:szCs w:val="28"/>
        </w:rPr>
        <w:t>Additionally</w:t>
      </w:r>
      <w:r w:rsidR="000E245A" w:rsidRPr="000E245A">
        <w:rPr>
          <w:sz w:val="28"/>
          <w:szCs w:val="28"/>
        </w:rPr>
        <w:t>, Maricopa County Justice</w:t>
      </w:r>
      <w:r w:rsidR="00C76353">
        <w:rPr>
          <w:sz w:val="28"/>
          <w:szCs w:val="28"/>
        </w:rPr>
        <w:t xml:space="preserve"> of the Peace</w:t>
      </w:r>
      <w:r w:rsidR="000E245A" w:rsidRPr="000E245A">
        <w:rPr>
          <w:sz w:val="28"/>
          <w:szCs w:val="28"/>
        </w:rPr>
        <w:t xml:space="preserve"> Gerald Williams attended the State Bar Rules</w:t>
      </w:r>
      <w:r w:rsidR="000E245A">
        <w:rPr>
          <w:sz w:val="28"/>
          <w:szCs w:val="28"/>
        </w:rPr>
        <w:t xml:space="preserve"> Review</w:t>
      </w:r>
      <w:r w:rsidR="000E245A" w:rsidRPr="000E245A">
        <w:rPr>
          <w:sz w:val="28"/>
          <w:szCs w:val="28"/>
        </w:rPr>
        <w:t xml:space="preserve"> Committee meeting and provided testimony</w:t>
      </w:r>
      <w:r w:rsidR="00233FA8">
        <w:rPr>
          <w:sz w:val="28"/>
          <w:szCs w:val="28"/>
        </w:rPr>
        <w:t xml:space="preserve"> </w:t>
      </w:r>
      <w:r w:rsidR="00CA6F70">
        <w:rPr>
          <w:sz w:val="28"/>
          <w:szCs w:val="28"/>
        </w:rPr>
        <w:t>opposing</w:t>
      </w:r>
      <w:r w:rsidR="00CA6F70" w:rsidRPr="000E245A">
        <w:rPr>
          <w:sz w:val="28"/>
          <w:szCs w:val="28"/>
        </w:rPr>
        <w:t xml:space="preserve"> the</w:t>
      </w:r>
      <w:r w:rsidR="000E245A" w:rsidRPr="000E245A">
        <w:rPr>
          <w:sz w:val="28"/>
          <w:szCs w:val="28"/>
        </w:rPr>
        <w:t xml:space="preserve"> rule change and </w:t>
      </w:r>
      <w:r w:rsidR="00233FA8">
        <w:rPr>
          <w:sz w:val="28"/>
          <w:szCs w:val="28"/>
        </w:rPr>
        <w:t xml:space="preserve">also </w:t>
      </w:r>
      <w:r w:rsidR="000E245A" w:rsidRPr="000E245A">
        <w:rPr>
          <w:sz w:val="28"/>
          <w:szCs w:val="28"/>
        </w:rPr>
        <w:t xml:space="preserve">submitted a letter written by </w:t>
      </w:r>
      <w:r w:rsidR="00C76353">
        <w:rPr>
          <w:sz w:val="28"/>
          <w:szCs w:val="28"/>
        </w:rPr>
        <w:t>Judge</w:t>
      </w:r>
      <w:r w:rsidR="000E245A" w:rsidRPr="000E245A">
        <w:rPr>
          <w:sz w:val="28"/>
          <w:szCs w:val="28"/>
        </w:rPr>
        <w:t xml:space="preserve"> McMurry.   </w:t>
      </w:r>
    </w:p>
    <w:p w14:paraId="04D114BA" w14:textId="77777777" w:rsidR="000E245A" w:rsidRPr="000E245A" w:rsidRDefault="009D3DF3" w:rsidP="009D3DF3">
      <w:pPr>
        <w:pStyle w:val="BodyText"/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CONCLUSION</w:t>
      </w:r>
    </w:p>
    <w:p w14:paraId="0D06AA7E" w14:textId="3F603C52" w:rsidR="000F7A7F" w:rsidRPr="00C76353" w:rsidRDefault="000E245A" w:rsidP="00C76353">
      <w:pPr>
        <w:pStyle w:val="BodyText"/>
        <w:spacing w:line="480" w:lineRule="auto"/>
        <w:jc w:val="both"/>
        <w:rPr>
          <w:sz w:val="28"/>
          <w:szCs w:val="28"/>
        </w:rPr>
      </w:pPr>
      <w:r w:rsidRPr="000E245A">
        <w:rPr>
          <w:sz w:val="28"/>
          <w:szCs w:val="28"/>
        </w:rPr>
        <w:tab/>
        <w:t xml:space="preserve">For all these reasons, the State </w:t>
      </w:r>
      <w:r w:rsidR="00CA6F70" w:rsidRPr="000E245A">
        <w:rPr>
          <w:sz w:val="28"/>
          <w:szCs w:val="28"/>
        </w:rPr>
        <w:t xml:space="preserve">Bar </w:t>
      </w:r>
      <w:r w:rsidR="00CA6F70">
        <w:rPr>
          <w:sz w:val="28"/>
          <w:szCs w:val="28"/>
        </w:rPr>
        <w:t>respectfully</w:t>
      </w:r>
      <w:r w:rsidR="001E4518">
        <w:rPr>
          <w:sz w:val="28"/>
          <w:szCs w:val="28"/>
        </w:rPr>
        <w:t xml:space="preserve"> </w:t>
      </w:r>
      <w:r w:rsidRPr="000E245A">
        <w:rPr>
          <w:sz w:val="28"/>
          <w:szCs w:val="28"/>
        </w:rPr>
        <w:t>requests that the Court appr</w:t>
      </w:r>
      <w:r>
        <w:rPr>
          <w:sz w:val="28"/>
          <w:szCs w:val="28"/>
        </w:rPr>
        <w:t>ove the P</w:t>
      </w:r>
      <w:r w:rsidRPr="000E245A">
        <w:rPr>
          <w:sz w:val="28"/>
          <w:szCs w:val="28"/>
        </w:rPr>
        <w:t>etition</w:t>
      </w:r>
      <w:r w:rsidR="001E4518">
        <w:rPr>
          <w:sz w:val="28"/>
          <w:szCs w:val="28"/>
        </w:rPr>
        <w:t>; or in the alternative,</w:t>
      </w:r>
      <w:r w:rsidRPr="000E245A">
        <w:rPr>
          <w:sz w:val="28"/>
          <w:szCs w:val="28"/>
        </w:rPr>
        <w:t xml:space="preserve"> the Court limit the rule change to </w:t>
      </w:r>
      <w:r w:rsidR="001E4518">
        <w:rPr>
          <w:sz w:val="28"/>
          <w:szCs w:val="28"/>
        </w:rPr>
        <w:t xml:space="preserve">a </w:t>
      </w:r>
      <w:r w:rsidRPr="000E245A">
        <w:rPr>
          <w:sz w:val="28"/>
          <w:szCs w:val="28"/>
        </w:rPr>
        <w:t>one year</w:t>
      </w:r>
      <w:r w:rsidR="001E4518">
        <w:rPr>
          <w:sz w:val="28"/>
          <w:szCs w:val="28"/>
        </w:rPr>
        <w:t xml:space="preserve"> provisional term to</w:t>
      </w:r>
      <w:r w:rsidRPr="000E245A">
        <w:rPr>
          <w:sz w:val="28"/>
          <w:szCs w:val="28"/>
        </w:rPr>
        <w:t xml:space="preserve"> provide sufficient time for the justice courts to collect data on the number of change of judge requests and the effects, if any</w:t>
      </w:r>
      <w:r w:rsidR="00CA6F70" w:rsidRPr="000E245A">
        <w:rPr>
          <w:sz w:val="28"/>
          <w:szCs w:val="28"/>
        </w:rPr>
        <w:t>, on</w:t>
      </w:r>
      <w:r w:rsidRPr="000E245A">
        <w:rPr>
          <w:sz w:val="28"/>
          <w:szCs w:val="28"/>
        </w:rPr>
        <w:t xml:space="preserve"> judicial administration. </w:t>
      </w:r>
      <w:r w:rsidR="009504F7">
        <w:rPr>
          <w:sz w:val="28"/>
          <w:szCs w:val="28"/>
        </w:rPr>
        <w:t>Such a rule change will promote</w:t>
      </w:r>
      <w:r w:rsidRPr="000E245A">
        <w:rPr>
          <w:sz w:val="28"/>
          <w:szCs w:val="28"/>
        </w:rPr>
        <w:t xml:space="preserve"> fundamental fairness for litigants in eviction cases </w:t>
      </w:r>
      <w:r w:rsidR="009504F7">
        <w:rPr>
          <w:sz w:val="28"/>
          <w:szCs w:val="28"/>
        </w:rPr>
        <w:t xml:space="preserve">in furtherance of this Court’s stated </w:t>
      </w:r>
      <w:r w:rsidRPr="000E245A">
        <w:rPr>
          <w:sz w:val="28"/>
          <w:szCs w:val="28"/>
        </w:rPr>
        <w:t>access to justice</w:t>
      </w:r>
      <w:r w:rsidR="009504F7">
        <w:rPr>
          <w:sz w:val="28"/>
          <w:szCs w:val="28"/>
        </w:rPr>
        <w:t xml:space="preserve"> objectives.</w:t>
      </w:r>
      <w:r w:rsidRPr="000E245A">
        <w:rPr>
          <w:sz w:val="28"/>
          <w:szCs w:val="28"/>
        </w:rPr>
        <w:t xml:space="preserve">    </w:t>
      </w:r>
    </w:p>
    <w:p w14:paraId="53C76A0E" w14:textId="77777777" w:rsidR="000C48A9" w:rsidRPr="006F63FD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>RESPECTFULLY SUBMITTED this ____day of____________</w:t>
      </w:r>
      <w:r w:rsidR="000F7A7F" w:rsidRPr="006F63FD">
        <w:rPr>
          <w:sz w:val="28"/>
          <w:szCs w:val="28"/>
        </w:rPr>
        <w:t>______</w:t>
      </w:r>
      <w:r w:rsidR="00A93A7C">
        <w:rPr>
          <w:sz w:val="28"/>
          <w:szCs w:val="28"/>
        </w:rPr>
        <w:t>, 2016</w:t>
      </w:r>
      <w:r w:rsidR="000C48A9" w:rsidRPr="006F63FD">
        <w:rPr>
          <w:sz w:val="28"/>
          <w:szCs w:val="28"/>
        </w:rPr>
        <w:t>.</w:t>
      </w:r>
    </w:p>
    <w:p w14:paraId="243C8377" w14:textId="77777777"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408C20AE" w14:textId="77777777"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5ACE92BE" w14:textId="77777777"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41E07391" w14:textId="77777777" w:rsidR="000C48A9" w:rsidRPr="006F63FD" w:rsidRDefault="000C48A9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 xml:space="preserve">John </w:t>
      </w:r>
      <w:r w:rsidR="00A93A7C">
        <w:rPr>
          <w:sz w:val="28"/>
          <w:szCs w:val="28"/>
        </w:rPr>
        <w:t xml:space="preserve">A. </w:t>
      </w:r>
      <w:r w:rsidRPr="006F63FD">
        <w:rPr>
          <w:sz w:val="28"/>
          <w:szCs w:val="28"/>
        </w:rPr>
        <w:t>Furlong</w:t>
      </w:r>
    </w:p>
    <w:p w14:paraId="5ABE54C5" w14:textId="77777777"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52C6F443" w14:textId="77777777"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3595A15B" w14:textId="77777777"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485BF2EE" w14:textId="77777777" w:rsidR="00C52E56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14:paraId="6E9018A0" w14:textId="77777777"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290DAA3D" w14:textId="77777777"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14:paraId="0C48A03C" w14:textId="77777777" w:rsidR="000C48A9" w:rsidRPr="00C52E56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>his _____ day of ________________</w:t>
      </w:r>
      <w:r w:rsidR="006F63FD" w:rsidRPr="00C52E56">
        <w:rPr>
          <w:sz w:val="28"/>
          <w:szCs w:val="28"/>
        </w:rPr>
        <w:t xml:space="preserve">___, </w:t>
      </w:r>
      <w:r w:rsidR="00A93A7C">
        <w:rPr>
          <w:sz w:val="28"/>
          <w:szCs w:val="28"/>
        </w:rPr>
        <w:t>2016</w:t>
      </w:r>
      <w:r w:rsidR="000F7A7F" w:rsidRPr="00C52E56">
        <w:rPr>
          <w:sz w:val="28"/>
          <w:szCs w:val="28"/>
        </w:rPr>
        <w:t>.</w:t>
      </w:r>
    </w:p>
    <w:p w14:paraId="5937C881" w14:textId="77777777"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4056E4AD" w14:textId="69F6F64B" w:rsidR="00933EA1" w:rsidRPr="00C76353" w:rsidRDefault="000C48A9" w:rsidP="00C76353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>by: ___________________________</w:t>
      </w:r>
      <w:r w:rsidR="004331B2" w:rsidRPr="00C52E56">
        <w:rPr>
          <w:sz w:val="28"/>
          <w:szCs w:val="28"/>
        </w:rPr>
        <w:t>____</w:t>
      </w:r>
      <w:r w:rsidRPr="00C52E56">
        <w:rPr>
          <w:sz w:val="28"/>
          <w:szCs w:val="28"/>
        </w:rPr>
        <w:t xml:space="preserve"> </w:t>
      </w:r>
    </w:p>
    <w:p w14:paraId="608F86E7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12"/>
      <w:footerReference w:type="even" r:id="rId13"/>
      <w:footerReference w:type="default" r:id="rId14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4F07B" w14:textId="77777777" w:rsidR="00BB1AAD" w:rsidRDefault="00BB1AAD">
      <w:r>
        <w:separator/>
      </w:r>
    </w:p>
  </w:endnote>
  <w:endnote w:type="continuationSeparator" w:id="0">
    <w:p w14:paraId="11777F64" w14:textId="77777777" w:rsidR="00BB1AAD" w:rsidRDefault="00BB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D3D43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41605" w14:textId="77777777" w:rsidR="007870CB" w:rsidRDefault="007870CB" w:rsidP="00861563">
    <w:pPr>
      <w:pStyle w:val="Footer"/>
      <w:ind w:right="360"/>
    </w:pPr>
  </w:p>
  <w:p w14:paraId="13ADA020" w14:textId="77777777"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0D84656E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862FBE">
          <w:rPr>
            <w:noProof/>
            <w:sz w:val="26"/>
            <w:szCs w:val="26"/>
          </w:rPr>
          <w:t>7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2B33D8CC" w14:textId="77777777"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0E4DA" w14:textId="77777777" w:rsidR="00BB1AAD" w:rsidRDefault="00BB1AAD">
      <w:r>
        <w:separator/>
      </w:r>
    </w:p>
  </w:footnote>
  <w:footnote w:type="continuationSeparator" w:id="0">
    <w:p w14:paraId="65EA3327" w14:textId="77777777" w:rsidR="00BB1AAD" w:rsidRDefault="00BB1AAD">
      <w:r>
        <w:continuationSeparator/>
      </w:r>
    </w:p>
  </w:footnote>
  <w:footnote w:id="1">
    <w:p w14:paraId="086347B5" w14:textId="41800E99" w:rsidR="000E245A" w:rsidRPr="003E6622" w:rsidRDefault="000E245A" w:rsidP="000E245A">
      <w:pPr>
        <w:pStyle w:val="FootnoteText"/>
        <w:jc w:val="both"/>
        <w:rPr>
          <w:sz w:val="26"/>
        </w:rPr>
      </w:pPr>
      <w:r>
        <w:rPr>
          <w:rStyle w:val="FootnoteReference"/>
        </w:rPr>
        <w:footnoteRef/>
      </w:r>
      <w:r>
        <w:rPr>
          <w:sz w:val="26"/>
        </w:rPr>
        <w:t xml:space="preserve"> </w:t>
      </w:r>
      <w:r>
        <w:rPr>
          <w:sz w:val="26"/>
        </w:rPr>
        <w:tab/>
        <w:t xml:space="preserve">  </w:t>
      </w:r>
      <w:r w:rsidRPr="003E6622">
        <w:rPr>
          <w:sz w:val="26"/>
        </w:rPr>
        <w:t>The statistical reports lump all civil cases, including evict</w:t>
      </w:r>
      <w:r>
        <w:rPr>
          <w:sz w:val="26"/>
        </w:rPr>
        <w:t>i</w:t>
      </w:r>
      <w:r w:rsidRPr="003E6622">
        <w:rPr>
          <w:sz w:val="26"/>
        </w:rPr>
        <w:t>ons, into one category for trials.  Thus,</w:t>
      </w:r>
      <w:r w:rsidR="00146411">
        <w:rPr>
          <w:sz w:val="26"/>
        </w:rPr>
        <w:t xml:space="preserve"> it can be inferred that there were no trials for eviction mattters from the reports tha</w:t>
      </w:r>
      <w:r w:rsidR="007A14AA">
        <w:rPr>
          <w:sz w:val="26"/>
        </w:rPr>
        <w:t>t reflect no civil trials taking</w:t>
      </w:r>
      <w:r w:rsidR="00CA6F70">
        <w:rPr>
          <w:sz w:val="26"/>
        </w:rPr>
        <w:t xml:space="preserve"> place in this time period</w:t>
      </w:r>
      <w:r w:rsidRPr="003E6622">
        <w:rPr>
          <w:sz w:val="26"/>
        </w:rPr>
        <w:t xml:space="preserve">.   </w:t>
      </w:r>
    </w:p>
    <w:p w14:paraId="63C297C9" w14:textId="77777777" w:rsidR="000E245A" w:rsidRPr="00334426" w:rsidRDefault="000E245A" w:rsidP="000E245A">
      <w:pPr>
        <w:pStyle w:val="FootnoteText"/>
        <w:jc w:val="both"/>
        <w:rPr>
          <w:sz w:val="26"/>
        </w:rPr>
      </w:pPr>
    </w:p>
    <w:p w14:paraId="3B45DA3A" w14:textId="77777777" w:rsidR="000E245A" w:rsidRDefault="000E245A" w:rsidP="000E245A">
      <w:pPr>
        <w:pStyle w:val="FootnoteText"/>
        <w:jc w:val="both"/>
      </w:pPr>
    </w:p>
  </w:footnote>
  <w:footnote w:id="2">
    <w:p w14:paraId="78EE3BD8" w14:textId="77777777" w:rsidR="00CA6F70" w:rsidRPr="00C76353" w:rsidRDefault="00CA6F70" w:rsidP="00CA6F70">
      <w:pPr>
        <w:pStyle w:val="BodyText"/>
        <w:spacing w:line="240" w:lineRule="auto"/>
        <w:jc w:val="both"/>
        <w:rPr>
          <w:sz w:val="26"/>
          <w:szCs w:val="26"/>
        </w:rPr>
      </w:pPr>
      <w:r w:rsidRPr="00C76353">
        <w:rPr>
          <w:rStyle w:val="FootnoteReference"/>
          <w:sz w:val="26"/>
          <w:szCs w:val="26"/>
        </w:rPr>
        <w:footnoteRef/>
      </w:r>
      <w:r w:rsidRPr="00C76353">
        <w:rPr>
          <w:sz w:val="26"/>
          <w:szCs w:val="26"/>
        </w:rPr>
        <w:t xml:space="preserve"> Pursuant to A.R.S. § 22-205(B), when there is the transfer of a case for the disqualification of a justice:</w:t>
      </w:r>
    </w:p>
    <w:p w14:paraId="667AD935" w14:textId="05091EAC" w:rsidR="00CA6F70" w:rsidRPr="00C76353" w:rsidRDefault="00CA6F70" w:rsidP="00CA6F70">
      <w:pPr>
        <w:autoSpaceDE w:val="0"/>
        <w:autoSpaceDN w:val="0"/>
        <w:adjustRightInd w:val="0"/>
        <w:spacing w:before="120" w:after="180" w:line="240" w:lineRule="auto"/>
        <w:ind w:left="1440" w:right="1440"/>
        <w:jc w:val="both"/>
        <w:rPr>
          <w:rFonts w:cs="Arial"/>
          <w:b/>
          <w:sz w:val="26"/>
          <w:szCs w:val="26"/>
        </w:rPr>
      </w:pPr>
      <w:r w:rsidRPr="00C76353">
        <w:rPr>
          <w:rFonts w:cs="Arial"/>
          <w:sz w:val="26"/>
          <w:szCs w:val="26"/>
        </w:rPr>
        <w:t xml:space="preserve">B. </w:t>
      </w:r>
      <w:r w:rsidRPr="00C76353">
        <w:rPr>
          <w:rFonts w:cs="Arial"/>
          <w:b/>
          <w:sz w:val="26"/>
          <w:szCs w:val="26"/>
        </w:rPr>
        <w:t xml:space="preserve">The order of transfer </w:t>
      </w:r>
      <w:r w:rsidRPr="00C76353">
        <w:rPr>
          <w:rFonts w:cs="Arial"/>
          <w:sz w:val="26"/>
          <w:szCs w:val="26"/>
        </w:rPr>
        <w:t>shall state the reason for the transfer and the name of the justice court to which the transfer is made, and</w:t>
      </w:r>
      <w:r w:rsidRPr="00C76353">
        <w:rPr>
          <w:rFonts w:cs="Arial"/>
          <w:b/>
          <w:sz w:val="26"/>
          <w:szCs w:val="26"/>
        </w:rPr>
        <w:t xml:space="preserve"> shall require the parties and witnesses to appear before the justice court named in the order, not less than two nor more than five days after its date. </w:t>
      </w:r>
      <w:r w:rsidRPr="00C76353">
        <w:rPr>
          <w:rFonts w:cs="Arial"/>
          <w:sz w:val="26"/>
          <w:szCs w:val="26"/>
        </w:rPr>
        <w:t>(Emphasis added).</w:t>
      </w:r>
      <w:r w:rsidRPr="00C76353">
        <w:rPr>
          <w:rFonts w:cs="Arial"/>
          <w:b/>
          <w:sz w:val="26"/>
          <w:szCs w:val="26"/>
        </w:rPr>
        <w:t xml:space="preserve"> </w:t>
      </w:r>
    </w:p>
    <w:p w14:paraId="08DC5CE9" w14:textId="54270B6D" w:rsidR="00CA6F70" w:rsidRDefault="00CA6F7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4E612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70292F" wp14:editId="66E8AA5E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CBE21" wp14:editId="5D76B3A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D617CF" wp14:editId="095C1E65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7EAF06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6B307" wp14:editId="520EDF12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8E02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97B62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6D85570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F68424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4DC40B3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4F014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3958F1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243C514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9075C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A7DF58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D42578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52585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B8252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11910F7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050A071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CBDE6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C4749F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65EDA81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6956D4B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32A960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53CAF49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2C173C5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271F7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392AD7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BA72A0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1703F6A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44436"/>
    <w:rsid w:val="00052372"/>
    <w:rsid w:val="000666D1"/>
    <w:rsid w:val="000917C0"/>
    <w:rsid w:val="000A1D6B"/>
    <w:rsid w:val="000C48A9"/>
    <w:rsid w:val="000E245A"/>
    <w:rsid w:val="000F7A7F"/>
    <w:rsid w:val="000F7C13"/>
    <w:rsid w:val="00130701"/>
    <w:rsid w:val="00135326"/>
    <w:rsid w:val="00146411"/>
    <w:rsid w:val="001A2520"/>
    <w:rsid w:val="001E3401"/>
    <w:rsid w:val="001E4518"/>
    <w:rsid w:val="001F591C"/>
    <w:rsid w:val="00203093"/>
    <w:rsid w:val="00232D14"/>
    <w:rsid w:val="00233FA8"/>
    <w:rsid w:val="00274D6A"/>
    <w:rsid w:val="002930CA"/>
    <w:rsid w:val="002A224B"/>
    <w:rsid w:val="002B573F"/>
    <w:rsid w:val="002D0B5C"/>
    <w:rsid w:val="002F6C5A"/>
    <w:rsid w:val="00352347"/>
    <w:rsid w:val="003566D6"/>
    <w:rsid w:val="00357F4D"/>
    <w:rsid w:val="003617D1"/>
    <w:rsid w:val="00377199"/>
    <w:rsid w:val="003A28AC"/>
    <w:rsid w:val="003A5EDE"/>
    <w:rsid w:val="003F1762"/>
    <w:rsid w:val="00407E2D"/>
    <w:rsid w:val="00414F41"/>
    <w:rsid w:val="004331B2"/>
    <w:rsid w:val="00440E4C"/>
    <w:rsid w:val="00463734"/>
    <w:rsid w:val="00494BDF"/>
    <w:rsid w:val="004C3AE3"/>
    <w:rsid w:val="004C6451"/>
    <w:rsid w:val="004F35FF"/>
    <w:rsid w:val="00504E1E"/>
    <w:rsid w:val="00506859"/>
    <w:rsid w:val="00520F93"/>
    <w:rsid w:val="00566856"/>
    <w:rsid w:val="005A21B0"/>
    <w:rsid w:val="005B5161"/>
    <w:rsid w:val="005D6AD4"/>
    <w:rsid w:val="005E763F"/>
    <w:rsid w:val="006338C1"/>
    <w:rsid w:val="00636F5E"/>
    <w:rsid w:val="00665CCF"/>
    <w:rsid w:val="006666D1"/>
    <w:rsid w:val="006721EC"/>
    <w:rsid w:val="006766BF"/>
    <w:rsid w:val="006932BA"/>
    <w:rsid w:val="006B0E35"/>
    <w:rsid w:val="006B4F9A"/>
    <w:rsid w:val="006D0D12"/>
    <w:rsid w:val="006E712D"/>
    <w:rsid w:val="006F63FD"/>
    <w:rsid w:val="00701A8F"/>
    <w:rsid w:val="00703E7D"/>
    <w:rsid w:val="007134B8"/>
    <w:rsid w:val="00732169"/>
    <w:rsid w:val="00735659"/>
    <w:rsid w:val="0077110E"/>
    <w:rsid w:val="007870CB"/>
    <w:rsid w:val="00797BE8"/>
    <w:rsid w:val="007A14AA"/>
    <w:rsid w:val="007A3F0F"/>
    <w:rsid w:val="007D5C49"/>
    <w:rsid w:val="007D73FF"/>
    <w:rsid w:val="008006ED"/>
    <w:rsid w:val="00822598"/>
    <w:rsid w:val="008360A1"/>
    <w:rsid w:val="00861563"/>
    <w:rsid w:val="00862FBE"/>
    <w:rsid w:val="00871AAA"/>
    <w:rsid w:val="00891AAA"/>
    <w:rsid w:val="00906C91"/>
    <w:rsid w:val="00933EA1"/>
    <w:rsid w:val="00937F55"/>
    <w:rsid w:val="009504F7"/>
    <w:rsid w:val="00951416"/>
    <w:rsid w:val="00960D21"/>
    <w:rsid w:val="00981D29"/>
    <w:rsid w:val="00981E11"/>
    <w:rsid w:val="00983934"/>
    <w:rsid w:val="009D3DF3"/>
    <w:rsid w:val="00A1564B"/>
    <w:rsid w:val="00A5194F"/>
    <w:rsid w:val="00A871D6"/>
    <w:rsid w:val="00A93A7C"/>
    <w:rsid w:val="00AE3206"/>
    <w:rsid w:val="00AF282C"/>
    <w:rsid w:val="00AF3FF7"/>
    <w:rsid w:val="00B1491D"/>
    <w:rsid w:val="00B47B7D"/>
    <w:rsid w:val="00B67E4C"/>
    <w:rsid w:val="00B868B3"/>
    <w:rsid w:val="00BB1AAD"/>
    <w:rsid w:val="00C03E0F"/>
    <w:rsid w:val="00C2161B"/>
    <w:rsid w:val="00C52E56"/>
    <w:rsid w:val="00C5407A"/>
    <w:rsid w:val="00C662B0"/>
    <w:rsid w:val="00C76353"/>
    <w:rsid w:val="00C81A25"/>
    <w:rsid w:val="00C84FD4"/>
    <w:rsid w:val="00C958EE"/>
    <w:rsid w:val="00CA6F70"/>
    <w:rsid w:val="00CC4B1E"/>
    <w:rsid w:val="00CD21FB"/>
    <w:rsid w:val="00D423FE"/>
    <w:rsid w:val="00D442E4"/>
    <w:rsid w:val="00D6596F"/>
    <w:rsid w:val="00D80EDC"/>
    <w:rsid w:val="00DF4F15"/>
    <w:rsid w:val="00E047D3"/>
    <w:rsid w:val="00E246E5"/>
    <w:rsid w:val="00E266B7"/>
    <w:rsid w:val="00E321C5"/>
    <w:rsid w:val="00E46F71"/>
    <w:rsid w:val="00E5772B"/>
    <w:rsid w:val="00E67511"/>
    <w:rsid w:val="00E82D0F"/>
    <w:rsid w:val="00E950B5"/>
    <w:rsid w:val="00F05879"/>
    <w:rsid w:val="00F06F5B"/>
    <w:rsid w:val="00F0735C"/>
    <w:rsid w:val="00F2485D"/>
    <w:rsid w:val="00F33926"/>
    <w:rsid w:val="00F5199F"/>
    <w:rsid w:val="00F60C61"/>
    <w:rsid w:val="00F64B52"/>
    <w:rsid w:val="00FB5291"/>
    <w:rsid w:val="00F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30A17B1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customStyle="1" w:styleId="FootnoteTextChar1">
    <w:name w:val="Footnote Text Char1"/>
    <w:semiHidden/>
    <w:rsid w:val="000E245A"/>
  </w:style>
  <w:style w:type="character" w:styleId="CommentReference">
    <w:name w:val="annotation reference"/>
    <w:basedOn w:val="DefaultParagraphFont"/>
    <w:rsid w:val="001307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070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30701"/>
  </w:style>
  <w:style w:type="paragraph" w:styleId="CommentSubject">
    <w:name w:val="annotation subject"/>
    <w:basedOn w:val="CommentText"/>
    <w:next w:val="CommentText"/>
    <w:link w:val="CommentSubjectChar"/>
    <w:rsid w:val="00130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0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Furlong@staff.azbar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courts.gov/Portals/39/2014DR/JPGreenle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zcourts.gov/Portals/39/2013DR/JPGreenle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p.pima.gov/home/ht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27DA-33FC-428C-BE84-4D290777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10</TotalTime>
  <Pages>7</Pages>
  <Words>1392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4</cp:revision>
  <cp:lastPrinted>2014-04-30T16:27:00Z</cp:lastPrinted>
  <dcterms:created xsi:type="dcterms:W3CDTF">2016-06-28T16:23:00Z</dcterms:created>
  <dcterms:modified xsi:type="dcterms:W3CDTF">2016-06-28T20:50:00Z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