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0F6" w:rsidRPr="00FD10F6" w:rsidRDefault="00FD10F6" w:rsidP="00FD10F6">
      <w:pPr>
        <w:pStyle w:val="AttorneyName"/>
        <w:spacing w:line="240" w:lineRule="auto"/>
        <w:rPr>
          <w:rFonts w:ascii="Times New Roman" w:hAnsi="Times New Roman" w:cs="Times New Roman"/>
          <w:bCs/>
          <w:sz w:val="28"/>
          <w:szCs w:val="28"/>
        </w:rPr>
      </w:pPr>
      <w:r w:rsidRPr="00FD10F6">
        <w:rPr>
          <w:rFonts w:ascii="Times New Roman" w:hAnsi="Times New Roman" w:cs="Times New Roman"/>
          <w:bCs/>
          <w:sz w:val="28"/>
          <w:szCs w:val="28"/>
        </w:rPr>
        <w:t xml:space="preserve">ARIZONA ATTORNEYS </w:t>
      </w:r>
    </w:p>
    <w:p w:rsidR="00FD10F6" w:rsidRPr="00FD10F6" w:rsidRDefault="00FD10F6" w:rsidP="00FD10F6">
      <w:pPr>
        <w:pStyle w:val="AttorneyName"/>
        <w:spacing w:line="240" w:lineRule="auto"/>
        <w:rPr>
          <w:rFonts w:ascii="Times New Roman" w:hAnsi="Times New Roman" w:cs="Times New Roman"/>
          <w:bCs/>
          <w:sz w:val="28"/>
          <w:szCs w:val="28"/>
        </w:rPr>
      </w:pPr>
      <w:r w:rsidRPr="00FD10F6">
        <w:rPr>
          <w:rFonts w:ascii="Times New Roman" w:hAnsi="Times New Roman" w:cs="Times New Roman"/>
          <w:bCs/>
          <w:sz w:val="28"/>
          <w:szCs w:val="28"/>
        </w:rPr>
        <w:t>FOR CRIMINAL JUSTICE</w:t>
      </w:r>
    </w:p>
    <w:p w:rsidR="00FD10F6" w:rsidRPr="00FD10F6" w:rsidRDefault="00FD10F6" w:rsidP="00FD10F6">
      <w:pPr>
        <w:pStyle w:val="AttorneyName"/>
        <w:spacing w:line="240" w:lineRule="auto"/>
        <w:rPr>
          <w:rFonts w:ascii="Times New Roman" w:hAnsi="Times New Roman" w:cs="Times New Roman"/>
          <w:bCs/>
          <w:sz w:val="28"/>
          <w:szCs w:val="28"/>
        </w:rPr>
      </w:pPr>
      <w:r w:rsidRPr="00FD10F6">
        <w:rPr>
          <w:rFonts w:ascii="Times New Roman" w:hAnsi="Times New Roman" w:cs="Times New Roman"/>
          <w:bCs/>
          <w:sz w:val="28"/>
          <w:szCs w:val="28"/>
        </w:rPr>
        <w:t>PO Box 41213</w:t>
      </w:r>
    </w:p>
    <w:p w:rsidR="00FD10F6" w:rsidRPr="00FD10F6" w:rsidRDefault="00FD10F6" w:rsidP="00FD10F6">
      <w:pPr>
        <w:pStyle w:val="AttorneyName"/>
        <w:spacing w:line="240" w:lineRule="auto"/>
        <w:rPr>
          <w:rFonts w:ascii="Times New Roman" w:hAnsi="Times New Roman" w:cs="Times New Roman"/>
          <w:bCs/>
          <w:sz w:val="28"/>
          <w:szCs w:val="28"/>
        </w:rPr>
      </w:pPr>
      <w:r w:rsidRPr="00FD10F6">
        <w:rPr>
          <w:rFonts w:ascii="Times New Roman" w:hAnsi="Times New Roman" w:cs="Times New Roman"/>
          <w:bCs/>
          <w:sz w:val="28"/>
          <w:szCs w:val="28"/>
        </w:rPr>
        <w:t>Phoenix, AZ 85080-1213</w:t>
      </w:r>
    </w:p>
    <w:p w:rsidR="00FD10F6" w:rsidRPr="00FD10F6" w:rsidRDefault="00FD10F6" w:rsidP="00FD10F6">
      <w:pPr>
        <w:pStyle w:val="AttorneyName"/>
        <w:spacing w:line="240" w:lineRule="auto"/>
        <w:rPr>
          <w:rFonts w:ascii="Times New Roman" w:hAnsi="Times New Roman" w:cs="Times New Roman"/>
          <w:bCs/>
          <w:sz w:val="28"/>
          <w:szCs w:val="28"/>
        </w:rPr>
      </w:pPr>
      <w:r w:rsidRPr="00FD10F6">
        <w:rPr>
          <w:rFonts w:ascii="Times New Roman" w:hAnsi="Times New Roman" w:cs="Times New Roman"/>
          <w:bCs/>
          <w:sz w:val="28"/>
          <w:szCs w:val="28"/>
        </w:rPr>
        <w:t>TEL:  (480) 812-1700</w:t>
      </w:r>
    </w:p>
    <w:p w:rsidR="00894240" w:rsidRPr="00FD10F6" w:rsidRDefault="006A5E35" w:rsidP="00894240">
      <w:pPr>
        <w:rPr>
          <w:sz w:val="28"/>
          <w:szCs w:val="28"/>
        </w:rPr>
      </w:pPr>
      <w:r>
        <w:rPr>
          <w:sz w:val="28"/>
          <w:szCs w:val="28"/>
        </w:rPr>
        <w:t>Kevin D. Heade, AZ Bar #</w:t>
      </w:r>
      <w:r w:rsidR="00FD10F6" w:rsidRPr="00FD10F6">
        <w:rPr>
          <w:sz w:val="28"/>
          <w:szCs w:val="28"/>
        </w:rPr>
        <w:t>029909</w:t>
      </w:r>
    </w:p>
    <w:p w:rsidR="00FD10F6" w:rsidRPr="00FD10F6" w:rsidRDefault="00B433B6" w:rsidP="00894240">
      <w:pPr>
        <w:rPr>
          <w:sz w:val="28"/>
          <w:szCs w:val="28"/>
        </w:rPr>
      </w:pPr>
      <w:hyperlink r:id="rId9" w:history="1">
        <w:r w:rsidR="00FD10F6" w:rsidRPr="00FD10F6">
          <w:rPr>
            <w:rStyle w:val="Hyperlink"/>
            <w:sz w:val="28"/>
            <w:szCs w:val="28"/>
          </w:rPr>
          <w:t>Headek@mail.maricopa.gov</w:t>
        </w:r>
      </w:hyperlink>
    </w:p>
    <w:p w:rsidR="00FD10F6" w:rsidRPr="00FD10F6" w:rsidRDefault="00725DF2" w:rsidP="00894240">
      <w:pPr>
        <w:rPr>
          <w:sz w:val="28"/>
          <w:szCs w:val="28"/>
        </w:rPr>
      </w:pPr>
      <w:r>
        <w:rPr>
          <w:sz w:val="28"/>
          <w:szCs w:val="28"/>
        </w:rPr>
        <w:t>Jose</w:t>
      </w:r>
      <w:bookmarkStart w:id="0" w:name="_GoBack"/>
      <w:bookmarkEnd w:id="0"/>
      <w:r>
        <w:rPr>
          <w:sz w:val="28"/>
          <w:szCs w:val="28"/>
        </w:rPr>
        <w:t>p</w:t>
      </w:r>
      <w:r w:rsidR="006A5E35">
        <w:rPr>
          <w:sz w:val="28"/>
          <w:szCs w:val="28"/>
        </w:rPr>
        <w:t xml:space="preserve">hine </w:t>
      </w:r>
      <w:proofErr w:type="spellStart"/>
      <w:r w:rsidR="006A5E35">
        <w:rPr>
          <w:sz w:val="28"/>
          <w:szCs w:val="28"/>
        </w:rPr>
        <w:t>Bidwill</w:t>
      </w:r>
      <w:proofErr w:type="spellEnd"/>
      <w:r w:rsidR="006A5E35">
        <w:rPr>
          <w:sz w:val="28"/>
          <w:szCs w:val="28"/>
        </w:rPr>
        <w:t>, AZ Bar #031483</w:t>
      </w:r>
    </w:p>
    <w:p w:rsidR="00FD10F6" w:rsidRPr="00FD10F6" w:rsidRDefault="00B433B6" w:rsidP="00894240">
      <w:pPr>
        <w:rPr>
          <w:sz w:val="28"/>
          <w:szCs w:val="28"/>
        </w:rPr>
      </w:pPr>
      <w:hyperlink r:id="rId10" w:history="1">
        <w:r w:rsidR="00FD10F6" w:rsidRPr="00FD10F6">
          <w:rPr>
            <w:rStyle w:val="Hyperlink"/>
            <w:sz w:val="28"/>
            <w:szCs w:val="28"/>
          </w:rPr>
          <w:t>Josephine@bidwillfirm.com</w:t>
        </w:r>
      </w:hyperlink>
    </w:p>
    <w:p w:rsidR="00FD10F6" w:rsidRPr="00B800E7" w:rsidRDefault="00FD10F6" w:rsidP="00894240">
      <w:pPr>
        <w:rPr>
          <w:sz w:val="28"/>
          <w:szCs w:val="28"/>
        </w:rPr>
      </w:pPr>
    </w:p>
    <w:p w:rsidR="00894240" w:rsidRPr="00B800E7" w:rsidRDefault="00894240" w:rsidP="00894240">
      <w:pPr>
        <w:rPr>
          <w:sz w:val="28"/>
          <w:szCs w:val="28"/>
        </w:rPr>
      </w:pPr>
    </w:p>
    <w:p w:rsidR="00894240" w:rsidRPr="00B800E7" w:rsidRDefault="00894240" w:rsidP="00894240">
      <w:pPr>
        <w:jc w:val="center"/>
        <w:rPr>
          <w:sz w:val="28"/>
          <w:szCs w:val="28"/>
        </w:rPr>
      </w:pPr>
      <w:r w:rsidRPr="00B800E7">
        <w:rPr>
          <w:sz w:val="28"/>
          <w:szCs w:val="28"/>
        </w:rPr>
        <w:t>IN THE SUPREME COURT</w:t>
      </w:r>
      <w:r w:rsidRPr="00B800E7">
        <w:rPr>
          <w:sz w:val="28"/>
          <w:szCs w:val="28"/>
        </w:rPr>
        <w:br/>
      </w:r>
    </w:p>
    <w:p w:rsidR="00894240" w:rsidRPr="00B800E7" w:rsidRDefault="00894240" w:rsidP="00894240">
      <w:pPr>
        <w:jc w:val="center"/>
        <w:outlineLvl w:val="0"/>
        <w:rPr>
          <w:sz w:val="28"/>
          <w:szCs w:val="28"/>
        </w:rPr>
      </w:pPr>
      <w:r w:rsidRPr="00B800E7">
        <w:rPr>
          <w:sz w:val="28"/>
          <w:szCs w:val="28"/>
        </w:rPr>
        <w:t>STATE OF ARIZONA</w:t>
      </w:r>
    </w:p>
    <w:p w:rsidR="00894240" w:rsidRPr="00B800E7" w:rsidRDefault="00894240" w:rsidP="00894240">
      <w:pPr>
        <w:jc w:val="center"/>
        <w:rPr>
          <w:sz w:val="28"/>
          <w:szCs w:val="28"/>
        </w:rPr>
      </w:pPr>
    </w:p>
    <w:p w:rsidR="00894240" w:rsidRPr="00B800E7" w:rsidRDefault="00894240" w:rsidP="00894240">
      <w:pPr>
        <w:rPr>
          <w:sz w:val="28"/>
          <w:szCs w:val="28"/>
        </w:rPr>
      </w:pPr>
    </w:p>
    <w:tbl>
      <w:tblPr>
        <w:tblW w:w="0" w:type="auto"/>
        <w:tblLook w:val="01E0" w:firstRow="1" w:lastRow="1" w:firstColumn="1" w:lastColumn="1" w:noHBand="0" w:noVBand="0"/>
      </w:tblPr>
      <w:tblGrid>
        <w:gridCol w:w="4788"/>
        <w:gridCol w:w="4788"/>
      </w:tblGrid>
      <w:tr w:rsidR="00894240" w:rsidRPr="00B800E7" w:rsidTr="00276094">
        <w:tc>
          <w:tcPr>
            <w:tcW w:w="4788" w:type="dxa"/>
            <w:tcBorders>
              <w:right w:val="single" w:sz="4" w:space="0" w:color="auto"/>
            </w:tcBorders>
          </w:tcPr>
          <w:p w:rsidR="00894240" w:rsidRPr="00B800E7" w:rsidRDefault="00894240" w:rsidP="00276094">
            <w:pPr>
              <w:rPr>
                <w:sz w:val="28"/>
                <w:szCs w:val="28"/>
              </w:rPr>
            </w:pPr>
            <w:r w:rsidRPr="00B800E7">
              <w:rPr>
                <w:sz w:val="28"/>
                <w:szCs w:val="28"/>
              </w:rPr>
              <w:t>In the Matter of:</w:t>
            </w:r>
            <w:r>
              <w:rPr>
                <w:sz w:val="28"/>
                <w:szCs w:val="28"/>
              </w:rPr>
              <w:t xml:space="preserve"> </w:t>
            </w:r>
          </w:p>
          <w:p w:rsidR="00894240" w:rsidRPr="00B800E7" w:rsidRDefault="00894240" w:rsidP="00276094">
            <w:pPr>
              <w:rPr>
                <w:sz w:val="28"/>
                <w:szCs w:val="28"/>
              </w:rPr>
            </w:pPr>
          </w:p>
          <w:p w:rsidR="00206C8B" w:rsidRPr="00206C8B" w:rsidRDefault="00894240" w:rsidP="00276094">
            <w:pPr>
              <w:rPr>
                <w:b/>
                <w:sz w:val="28"/>
                <w:szCs w:val="28"/>
              </w:rPr>
            </w:pPr>
            <w:r w:rsidRPr="00206C8B">
              <w:rPr>
                <w:b/>
                <w:sz w:val="28"/>
                <w:szCs w:val="28"/>
              </w:rPr>
              <w:t>P</w:t>
            </w:r>
            <w:r w:rsidR="00206C8B" w:rsidRPr="00206C8B">
              <w:rPr>
                <w:b/>
                <w:sz w:val="28"/>
                <w:szCs w:val="28"/>
              </w:rPr>
              <w:t xml:space="preserve">ETITION TO AMEND RULE 16.4 OF THE ARIZONA RULES OF CRIMINAL PROCEDURE </w:t>
            </w:r>
          </w:p>
          <w:p w:rsidR="00894240" w:rsidRPr="00B800E7" w:rsidRDefault="00894240" w:rsidP="00276094">
            <w:pPr>
              <w:rPr>
                <w:sz w:val="28"/>
                <w:szCs w:val="28"/>
              </w:rPr>
            </w:pPr>
          </w:p>
        </w:tc>
        <w:tc>
          <w:tcPr>
            <w:tcW w:w="4788" w:type="dxa"/>
            <w:tcBorders>
              <w:left w:val="single" w:sz="4" w:space="0" w:color="auto"/>
            </w:tcBorders>
          </w:tcPr>
          <w:p w:rsidR="00894240" w:rsidRPr="00B800E7" w:rsidRDefault="00894240" w:rsidP="00276094">
            <w:pPr>
              <w:ind w:left="446" w:hanging="446"/>
              <w:rPr>
                <w:sz w:val="28"/>
                <w:szCs w:val="28"/>
              </w:rPr>
            </w:pPr>
          </w:p>
          <w:p w:rsidR="00894240" w:rsidRDefault="00E7080F" w:rsidP="00206C8B">
            <w:pPr>
              <w:ind w:left="446" w:hanging="446"/>
              <w:jc w:val="center"/>
              <w:rPr>
                <w:sz w:val="28"/>
                <w:szCs w:val="28"/>
              </w:rPr>
            </w:pPr>
            <w:r>
              <w:rPr>
                <w:sz w:val="28"/>
                <w:szCs w:val="28"/>
              </w:rPr>
              <w:t xml:space="preserve">Supreme Court No. </w:t>
            </w:r>
            <w:r w:rsidR="00894240">
              <w:rPr>
                <w:sz w:val="28"/>
                <w:szCs w:val="28"/>
              </w:rPr>
              <w:t>R-15-0038</w:t>
            </w:r>
          </w:p>
          <w:p w:rsidR="00894240" w:rsidRDefault="00894240" w:rsidP="00206C8B">
            <w:pPr>
              <w:ind w:left="446" w:hanging="446"/>
              <w:jc w:val="center"/>
              <w:rPr>
                <w:sz w:val="28"/>
                <w:szCs w:val="28"/>
              </w:rPr>
            </w:pPr>
          </w:p>
          <w:p w:rsidR="00894240" w:rsidRPr="00206C8B" w:rsidRDefault="00894240" w:rsidP="00276094">
            <w:pPr>
              <w:ind w:left="446" w:hanging="446"/>
              <w:jc w:val="both"/>
              <w:rPr>
                <w:b/>
                <w:sz w:val="28"/>
                <w:szCs w:val="28"/>
              </w:rPr>
            </w:pPr>
            <w:r>
              <w:rPr>
                <w:sz w:val="28"/>
                <w:szCs w:val="28"/>
              </w:rPr>
              <w:t xml:space="preserve">      </w:t>
            </w:r>
            <w:r w:rsidRPr="00206C8B">
              <w:rPr>
                <w:b/>
                <w:sz w:val="28"/>
                <w:szCs w:val="28"/>
              </w:rPr>
              <w:t>COMMENT OF THE ARIZONA ATTORNEYS FOR CRIMINAL JUSTICE  IN SUPPORT OF THE PETITION TO AMEND RULE</w:t>
            </w:r>
            <w:r w:rsidR="00BD66A2">
              <w:rPr>
                <w:b/>
                <w:sz w:val="28"/>
                <w:szCs w:val="28"/>
              </w:rPr>
              <w:t xml:space="preserve"> </w:t>
            </w:r>
            <w:r w:rsidRPr="00206C8B">
              <w:rPr>
                <w:b/>
                <w:sz w:val="28"/>
                <w:szCs w:val="28"/>
              </w:rPr>
              <w:t>16.4 OF THE ARIZONA RULES OF CRIMINAL PROCEDURE</w:t>
            </w:r>
          </w:p>
        </w:tc>
      </w:tr>
      <w:tr w:rsidR="00894240" w:rsidRPr="00B800E7" w:rsidTr="00276094">
        <w:trPr>
          <w:trHeight w:val="673"/>
        </w:trPr>
        <w:tc>
          <w:tcPr>
            <w:tcW w:w="4788" w:type="dxa"/>
            <w:tcBorders>
              <w:right w:val="single" w:sz="4" w:space="0" w:color="auto"/>
            </w:tcBorders>
            <w:vAlign w:val="center"/>
          </w:tcPr>
          <w:p w:rsidR="00894240" w:rsidRPr="00B800E7" w:rsidRDefault="00894240" w:rsidP="00276094">
            <w:pPr>
              <w:jc w:val="center"/>
              <w:rPr>
                <w:sz w:val="28"/>
                <w:szCs w:val="28"/>
              </w:rPr>
            </w:pPr>
          </w:p>
        </w:tc>
        <w:tc>
          <w:tcPr>
            <w:tcW w:w="4788" w:type="dxa"/>
            <w:tcBorders>
              <w:left w:val="single" w:sz="4" w:space="0" w:color="auto"/>
            </w:tcBorders>
            <w:vAlign w:val="center"/>
          </w:tcPr>
          <w:p w:rsidR="00894240" w:rsidRPr="00B800E7" w:rsidRDefault="00894240" w:rsidP="00276094">
            <w:pPr>
              <w:rPr>
                <w:sz w:val="28"/>
                <w:szCs w:val="28"/>
              </w:rPr>
            </w:pPr>
            <w:r w:rsidRPr="00B800E7">
              <w:rPr>
                <w:sz w:val="28"/>
                <w:szCs w:val="28"/>
              </w:rPr>
              <w:fldChar w:fldCharType="begin"/>
            </w:r>
            <w:r w:rsidRPr="00B800E7">
              <w:rPr>
                <w:sz w:val="28"/>
                <w:szCs w:val="28"/>
              </w:rPr>
              <w:instrText xml:space="preserve"> DOCVARIABLE  TitleMotion  \* MERGEFORMAT </w:instrText>
            </w:r>
            <w:r w:rsidRPr="00B800E7">
              <w:rPr>
                <w:sz w:val="28"/>
                <w:szCs w:val="28"/>
              </w:rPr>
              <w:fldChar w:fldCharType="end"/>
            </w:r>
          </w:p>
        </w:tc>
      </w:tr>
      <w:tr w:rsidR="00894240" w:rsidRPr="00B800E7" w:rsidTr="00276094">
        <w:tc>
          <w:tcPr>
            <w:tcW w:w="4788" w:type="dxa"/>
            <w:tcBorders>
              <w:bottom w:val="single" w:sz="4" w:space="0" w:color="auto"/>
              <w:right w:val="single" w:sz="4" w:space="0" w:color="auto"/>
            </w:tcBorders>
          </w:tcPr>
          <w:p w:rsidR="00894240" w:rsidRPr="00B800E7" w:rsidRDefault="00894240" w:rsidP="00276094">
            <w:pPr>
              <w:tabs>
                <w:tab w:val="left" w:pos="2144"/>
              </w:tabs>
              <w:rPr>
                <w:sz w:val="28"/>
                <w:szCs w:val="28"/>
              </w:rPr>
            </w:pPr>
          </w:p>
        </w:tc>
        <w:tc>
          <w:tcPr>
            <w:tcW w:w="4788" w:type="dxa"/>
            <w:tcBorders>
              <w:left w:val="single" w:sz="4" w:space="0" w:color="auto"/>
            </w:tcBorders>
          </w:tcPr>
          <w:p w:rsidR="00894240" w:rsidRPr="00B800E7" w:rsidRDefault="00894240" w:rsidP="00276094">
            <w:pPr>
              <w:rPr>
                <w:sz w:val="28"/>
                <w:szCs w:val="28"/>
              </w:rPr>
            </w:pPr>
          </w:p>
        </w:tc>
      </w:tr>
    </w:tbl>
    <w:p w:rsidR="00894240" w:rsidRPr="00B800E7" w:rsidRDefault="00894240" w:rsidP="00894240">
      <w:pPr>
        <w:rPr>
          <w:sz w:val="28"/>
          <w:szCs w:val="28"/>
        </w:rPr>
      </w:pPr>
    </w:p>
    <w:p w:rsidR="00894240" w:rsidRPr="00B800E7" w:rsidRDefault="00894240" w:rsidP="00894240">
      <w:pPr>
        <w:rPr>
          <w:sz w:val="28"/>
          <w:szCs w:val="28"/>
        </w:rPr>
      </w:pPr>
    </w:p>
    <w:p w:rsidR="00920CF2" w:rsidRPr="00920CF2" w:rsidRDefault="00FD10F6" w:rsidP="00920CF2">
      <w:pPr>
        <w:pStyle w:val="Pleading-Double-Space"/>
        <w:spacing w:line="480" w:lineRule="auto"/>
        <w:ind w:firstLine="720"/>
        <w:jc w:val="both"/>
        <w:rPr>
          <w:sz w:val="28"/>
          <w:szCs w:val="28"/>
        </w:rPr>
      </w:pPr>
      <w:r w:rsidRPr="00920CF2">
        <w:rPr>
          <w:sz w:val="28"/>
          <w:szCs w:val="28"/>
          <w:highlight w:val="white"/>
        </w:rPr>
        <w:t>Pursuant to Rule 28 of the Arizona Rules of Supreme Court, Arizona Attorneys for Criminal Justice (“AACJ”) submits the following comment to the above-referenced petition.</w:t>
      </w:r>
      <w:r w:rsidR="00920CF2" w:rsidRPr="00920CF2">
        <w:rPr>
          <w:sz w:val="28"/>
          <w:szCs w:val="28"/>
        </w:rPr>
        <w:t xml:space="preserve"> AACJ, the Arizona state affiliate of the National Association of Criminal Defense Lawyers, was founded in 1986 in order to give a voice to the rights of the criminally accused and to those attorneys who defend the </w:t>
      </w:r>
      <w:r w:rsidR="00920CF2" w:rsidRPr="00920CF2">
        <w:rPr>
          <w:sz w:val="28"/>
          <w:szCs w:val="28"/>
        </w:rPr>
        <w:lastRenderedPageBreak/>
        <w:t>accused.  AACJ is a statewide not-for-profit membership organization of criminal defense lawyers, law students, and associated professionals dedicated to protecting the rights of the accused in the courts and in the legislature, promoting excellence in the practice of criminal law through education, training and mutual assistance, and fostering public awareness of citizens’ rights, the criminal justice system, and the role of the defense lawyer.</w:t>
      </w:r>
    </w:p>
    <w:p w:rsidR="00920CF2" w:rsidRDefault="00920CF2" w:rsidP="00920CF2"/>
    <w:p w:rsidR="00894240" w:rsidRPr="00D34C27" w:rsidRDefault="00FD10F6" w:rsidP="00920CF2">
      <w:pPr>
        <w:pStyle w:val="Normal1"/>
        <w:numPr>
          <w:ilvl w:val="0"/>
          <w:numId w:val="6"/>
        </w:numPr>
        <w:spacing w:line="480" w:lineRule="auto"/>
        <w:jc w:val="both"/>
        <w:rPr>
          <w:rFonts w:ascii="Times New Roman" w:hAnsi="Times New Roman" w:cs="Times New Roman"/>
          <w:b/>
          <w:sz w:val="28"/>
          <w:szCs w:val="28"/>
        </w:rPr>
      </w:pPr>
      <w:r w:rsidRPr="00D34C27">
        <w:rPr>
          <w:rFonts w:ascii="Times New Roman" w:hAnsi="Times New Roman" w:cs="Times New Roman"/>
          <w:sz w:val="28"/>
          <w:szCs w:val="28"/>
          <w:highlight w:val="white"/>
        </w:rPr>
        <w:t xml:space="preserve"> </w:t>
      </w:r>
      <w:r w:rsidRPr="00D34C27">
        <w:rPr>
          <w:rFonts w:ascii="Times New Roman" w:hAnsi="Times New Roman" w:cs="Times New Roman"/>
          <w:b/>
          <w:color w:val="212121"/>
          <w:sz w:val="28"/>
          <w:szCs w:val="28"/>
        </w:rPr>
        <w:t>DISCUSSION</w:t>
      </w:r>
      <w:r w:rsidR="00894240" w:rsidRPr="00D34C27">
        <w:rPr>
          <w:rFonts w:ascii="Times New Roman" w:hAnsi="Times New Roman" w:cs="Times New Roman"/>
          <w:b/>
          <w:color w:val="212121"/>
          <w:sz w:val="28"/>
          <w:szCs w:val="28"/>
        </w:rPr>
        <w:tab/>
      </w:r>
    </w:p>
    <w:p w:rsidR="00894240" w:rsidRDefault="00894240" w:rsidP="00675506">
      <w:pPr>
        <w:pStyle w:val="BodyText"/>
        <w:tabs>
          <w:tab w:val="left" w:pos="720"/>
        </w:tabs>
        <w:spacing w:line="480" w:lineRule="auto"/>
        <w:rPr>
          <w:szCs w:val="28"/>
        </w:rPr>
      </w:pPr>
      <w:r>
        <w:rPr>
          <w:b/>
          <w:szCs w:val="28"/>
        </w:rPr>
        <w:tab/>
      </w:r>
      <w:r>
        <w:rPr>
          <w:szCs w:val="28"/>
        </w:rPr>
        <w:t xml:space="preserve">Over fifty years have passed since the United State Supreme Court announced its decision in </w:t>
      </w:r>
      <w:r w:rsidRPr="00C06CE2">
        <w:rPr>
          <w:i/>
          <w:szCs w:val="28"/>
        </w:rPr>
        <w:t>Brady v. Maryland</w:t>
      </w:r>
      <w:r>
        <w:rPr>
          <w:rStyle w:val="FootnoteReference"/>
          <w:szCs w:val="28"/>
        </w:rPr>
        <w:footnoteReference w:id="1"/>
      </w:r>
      <w:r>
        <w:rPr>
          <w:szCs w:val="28"/>
        </w:rPr>
        <w:t xml:space="preserve"> affirming the Due Process rights of defendants to receive exculpatory information in the possession of prosecutors.   This Court has extended </w:t>
      </w:r>
      <w:r w:rsidRPr="00C06CE2">
        <w:rPr>
          <w:i/>
          <w:szCs w:val="28"/>
        </w:rPr>
        <w:t>Brady</w:t>
      </w:r>
      <w:r>
        <w:rPr>
          <w:szCs w:val="28"/>
        </w:rPr>
        <w:t xml:space="preserve"> protections through the adoption of Rule 15.1(b</w:t>
      </w:r>
      <w:proofErr w:type="gramStart"/>
      <w:r>
        <w:rPr>
          <w:szCs w:val="28"/>
        </w:rPr>
        <w:t>)(</w:t>
      </w:r>
      <w:proofErr w:type="gramEnd"/>
      <w:r>
        <w:rPr>
          <w:szCs w:val="28"/>
        </w:rPr>
        <w:t>8) of the Arizona Rules of Criminal Procedure and Ethical Rule 3.8(d) of the Arizona Rules of Professional Conduct.  Recently, this Court amended Rule 24.2 of the Arizona Rules of Criminal Procedure</w:t>
      </w:r>
      <w:r>
        <w:rPr>
          <w:rStyle w:val="FootnoteReference"/>
          <w:szCs w:val="28"/>
        </w:rPr>
        <w:footnoteReference w:id="2"/>
      </w:r>
      <w:r>
        <w:rPr>
          <w:szCs w:val="28"/>
        </w:rPr>
        <w:t xml:space="preserve"> to permit courts to vacate judgments of guilt when the state so requests because the defendant was innocent or because the defendant was convicted based on an erroneous application of the law. </w:t>
      </w:r>
    </w:p>
    <w:p w:rsidR="00EE0F19" w:rsidRDefault="00894240" w:rsidP="00675506">
      <w:pPr>
        <w:pStyle w:val="BodyText"/>
        <w:tabs>
          <w:tab w:val="left" w:pos="720"/>
        </w:tabs>
        <w:spacing w:line="480" w:lineRule="auto"/>
        <w:rPr>
          <w:szCs w:val="28"/>
        </w:rPr>
      </w:pPr>
      <w:r>
        <w:rPr>
          <w:szCs w:val="28"/>
        </w:rPr>
        <w:lastRenderedPageBreak/>
        <w:tab/>
        <w:t>However, as the petition aptly demonstrates, too many instances have occurred where prosecutors have proceeded to tr</w:t>
      </w:r>
      <w:r w:rsidR="002966E2">
        <w:rPr>
          <w:szCs w:val="28"/>
        </w:rPr>
        <w:t>ial while failing to disclose materials</w:t>
      </w:r>
      <w:r>
        <w:rPr>
          <w:szCs w:val="28"/>
        </w:rPr>
        <w:t xml:space="preserve"> or information which tends to mitigate o</w:t>
      </w:r>
      <w:r w:rsidR="002966E2">
        <w:rPr>
          <w:szCs w:val="28"/>
        </w:rPr>
        <w:t>r negate the defendant’s guilt.</w:t>
      </w:r>
      <w:r>
        <w:rPr>
          <w:szCs w:val="28"/>
        </w:rPr>
        <w:t xml:space="preserve"> </w:t>
      </w:r>
    </w:p>
    <w:p w:rsidR="00894240" w:rsidRDefault="00EE0F19" w:rsidP="00675506">
      <w:pPr>
        <w:pStyle w:val="BodyText"/>
        <w:tabs>
          <w:tab w:val="left" w:pos="720"/>
        </w:tabs>
        <w:spacing w:line="480" w:lineRule="auto"/>
        <w:rPr>
          <w:szCs w:val="28"/>
        </w:rPr>
      </w:pPr>
      <w:r>
        <w:rPr>
          <w:szCs w:val="28"/>
        </w:rPr>
        <w:tab/>
      </w:r>
      <w:r w:rsidR="00894240">
        <w:rPr>
          <w:szCs w:val="28"/>
        </w:rPr>
        <w:t xml:space="preserve">The local and national news includes many instances of prosecutors either neglecting, willfully ignoring, or failing to understand their </w:t>
      </w:r>
      <w:r w:rsidR="00894240" w:rsidRPr="00DB4AAB">
        <w:rPr>
          <w:i/>
          <w:szCs w:val="28"/>
        </w:rPr>
        <w:t>Brady</w:t>
      </w:r>
      <w:r w:rsidR="00894240">
        <w:rPr>
          <w:szCs w:val="28"/>
        </w:rPr>
        <w:t xml:space="preserve"> obligations.</w:t>
      </w:r>
      <w:r w:rsidR="00894240">
        <w:rPr>
          <w:rStyle w:val="FootnoteReference"/>
          <w:szCs w:val="28"/>
        </w:rPr>
        <w:footnoteReference w:id="3"/>
      </w:r>
      <w:r w:rsidR="00894240">
        <w:rPr>
          <w:szCs w:val="28"/>
        </w:rPr>
        <w:t xml:space="preserve">  Legal scholars, judges, and the members of the general public have criticized courts for failing to hold prosecutors accountable for failing to disclose exculpatory information.</w:t>
      </w:r>
      <w:r w:rsidR="00894240">
        <w:rPr>
          <w:rStyle w:val="FootnoteReference"/>
          <w:szCs w:val="28"/>
        </w:rPr>
        <w:footnoteReference w:id="4"/>
      </w:r>
      <w:r w:rsidR="00894240">
        <w:rPr>
          <w:szCs w:val="28"/>
        </w:rPr>
        <w:t xml:space="preserve">  It is evident that public confidence in the criminal justice system has been undermined by these known instances of injustice.  </w:t>
      </w:r>
    </w:p>
    <w:p w:rsidR="00894240" w:rsidRPr="00C860D4" w:rsidRDefault="00894240" w:rsidP="00675506">
      <w:pPr>
        <w:pStyle w:val="BodyText"/>
        <w:tabs>
          <w:tab w:val="left" w:pos="720"/>
        </w:tabs>
        <w:spacing w:line="480" w:lineRule="auto"/>
        <w:rPr>
          <w:b/>
          <w:szCs w:val="28"/>
        </w:rPr>
      </w:pPr>
      <w:r>
        <w:rPr>
          <w:szCs w:val="28"/>
        </w:rPr>
        <w:lastRenderedPageBreak/>
        <w:tab/>
        <w:t>The proposed amendment to Rule 16.4 offers a practical and efficient safeguard to non-disclosure of exculpatory information in the possession of the state.  The proposal is consistent with</w:t>
      </w:r>
      <w:r w:rsidR="00675506">
        <w:rPr>
          <w:szCs w:val="28"/>
        </w:rPr>
        <w:t xml:space="preserve"> existing ethical requirements, </w:t>
      </w:r>
      <w:r>
        <w:rPr>
          <w:szCs w:val="28"/>
        </w:rPr>
        <w:t xml:space="preserve">promotes judicial economy, and protects the rights of defendants. </w:t>
      </w:r>
    </w:p>
    <w:p w:rsidR="00FD10F6" w:rsidRDefault="00894240" w:rsidP="00B81473">
      <w:pPr>
        <w:spacing w:line="480" w:lineRule="auto"/>
        <w:ind w:firstLine="720"/>
        <w:jc w:val="both"/>
        <w:rPr>
          <w:sz w:val="28"/>
          <w:szCs w:val="28"/>
        </w:rPr>
      </w:pPr>
      <w:r w:rsidRPr="00657AD3">
        <w:rPr>
          <w:iCs/>
          <w:sz w:val="28"/>
          <w:szCs w:val="28"/>
        </w:rPr>
        <w:t>Disclosure</w:t>
      </w:r>
      <w:r w:rsidRPr="00EA7ABC">
        <w:rPr>
          <w:sz w:val="28"/>
          <w:szCs w:val="28"/>
        </w:rPr>
        <w:t xml:space="preserve"> violations </w:t>
      </w:r>
      <w:r w:rsidRPr="00657AD3">
        <w:rPr>
          <w:sz w:val="28"/>
          <w:szCs w:val="28"/>
        </w:rPr>
        <w:t>“</w:t>
      </w:r>
      <w:r w:rsidRPr="00EA7ABC">
        <w:rPr>
          <w:sz w:val="28"/>
          <w:szCs w:val="28"/>
        </w:rPr>
        <w:t>have reached epidemic proportions in recent years, and the federal and state reporters bear testament to this unsettling trend</w:t>
      </w:r>
      <w:r w:rsidRPr="00657AD3">
        <w:rPr>
          <w:sz w:val="28"/>
          <w:szCs w:val="28"/>
        </w:rPr>
        <w:t>.”</w:t>
      </w:r>
      <w:r w:rsidRPr="00657AD3">
        <w:rPr>
          <w:rStyle w:val="FootnoteReference"/>
          <w:sz w:val="28"/>
          <w:szCs w:val="28"/>
        </w:rPr>
        <w:footnoteReference w:id="5"/>
      </w:r>
      <w:r w:rsidR="00FD10F6" w:rsidRPr="00FD10F6">
        <w:rPr>
          <w:sz w:val="28"/>
          <w:szCs w:val="28"/>
        </w:rPr>
        <w:t xml:space="preserve"> </w:t>
      </w:r>
      <w:r w:rsidR="00FD10F6">
        <w:rPr>
          <w:sz w:val="28"/>
          <w:szCs w:val="28"/>
        </w:rPr>
        <w:t xml:space="preserve"> Judge </w:t>
      </w:r>
      <w:proofErr w:type="spellStart"/>
      <w:r w:rsidR="00FD10F6">
        <w:rPr>
          <w:sz w:val="28"/>
          <w:szCs w:val="28"/>
        </w:rPr>
        <w:lastRenderedPageBreak/>
        <w:t>Kozinski</w:t>
      </w:r>
      <w:proofErr w:type="spellEnd"/>
      <w:r w:rsidR="00FD10F6">
        <w:rPr>
          <w:sz w:val="28"/>
          <w:szCs w:val="28"/>
        </w:rPr>
        <w:t xml:space="preserve">, dissenting from the denial of a Petition for Rehearing En Banc, explains that courts have contributed to the problem, “effectively </w:t>
      </w:r>
      <w:proofErr w:type="spellStart"/>
      <w:r w:rsidR="00FD10F6">
        <w:rPr>
          <w:sz w:val="28"/>
          <w:szCs w:val="28"/>
        </w:rPr>
        <w:t>announc</w:t>
      </w:r>
      <w:proofErr w:type="spellEnd"/>
      <w:r w:rsidR="00FD10F6">
        <w:rPr>
          <w:sz w:val="28"/>
          <w:szCs w:val="28"/>
        </w:rPr>
        <w:t>[</w:t>
      </w:r>
      <w:proofErr w:type="spellStart"/>
      <w:r w:rsidR="00FD10F6">
        <w:rPr>
          <w:sz w:val="28"/>
          <w:szCs w:val="28"/>
        </w:rPr>
        <w:t>ing</w:t>
      </w:r>
      <w:proofErr w:type="spellEnd"/>
      <w:r w:rsidR="00FD10F6">
        <w:rPr>
          <w:sz w:val="28"/>
          <w:szCs w:val="28"/>
        </w:rPr>
        <w:t xml:space="preserve">] that the prosecution need not produce exculpatory or impeaching evidence so long as it’s </w:t>
      </w:r>
      <w:r w:rsidR="00FD10F6">
        <w:rPr>
          <w:i/>
          <w:iCs/>
          <w:sz w:val="28"/>
          <w:szCs w:val="28"/>
        </w:rPr>
        <w:t>possible</w:t>
      </w:r>
      <w:r w:rsidR="00FD10F6">
        <w:rPr>
          <w:sz w:val="28"/>
          <w:szCs w:val="28"/>
        </w:rPr>
        <w:t xml:space="preserve"> the defendant would’ve been convicted anyway.”</w:t>
      </w:r>
      <w:r w:rsidR="00261257">
        <w:rPr>
          <w:rStyle w:val="FootnoteReference"/>
          <w:sz w:val="28"/>
          <w:szCs w:val="28"/>
        </w:rPr>
        <w:footnoteReference w:id="6"/>
      </w:r>
      <w:r w:rsidR="00261257">
        <w:rPr>
          <w:sz w:val="28"/>
          <w:szCs w:val="28"/>
        </w:rPr>
        <w:t xml:space="preserve">  </w:t>
      </w:r>
      <w:r w:rsidR="00FD10F6">
        <w:rPr>
          <w:sz w:val="28"/>
          <w:szCs w:val="28"/>
        </w:rPr>
        <w:t>This policy creates a dangerous risk that prosecutors will conclude, “</w:t>
      </w:r>
      <w:proofErr w:type="gramStart"/>
      <w:r w:rsidR="00FD10F6">
        <w:rPr>
          <w:sz w:val="28"/>
          <w:szCs w:val="28"/>
        </w:rPr>
        <w:t>when</w:t>
      </w:r>
      <w:proofErr w:type="gramEnd"/>
      <w:r w:rsidR="00FD10F6">
        <w:rPr>
          <w:sz w:val="28"/>
          <w:szCs w:val="28"/>
        </w:rPr>
        <w:t xml:space="preserve"> a case is close, it’s best to hide evidence helpful to the defense, as there will be a fair chance reviewing courts will look the other way ….” </w:t>
      </w:r>
      <w:r w:rsidR="00261257">
        <w:rPr>
          <w:rStyle w:val="FootnoteReference"/>
          <w:sz w:val="28"/>
          <w:szCs w:val="28"/>
        </w:rPr>
        <w:footnoteReference w:id="7"/>
      </w:r>
    </w:p>
    <w:p w:rsidR="00FD10F6" w:rsidRDefault="00FD10F6" w:rsidP="00FD10F6">
      <w:pPr>
        <w:spacing w:line="480" w:lineRule="auto"/>
        <w:ind w:firstLine="720"/>
        <w:rPr>
          <w:sz w:val="28"/>
          <w:szCs w:val="28"/>
        </w:rPr>
      </w:pPr>
      <w:r>
        <w:rPr>
          <w:sz w:val="28"/>
          <w:szCs w:val="28"/>
        </w:rPr>
        <w:t xml:space="preserve">Put simply, “Some prosecutors don’t care about </w:t>
      </w:r>
      <w:r>
        <w:rPr>
          <w:i/>
          <w:iCs/>
          <w:sz w:val="28"/>
          <w:szCs w:val="28"/>
        </w:rPr>
        <w:t>Brady</w:t>
      </w:r>
      <w:r>
        <w:rPr>
          <w:sz w:val="28"/>
          <w:szCs w:val="28"/>
        </w:rPr>
        <w:t xml:space="preserve"> because courts don’t </w:t>
      </w:r>
      <w:r>
        <w:rPr>
          <w:i/>
          <w:iCs/>
          <w:sz w:val="28"/>
          <w:szCs w:val="28"/>
        </w:rPr>
        <w:t>make</w:t>
      </w:r>
      <w:r>
        <w:rPr>
          <w:sz w:val="28"/>
          <w:szCs w:val="28"/>
        </w:rPr>
        <w:t xml:space="preserve"> them care.”</w:t>
      </w:r>
      <w:r w:rsidR="00261257">
        <w:rPr>
          <w:rStyle w:val="FootnoteReference"/>
          <w:sz w:val="28"/>
          <w:szCs w:val="28"/>
        </w:rPr>
        <w:footnoteReference w:id="8"/>
      </w:r>
      <w:r>
        <w:rPr>
          <w:sz w:val="28"/>
          <w:szCs w:val="28"/>
        </w:rPr>
        <w:t xml:space="preserve"> </w:t>
      </w:r>
      <w:r w:rsidR="00261257">
        <w:rPr>
          <w:sz w:val="28"/>
          <w:szCs w:val="28"/>
        </w:rPr>
        <w:t xml:space="preserve"> </w:t>
      </w:r>
      <w:r>
        <w:rPr>
          <w:sz w:val="28"/>
          <w:szCs w:val="28"/>
        </w:rPr>
        <w:t xml:space="preserve">The proposed rule makes them care. </w:t>
      </w:r>
    </w:p>
    <w:p w:rsidR="002508C2" w:rsidRPr="00AD4F7F" w:rsidRDefault="00894240" w:rsidP="00675506">
      <w:pPr>
        <w:spacing w:after="240" w:line="480" w:lineRule="auto"/>
        <w:ind w:firstLine="720"/>
        <w:jc w:val="both"/>
        <w:rPr>
          <w:sz w:val="28"/>
          <w:szCs w:val="28"/>
        </w:rPr>
      </w:pPr>
      <w:r w:rsidRPr="00AD4F7F">
        <w:rPr>
          <w:sz w:val="28"/>
          <w:szCs w:val="28"/>
        </w:rPr>
        <w:t xml:space="preserve">The </w:t>
      </w:r>
      <w:r w:rsidR="00EE0F19" w:rsidRPr="00AD4F7F">
        <w:rPr>
          <w:sz w:val="28"/>
          <w:szCs w:val="28"/>
        </w:rPr>
        <w:t xml:space="preserve">proposed rule change is </w:t>
      </w:r>
      <w:r w:rsidR="00261257">
        <w:rPr>
          <w:sz w:val="28"/>
          <w:szCs w:val="28"/>
        </w:rPr>
        <w:t>a</w:t>
      </w:r>
      <w:r w:rsidR="00EE0F19" w:rsidRPr="00AD4F7F">
        <w:rPr>
          <w:sz w:val="28"/>
          <w:szCs w:val="28"/>
        </w:rPr>
        <w:t xml:space="preserve"> low-cost preventive measure which will decrease instances of non-</w:t>
      </w:r>
      <w:r w:rsidRPr="00AD4F7F">
        <w:rPr>
          <w:sz w:val="28"/>
          <w:szCs w:val="28"/>
        </w:rPr>
        <w:t>disclosure</w:t>
      </w:r>
      <w:r w:rsidR="00BE1A0A" w:rsidRPr="00AD4F7F">
        <w:rPr>
          <w:sz w:val="28"/>
          <w:szCs w:val="28"/>
        </w:rPr>
        <w:t xml:space="preserve"> while also increasing the likelihood of a </w:t>
      </w:r>
      <w:r w:rsidR="00BE1A0A" w:rsidRPr="00AD4F7F">
        <w:rPr>
          <w:sz w:val="28"/>
          <w:szCs w:val="28"/>
        </w:rPr>
        <w:lastRenderedPageBreak/>
        <w:t>sanction of a prosecutor’s intentional violation of her disclosure obligation</w:t>
      </w:r>
      <w:r w:rsidRPr="00AD4F7F">
        <w:rPr>
          <w:sz w:val="28"/>
          <w:szCs w:val="28"/>
        </w:rPr>
        <w:t>.</w:t>
      </w:r>
      <w:r w:rsidR="00211E2B" w:rsidRPr="00AD4F7F">
        <w:rPr>
          <w:rStyle w:val="FootnoteReference"/>
          <w:sz w:val="28"/>
          <w:szCs w:val="28"/>
        </w:rPr>
        <w:footnoteReference w:id="9"/>
      </w:r>
      <w:r w:rsidRPr="00AD4F7F">
        <w:rPr>
          <w:sz w:val="28"/>
          <w:szCs w:val="28"/>
        </w:rPr>
        <w:t xml:space="preserve"> </w:t>
      </w:r>
      <w:r w:rsidR="00211E2B" w:rsidRPr="00AD4F7F">
        <w:rPr>
          <w:sz w:val="28"/>
          <w:szCs w:val="28"/>
        </w:rPr>
        <w:t xml:space="preserve"> </w:t>
      </w:r>
      <w:r w:rsidR="002508C2" w:rsidRPr="00AD4F7F">
        <w:rPr>
          <w:sz w:val="28"/>
          <w:szCs w:val="28"/>
        </w:rPr>
        <w:t>The colloquy would be a brief discussion, possibly including the following questions:</w:t>
      </w:r>
      <w:r w:rsidR="002508C2" w:rsidRPr="00AD4F7F">
        <w:rPr>
          <w:rStyle w:val="FootnoteReference"/>
          <w:sz w:val="28"/>
          <w:szCs w:val="28"/>
        </w:rPr>
        <w:footnoteReference w:id="10"/>
      </w:r>
      <w:r w:rsidR="002508C2" w:rsidRPr="00AD4F7F">
        <w:rPr>
          <w:sz w:val="28"/>
          <w:szCs w:val="28"/>
        </w:rPr>
        <w:t xml:space="preserve"> </w:t>
      </w:r>
    </w:p>
    <w:p w:rsidR="002508C2" w:rsidRPr="00AD4F7F" w:rsidRDefault="002508C2" w:rsidP="002508C2">
      <w:pPr>
        <w:pStyle w:val="ListParagraph"/>
        <w:numPr>
          <w:ilvl w:val="0"/>
          <w:numId w:val="5"/>
        </w:numPr>
        <w:tabs>
          <w:tab w:val="left" w:pos="9270"/>
        </w:tabs>
        <w:ind w:right="630"/>
        <w:jc w:val="both"/>
        <w:rPr>
          <w:sz w:val="28"/>
          <w:szCs w:val="28"/>
        </w:rPr>
      </w:pPr>
      <w:r w:rsidRPr="00AD4F7F">
        <w:rPr>
          <w:sz w:val="28"/>
          <w:szCs w:val="28"/>
        </w:rPr>
        <w:t>Have you reviewed your file, and the notes and file of any prosecutors who handled this case before you, to determine if these materials include information that is favorable to the defense?</w:t>
      </w:r>
    </w:p>
    <w:p w:rsidR="002508C2" w:rsidRPr="00AD4F7F" w:rsidRDefault="002508C2" w:rsidP="002508C2">
      <w:pPr>
        <w:pStyle w:val="ListParagraph"/>
        <w:tabs>
          <w:tab w:val="left" w:pos="9270"/>
        </w:tabs>
        <w:ind w:right="630"/>
        <w:jc w:val="both"/>
        <w:rPr>
          <w:sz w:val="28"/>
          <w:szCs w:val="28"/>
        </w:rPr>
      </w:pPr>
    </w:p>
    <w:p w:rsidR="002508C2" w:rsidRPr="00AD4F7F" w:rsidRDefault="002508C2" w:rsidP="002508C2">
      <w:pPr>
        <w:pStyle w:val="ListParagraph"/>
        <w:numPr>
          <w:ilvl w:val="0"/>
          <w:numId w:val="5"/>
        </w:numPr>
        <w:tabs>
          <w:tab w:val="left" w:pos="990"/>
        </w:tabs>
        <w:ind w:right="630"/>
        <w:jc w:val="both"/>
        <w:rPr>
          <w:sz w:val="28"/>
          <w:szCs w:val="28"/>
        </w:rPr>
      </w:pPr>
      <w:r w:rsidRPr="00AD4F7F">
        <w:rPr>
          <w:sz w:val="28"/>
          <w:szCs w:val="28"/>
        </w:rPr>
        <w:t xml:space="preserve"> Have you requested and reviewed the information law enforcement possesses, including information that may not have been reduced to a formal written report, to determine if it contains information that is favorable to the defense?</w:t>
      </w:r>
    </w:p>
    <w:p w:rsidR="002508C2" w:rsidRPr="00AD4F7F" w:rsidRDefault="002508C2" w:rsidP="002508C2">
      <w:pPr>
        <w:tabs>
          <w:tab w:val="left" w:pos="9270"/>
        </w:tabs>
        <w:ind w:left="1080" w:right="630"/>
        <w:jc w:val="both"/>
        <w:rPr>
          <w:sz w:val="28"/>
          <w:szCs w:val="28"/>
        </w:rPr>
      </w:pPr>
    </w:p>
    <w:p w:rsidR="002508C2" w:rsidRPr="00AD4F7F" w:rsidRDefault="002508C2" w:rsidP="002508C2">
      <w:pPr>
        <w:pStyle w:val="ListParagraph"/>
        <w:numPr>
          <w:ilvl w:val="0"/>
          <w:numId w:val="5"/>
        </w:numPr>
        <w:tabs>
          <w:tab w:val="left" w:pos="1080"/>
        </w:tabs>
        <w:ind w:right="630"/>
        <w:jc w:val="both"/>
        <w:rPr>
          <w:sz w:val="28"/>
          <w:szCs w:val="28"/>
        </w:rPr>
      </w:pPr>
      <w:r w:rsidRPr="00AD4F7F">
        <w:rPr>
          <w:sz w:val="28"/>
          <w:szCs w:val="28"/>
        </w:rPr>
        <w:t xml:space="preserve">Have you identified information that is favorable </w:t>
      </w:r>
      <w:r w:rsidR="00AD4F7F">
        <w:rPr>
          <w:sz w:val="28"/>
          <w:szCs w:val="28"/>
        </w:rPr>
        <w:t xml:space="preserve">to the defense, but nonetheless </w:t>
      </w:r>
      <w:r w:rsidRPr="00AD4F7F">
        <w:rPr>
          <w:sz w:val="28"/>
          <w:szCs w:val="28"/>
        </w:rPr>
        <w:t>elected not to disclose this information because you believe that the defense is already aware of the information or the information is not material?</w:t>
      </w:r>
    </w:p>
    <w:p w:rsidR="002508C2" w:rsidRPr="00AD4F7F" w:rsidRDefault="002508C2" w:rsidP="002508C2">
      <w:pPr>
        <w:tabs>
          <w:tab w:val="left" w:pos="9270"/>
        </w:tabs>
        <w:ind w:left="1080" w:right="630"/>
        <w:jc w:val="both"/>
        <w:rPr>
          <w:sz w:val="28"/>
          <w:szCs w:val="28"/>
        </w:rPr>
      </w:pPr>
    </w:p>
    <w:p w:rsidR="002508C2" w:rsidRPr="00AD4F7F" w:rsidRDefault="002508C2" w:rsidP="002508C2">
      <w:pPr>
        <w:pStyle w:val="ListParagraph"/>
        <w:numPr>
          <w:ilvl w:val="0"/>
          <w:numId w:val="5"/>
        </w:numPr>
        <w:tabs>
          <w:tab w:val="left" w:pos="9270"/>
        </w:tabs>
        <w:ind w:right="630"/>
        <w:jc w:val="both"/>
        <w:rPr>
          <w:sz w:val="28"/>
          <w:szCs w:val="28"/>
        </w:rPr>
      </w:pPr>
      <w:r w:rsidRPr="00AD4F7F">
        <w:rPr>
          <w:sz w:val="28"/>
          <w:szCs w:val="28"/>
        </w:rPr>
        <w:t xml:space="preserve"> Are you aware that this state's rules of professional conduct require you to disclose all information known to the prosecutor that tends to be favorable  to the defense regardless of whether the material meets the </w:t>
      </w:r>
      <w:r w:rsidRPr="00AD4F7F">
        <w:rPr>
          <w:i/>
          <w:iCs/>
          <w:sz w:val="28"/>
          <w:szCs w:val="28"/>
        </w:rPr>
        <w:t>Brady</w:t>
      </w:r>
      <w:r w:rsidRPr="00AD4F7F">
        <w:rPr>
          <w:sz w:val="28"/>
          <w:szCs w:val="28"/>
        </w:rPr>
        <w:t xml:space="preserve"> materiality standard?</w:t>
      </w:r>
      <w:r w:rsidRPr="00AD4F7F">
        <w:rPr>
          <w:sz w:val="28"/>
          <w:szCs w:val="28"/>
          <w:vertAlign w:val="superscript"/>
        </w:rPr>
        <w:t>20</w:t>
      </w:r>
    </w:p>
    <w:p w:rsidR="002508C2" w:rsidRPr="00AD4F7F" w:rsidRDefault="002508C2" w:rsidP="002508C2">
      <w:pPr>
        <w:tabs>
          <w:tab w:val="left" w:pos="9270"/>
        </w:tabs>
        <w:ind w:left="1080" w:right="630"/>
        <w:jc w:val="both"/>
        <w:rPr>
          <w:sz w:val="28"/>
          <w:szCs w:val="28"/>
        </w:rPr>
      </w:pPr>
    </w:p>
    <w:p w:rsidR="002508C2" w:rsidRPr="00AD4F7F" w:rsidRDefault="002508C2" w:rsidP="002508C2">
      <w:pPr>
        <w:pStyle w:val="ListParagraph"/>
        <w:numPr>
          <w:ilvl w:val="0"/>
          <w:numId w:val="5"/>
        </w:numPr>
        <w:tabs>
          <w:tab w:val="left" w:pos="9270"/>
        </w:tabs>
        <w:ind w:right="630"/>
        <w:jc w:val="both"/>
        <w:rPr>
          <w:sz w:val="28"/>
          <w:szCs w:val="28"/>
        </w:rPr>
      </w:pPr>
      <w:r w:rsidRPr="00AD4F7F">
        <w:rPr>
          <w:sz w:val="28"/>
          <w:szCs w:val="28"/>
        </w:rPr>
        <w:t xml:space="preserve"> Now that you have </w:t>
      </w:r>
      <w:r w:rsidR="00AD4F7F">
        <w:rPr>
          <w:sz w:val="28"/>
          <w:szCs w:val="28"/>
        </w:rPr>
        <w:t xml:space="preserve">conducted pre-trial interviews </w:t>
      </w:r>
      <w:r w:rsidRPr="00AD4F7F">
        <w:rPr>
          <w:sz w:val="28"/>
          <w:szCs w:val="28"/>
        </w:rPr>
        <w:t>and have a more complete understanding of the theory of defense, have you reviewed your file to determine if any additional information must be disclosed?</w:t>
      </w:r>
    </w:p>
    <w:p w:rsidR="002508C2" w:rsidRPr="00AD4F7F" w:rsidRDefault="002508C2" w:rsidP="002508C2">
      <w:pPr>
        <w:spacing w:after="240" w:line="480" w:lineRule="auto"/>
        <w:rPr>
          <w:sz w:val="28"/>
          <w:szCs w:val="28"/>
        </w:rPr>
      </w:pPr>
    </w:p>
    <w:p w:rsidR="002508C2" w:rsidRPr="00AD4F7F" w:rsidRDefault="002508C2" w:rsidP="00675506">
      <w:pPr>
        <w:spacing w:after="240" w:line="480" w:lineRule="auto"/>
        <w:ind w:firstLine="720"/>
        <w:jc w:val="both"/>
        <w:rPr>
          <w:sz w:val="28"/>
          <w:szCs w:val="28"/>
        </w:rPr>
      </w:pPr>
      <w:r w:rsidRPr="00AD4F7F">
        <w:rPr>
          <w:sz w:val="28"/>
          <w:szCs w:val="28"/>
        </w:rPr>
        <w:lastRenderedPageBreak/>
        <w:t>If the prosecutor is unsure whether disclosure of certain materials is necessary, the court could remind the prosecutor that it is willing to conduct an in camera review of the materials.</w:t>
      </w:r>
      <w:r w:rsidRPr="00AD4F7F">
        <w:rPr>
          <w:rStyle w:val="FootnoteReference"/>
          <w:sz w:val="28"/>
          <w:szCs w:val="28"/>
        </w:rPr>
        <w:footnoteReference w:id="11"/>
      </w:r>
    </w:p>
    <w:p w:rsidR="002508C2" w:rsidRDefault="00894240" w:rsidP="00675506">
      <w:pPr>
        <w:spacing w:after="240" w:line="480" w:lineRule="auto"/>
        <w:ind w:firstLine="720"/>
        <w:jc w:val="both"/>
        <w:rPr>
          <w:sz w:val="28"/>
          <w:szCs w:val="28"/>
        </w:rPr>
      </w:pPr>
      <w:r w:rsidRPr="00657AD3">
        <w:rPr>
          <w:sz w:val="28"/>
          <w:szCs w:val="28"/>
        </w:rPr>
        <w:t xml:space="preserve">Requiring the trial court to </w:t>
      </w:r>
      <w:r w:rsidR="00215AD3">
        <w:rPr>
          <w:sz w:val="28"/>
          <w:szCs w:val="28"/>
        </w:rPr>
        <w:t xml:space="preserve">conduct </w:t>
      </w:r>
      <w:r w:rsidR="002508C2">
        <w:rPr>
          <w:sz w:val="28"/>
          <w:szCs w:val="28"/>
        </w:rPr>
        <w:t xml:space="preserve">such </w:t>
      </w:r>
      <w:r w:rsidR="00215AD3">
        <w:rPr>
          <w:sz w:val="28"/>
          <w:szCs w:val="28"/>
        </w:rPr>
        <w:t xml:space="preserve">a colloquy with the prosecutor </w:t>
      </w:r>
      <w:r w:rsidR="00AD4F7F">
        <w:rPr>
          <w:sz w:val="28"/>
          <w:szCs w:val="28"/>
        </w:rPr>
        <w:t>to ensure the rights of</w:t>
      </w:r>
      <w:r w:rsidR="00675506">
        <w:rPr>
          <w:sz w:val="28"/>
          <w:szCs w:val="28"/>
        </w:rPr>
        <w:t xml:space="preserve"> </w:t>
      </w:r>
      <w:r w:rsidR="00A74973">
        <w:rPr>
          <w:sz w:val="28"/>
          <w:szCs w:val="28"/>
        </w:rPr>
        <w:t xml:space="preserve">participants </w:t>
      </w:r>
      <w:r w:rsidR="00AD4F7F">
        <w:rPr>
          <w:sz w:val="28"/>
          <w:szCs w:val="28"/>
        </w:rPr>
        <w:t xml:space="preserve">in a criminal proceeding </w:t>
      </w:r>
      <w:r w:rsidR="00215AD3">
        <w:rPr>
          <w:sz w:val="28"/>
          <w:szCs w:val="28"/>
        </w:rPr>
        <w:t xml:space="preserve">is not </w:t>
      </w:r>
      <w:r w:rsidRPr="00657AD3">
        <w:rPr>
          <w:sz w:val="28"/>
          <w:szCs w:val="28"/>
        </w:rPr>
        <w:t xml:space="preserve">unprecedented. </w:t>
      </w:r>
      <w:r w:rsidR="00215AD3">
        <w:rPr>
          <w:sz w:val="28"/>
          <w:szCs w:val="28"/>
        </w:rPr>
        <w:t xml:space="preserve"> </w:t>
      </w:r>
      <w:r w:rsidR="00675506">
        <w:rPr>
          <w:sz w:val="28"/>
          <w:szCs w:val="28"/>
        </w:rPr>
        <w:t>Since 1992</w:t>
      </w:r>
      <w:r w:rsidR="00AD4F7F">
        <w:rPr>
          <w:sz w:val="28"/>
          <w:szCs w:val="28"/>
        </w:rPr>
        <w:t>, Arizona courts have been required to inquire w</w:t>
      </w:r>
      <w:r w:rsidR="00EE3B5E">
        <w:rPr>
          <w:sz w:val="28"/>
          <w:szCs w:val="28"/>
        </w:rPr>
        <w:t xml:space="preserve">hether the prosecutor has complied with Arizona’s </w:t>
      </w:r>
      <w:r w:rsidRPr="00657AD3">
        <w:rPr>
          <w:sz w:val="28"/>
          <w:szCs w:val="28"/>
        </w:rPr>
        <w:t xml:space="preserve">Victim’s </w:t>
      </w:r>
      <w:r w:rsidR="00EE3B5E">
        <w:rPr>
          <w:sz w:val="28"/>
          <w:szCs w:val="28"/>
        </w:rPr>
        <w:t>Bill of Rights</w:t>
      </w:r>
      <w:r w:rsidR="00AD4F7F">
        <w:rPr>
          <w:sz w:val="28"/>
          <w:szCs w:val="28"/>
        </w:rPr>
        <w:t xml:space="preserve"> before a court is permitted to accept a defendant’s plea agreement</w:t>
      </w:r>
      <w:r w:rsidR="00EE3B5E">
        <w:rPr>
          <w:sz w:val="28"/>
          <w:szCs w:val="28"/>
        </w:rPr>
        <w:t>.</w:t>
      </w:r>
      <w:r w:rsidRPr="00657AD3">
        <w:rPr>
          <w:rStyle w:val="FootnoteReference"/>
          <w:sz w:val="28"/>
          <w:szCs w:val="28"/>
        </w:rPr>
        <w:footnoteReference w:id="12"/>
      </w:r>
      <w:r w:rsidRPr="00657AD3">
        <w:rPr>
          <w:sz w:val="28"/>
          <w:szCs w:val="28"/>
        </w:rPr>
        <w:t xml:space="preserve"> </w:t>
      </w:r>
      <w:r w:rsidR="00EE3B5E">
        <w:rPr>
          <w:sz w:val="28"/>
          <w:szCs w:val="28"/>
        </w:rPr>
        <w:t xml:space="preserve"> </w:t>
      </w:r>
      <w:r w:rsidR="00A74973">
        <w:rPr>
          <w:sz w:val="28"/>
          <w:szCs w:val="28"/>
        </w:rPr>
        <w:t xml:space="preserve"> This </w:t>
      </w:r>
      <w:r w:rsidR="00675506">
        <w:rPr>
          <w:sz w:val="28"/>
          <w:szCs w:val="28"/>
        </w:rPr>
        <w:t>colloquy</w:t>
      </w:r>
      <w:r w:rsidR="00A74973">
        <w:rPr>
          <w:sz w:val="28"/>
          <w:szCs w:val="28"/>
        </w:rPr>
        <w:t xml:space="preserve"> is not an accusation of misconduct on every prosecutor who has extended a plea agreement to a </w:t>
      </w:r>
      <w:r w:rsidR="00467AD8">
        <w:rPr>
          <w:sz w:val="28"/>
          <w:szCs w:val="28"/>
        </w:rPr>
        <w:t>d</w:t>
      </w:r>
      <w:r w:rsidR="00A74973">
        <w:rPr>
          <w:sz w:val="28"/>
          <w:szCs w:val="28"/>
        </w:rPr>
        <w:t>efendant; rather, it is merely a procedural safeguard established to protect the right</w:t>
      </w:r>
      <w:r w:rsidR="001C3054">
        <w:rPr>
          <w:sz w:val="28"/>
          <w:szCs w:val="28"/>
        </w:rPr>
        <w:t>s of victims in criminal cases.</w:t>
      </w:r>
      <w:r w:rsidR="001C3054">
        <w:rPr>
          <w:rStyle w:val="FootnoteReference"/>
          <w:sz w:val="28"/>
          <w:szCs w:val="28"/>
        </w:rPr>
        <w:footnoteReference w:id="13"/>
      </w:r>
    </w:p>
    <w:p w:rsidR="00894240" w:rsidRPr="00657AD3" w:rsidRDefault="00A74973" w:rsidP="00467AD8">
      <w:pPr>
        <w:spacing w:after="240" w:line="480" w:lineRule="auto"/>
        <w:ind w:firstLine="720"/>
        <w:jc w:val="both"/>
        <w:rPr>
          <w:b/>
          <w:szCs w:val="28"/>
        </w:rPr>
      </w:pPr>
      <w:r>
        <w:rPr>
          <w:sz w:val="28"/>
          <w:szCs w:val="28"/>
        </w:rPr>
        <w:t>Similarly, t</w:t>
      </w:r>
      <w:r w:rsidR="00211E2B">
        <w:rPr>
          <w:sz w:val="28"/>
          <w:szCs w:val="28"/>
        </w:rPr>
        <w:t>he proposed a</w:t>
      </w:r>
      <w:r w:rsidR="00894240" w:rsidRPr="00657AD3">
        <w:rPr>
          <w:sz w:val="28"/>
          <w:szCs w:val="28"/>
        </w:rPr>
        <w:t>mendment would</w:t>
      </w:r>
      <w:r w:rsidR="00EE3B5E">
        <w:rPr>
          <w:sz w:val="28"/>
          <w:szCs w:val="28"/>
        </w:rPr>
        <w:t xml:space="preserve"> require the prosecutor to avow </w:t>
      </w:r>
      <w:r>
        <w:rPr>
          <w:sz w:val="28"/>
          <w:szCs w:val="28"/>
        </w:rPr>
        <w:t xml:space="preserve">her </w:t>
      </w:r>
      <w:r w:rsidR="00EE3B5E">
        <w:rPr>
          <w:sz w:val="28"/>
          <w:szCs w:val="28"/>
        </w:rPr>
        <w:t>c</w:t>
      </w:r>
      <w:r w:rsidR="00894240" w:rsidRPr="00657AD3">
        <w:rPr>
          <w:sz w:val="28"/>
          <w:szCs w:val="28"/>
        </w:rPr>
        <w:t>ompliance with the defendant’s</w:t>
      </w:r>
      <w:r w:rsidR="008A6A7B">
        <w:rPr>
          <w:sz w:val="28"/>
          <w:szCs w:val="28"/>
        </w:rPr>
        <w:t xml:space="preserve"> constitutional, </w:t>
      </w:r>
      <w:r w:rsidR="00894240" w:rsidRPr="00657AD3">
        <w:rPr>
          <w:sz w:val="28"/>
          <w:szCs w:val="28"/>
        </w:rPr>
        <w:t xml:space="preserve">statutory, </w:t>
      </w:r>
      <w:r w:rsidR="00261257">
        <w:rPr>
          <w:sz w:val="28"/>
          <w:szCs w:val="28"/>
        </w:rPr>
        <w:t xml:space="preserve">and </w:t>
      </w:r>
      <w:r w:rsidR="00894240" w:rsidRPr="00657AD3">
        <w:rPr>
          <w:sz w:val="28"/>
          <w:szCs w:val="28"/>
        </w:rPr>
        <w:t>procedural rights</w:t>
      </w:r>
      <w:r w:rsidR="00EE3B5E">
        <w:rPr>
          <w:sz w:val="28"/>
          <w:szCs w:val="28"/>
        </w:rPr>
        <w:t xml:space="preserve"> to exculpatory information which tends to mitigate a defendant’s guilt or punishment</w:t>
      </w:r>
      <w:r w:rsidR="00AD4F7F">
        <w:rPr>
          <w:sz w:val="28"/>
          <w:szCs w:val="28"/>
        </w:rPr>
        <w:t xml:space="preserve"> before the court would permit a criminal case to proceed to trial.</w:t>
      </w:r>
      <w:r w:rsidR="00894240" w:rsidRPr="00657AD3">
        <w:rPr>
          <w:sz w:val="28"/>
          <w:szCs w:val="28"/>
        </w:rPr>
        <w:t xml:space="preserve"> </w:t>
      </w:r>
      <w:r w:rsidR="00EE3B5E">
        <w:rPr>
          <w:sz w:val="28"/>
          <w:szCs w:val="28"/>
        </w:rPr>
        <w:t xml:space="preserve"> The colloquy would promote judicial economy by providing an opportunity for the </w:t>
      </w:r>
      <w:r w:rsidR="00EE3B5E">
        <w:rPr>
          <w:sz w:val="28"/>
          <w:szCs w:val="28"/>
        </w:rPr>
        <w:lastRenderedPageBreak/>
        <w:t>court to ensure that the prosecutor understand</w:t>
      </w:r>
      <w:r w:rsidR="006A5E35">
        <w:rPr>
          <w:sz w:val="28"/>
          <w:szCs w:val="28"/>
        </w:rPr>
        <w:t xml:space="preserve">s </w:t>
      </w:r>
      <w:r w:rsidR="00EE3B5E">
        <w:rPr>
          <w:sz w:val="28"/>
          <w:szCs w:val="28"/>
        </w:rPr>
        <w:t xml:space="preserve">the scope and extent of </w:t>
      </w:r>
      <w:r w:rsidR="006A5E35">
        <w:rPr>
          <w:sz w:val="28"/>
          <w:szCs w:val="28"/>
        </w:rPr>
        <w:t xml:space="preserve">her </w:t>
      </w:r>
      <w:r w:rsidR="00EE3B5E">
        <w:rPr>
          <w:sz w:val="28"/>
          <w:szCs w:val="28"/>
        </w:rPr>
        <w:t>discovery obligations while also confirming that the prosecutor has personall</w:t>
      </w:r>
      <w:r w:rsidR="002508C2">
        <w:rPr>
          <w:sz w:val="28"/>
          <w:szCs w:val="28"/>
        </w:rPr>
        <w:t>y</w:t>
      </w:r>
      <w:r w:rsidR="00EE3B5E">
        <w:rPr>
          <w:sz w:val="28"/>
          <w:szCs w:val="28"/>
        </w:rPr>
        <w:t xml:space="preserve"> complied with these obligations. </w:t>
      </w:r>
    </w:p>
    <w:p w:rsidR="00894240" w:rsidRDefault="00FD10F6" w:rsidP="00920CF2">
      <w:pPr>
        <w:pStyle w:val="BodyText"/>
        <w:numPr>
          <w:ilvl w:val="0"/>
          <w:numId w:val="6"/>
        </w:numPr>
        <w:tabs>
          <w:tab w:val="left" w:pos="720"/>
        </w:tabs>
        <w:spacing w:line="480" w:lineRule="auto"/>
        <w:jc w:val="left"/>
        <w:rPr>
          <w:b/>
          <w:szCs w:val="28"/>
        </w:rPr>
      </w:pPr>
      <w:r>
        <w:rPr>
          <w:b/>
          <w:szCs w:val="28"/>
        </w:rPr>
        <w:t>CONCLUSION</w:t>
      </w:r>
    </w:p>
    <w:p w:rsidR="00894240" w:rsidRDefault="00894240" w:rsidP="00675506">
      <w:pPr>
        <w:pStyle w:val="BodyText"/>
        <w:tabs>
          <w:tab w:val="left" w:pos="720"/>
        </w:tabs>
        <w:spacing w:line="480" w:lineRule="auto"/>
        <w:rPr>
          <w:szCs w:val="28"/>
        </w:rPr>
      </w:pPr>
      <w:r>
        <w:rPr>
          <w:b/>
          <w:szCs w:val="28"/>
        </w:rPr>
        <w:tab/>
      </w:r>
      <w:r w:rsidRPr="00DB4AAB">
        <w:rPr>
          <w:szCs w:val="28"/>
        </w:rPr>
        <w:t xml:space="preserve">AACJ supports the proposed amendment because its implementation will protect the rights of defendants, conserve judicial resources, further the interests of justice, </w:t>
      </w:r>
      <w:r>
        <w:rPr>
          <w:szCs w:val="28"/>
        </w:rPr>
        <w:t>and promote public confidence in</w:t>
      </w:r>
      <w:r w:rsidRPr="00DB4AAB">
        <w:rPr>
          <w:szCs w:val="28"/>
        </w:rPr>
        <w:t xml:space="preserve"> the Arizona criminal justice system. </w:t>
      </w:r>
    </w:p>
    <w:p w:rsidR="006A5E35" w:rsidRDefault="006A5E35" w:rsidP="00675506">
      <w:pPr>
        <w:pStyle w:val="BodyText"/>
        <w:tabs>
          <w:tab w:val="left" w:pos="720"/>
        </w:tabs>
        <w:spacing w:line="480" w:lineRule="auto"/>
        <w:rPr>
          <w:szCs w:val="28"/>
        </w:rPr>
      </w:pPr>
    </w:p>
    <w:p w:rsidR="006A5E35" w:rsidRPr="001A2A4F" w:rsidRDefault="006A5E35" w:rsidP="006A5E35">
      <w:pPr>
        <w:spacing w:line="480" w:lineRule="auto"/>
        <w:ind w:firstLine="720"/>
        <w:jc w:val="both"/>
      </w:pPr>
      <w:r>
        <w:t xml:space="preserve">RESPECTFULLY SUBMITTED this </w:t>
      </w:r>
      <w:proofErr w:type="gramStart"/>
      <w:r>
        <w:t>20</w:t>
      </w:r>
      <w:r w:rsidRPr="006A5E35">
        <w:rPr>
          <w:vertAlign w:val="superscript"/>
        </w:rPr>
        <w:t>th</w:t>
      </w:r>
      <w:r>
        <w:t xml:space="preserve">  day</w:t>
      </w:r>
      <w:proofErr w:type="gramEnd"/>
      <w:r>
        <w:t xml:space="preserve"> of May, 2016.</w:t>
      </w:r>
    </w:p>
    <w:p w:rsidR="006A5E35" w:rsidRPr="001A2A4F" w:rsidRDefault="006A5E35" w:rsidP="006A5E35">
      <w:pPr>
        <w:spacing w:line="480" w:lineRule="auto"/>
        <w:ind w:firstLine="4320"/>
        <w:jc w:val="both"/>
      </w:pPr>
    </w:p>
    <w:p w:rsidR="006A5E35" w:rsidRPr="00211169" w:rsidRDefault="006A5E35" w:rsidP="006A5E35">
      <w:pPr>
        <w:ind w:left="4320" w:firstLine="720"/>
        <w:jc w:val="both"/>
        <w:rPr>
          <w:u w:val="single"/>
        </w:rPr>
      </w:pPr>
      <w:r w:rsidRPr="001A2A4F">
        <w:t>By</w:t>
      </w:r>
      <w:r>
        <w:rPr>
          <w:u w:val="single"/>
        </w:rPr>
        <w:t xml:space="preserve"> /s/ </w:t>
      </w:r>
      <w:r w:rsidRPr="006A5E35">
        <w:rPr>
          <w:i/>
          <w:u w:val="single"/>
        </w:rPr>
        <w:t>Kevin D. Heade</w:t>
      </w:r>
      <w:r>
        <w:rPr>
          <w:u w:val="single"/>
        </w:rPr>
        <w:tab/>
      </w:r>
    </w:p>
    <w:p w:rsidR="006A5E35" w:rsidRDefault="006A5E35" w:rsidP="006A5E35">
      <w:pPr>
        <w:ind w:left="4320" w:firstLine="720"/>
        <w:jc w:val="both"/>
        <w:rPr>
          <w:szCs w:val="28"/>
        </w:rPr>
      </w:pPr>
      <w:r>
        <w:rPr>
          <w:szCs w:val="28"/>
        </w:rPr>
        <w:t>KEVIN D. HEADE</w:t>
      </w:r>
    </w:p>
    <w:p w:rsidR="006A5E35" w:rsidRDefault="006A5E35" w:rsidP="006A5E35">
      <w:pPr>
        <w:ind w:left="4320" w:firstLine="720"/>
        <w:jc w:val="both"/>
        <w:rPr>
          <w:szCs w:val="28"/>
        </w:rPr>
      </w:pPr>
      <w:r>
        <w:rPr>
          <w:szCs w:val="28"/>
        </w:rPr>
        <w:t>AZ Bar # 029909</w:t>
      </w:r>
    </w:p>
    <w:p w:rsidR="006A5E35" w:rsidRDefault="006A5E35" w:rsidP="006A5E35">
      <w:pPr>
        <w:ind w:left="360" w:firstLine="4680"/>
        <w:jc w:val="both"/>
      </w:pPr>
      <w:r>
        <w:t xml:space="preserve">Arizona Attorneys for Criminal Justice </w:t>
      </w:r>
    </w:p>
    <w:p w:rsidR="006A5E35" w:rsidRDefault="006A5E35" w:rsidP="006A5E35">
      <w:pPr>
        <w:jc w:val="both"/>
      </w:pPr>
    </w:p>
    <w:p w:rsidR="006A5E35" w:rsidRPr="00211169" w:rsidRDefault="006A5E35" w:rsidP="006A5E35">
      <w:pPr>
        <w:ind w:left="4320" w:firstLine="720"/>
        <w:jc w:val="both"/>
        <w:rPr>
          <w:u w:val="single"/>
        </w:rPr>
      </w:pPr>
      <w:r w:rsidRPr="001A2A4F">
        <w:t>By</w:t>
      </w:r>
      <w:r>
        <w:rPr>
          <w:u w:val="single"/>
        </w:rPr>
        <w:t xml:space="preserve"> /s/</w:t>
      </w:r>
      <w:r w:rsidR="00920CF2">
        <w:rPr>
          <w:u w:val="single"/>
        </w:rPr>
        <w:t xml:space="preserve"> </w:t>
      </w:r>
      <w:r w:rsidRPr="00920CF2">
        <w:rPr>
          <w:i/>
          <w:u w:val="single"/>
        </w:rPr>
        <w:t xml:space="preserve">Josephine </w:t>
      </w:r>
      <w:proofErr w:type="spellStart"/>
      <w:r w:rsidRPr="00920CF2">
        <w:rPr>
          <w:i/>
          <w:u w:val="single"/>
        </w:rPr>
        <w:t>Bidwill</w:t>
      </w:r>
      <w:proofErr w:type="spellEnd"/>
      <w:r>
        <w:rPr>
          <w:u w:val="single"/>
        </w:rPr>
        <w:tab/>
      </w:r>
    </w:p>
    <w:p w:rsidR="006A5E35" w:rsidRDefault="006A5E35" w:rsidP="006A5E35">
      <w:pPr>
        <w:ind w:left="4320" w:firstLine="720"/>
        <w:jc w:val="both"/>
        <w:rPr>
          <w:szCs w:val="28"/>
        </w:rPr>
      </w:pPr>
      <w:r>
        <w:rPr>
          <w:szCs w:val="28"/>
        </w:rPr>
        <w:t>JOSEPHINE BIDWILL</w:t>
      </w:r>
    </w:p>
    <w:p w:rsidR="006A5E35" w:rsidRPr="00FD10F6" w:rsidRDefault="006A5E35" w:rsidP="006A5E35">
      <w:pPr>
        <w:ind w:left="4320" w:firstLine="720"/>
        <w:rPr>
          <w:sz w:val="28"/>
          <w:szCs w:val="28"/>
        </w:rPr>
      </w:pPr>
      <w:r>
        <w:rPr>
          <w:szCs w:val="28"/>
        </w:rPr>
        <w:t xml:space="preserve">AZ Bar # </w:t>
      </w:r>
      <w:r>
        <w:rPr>
          <w:sz w:val="28"/>
          <w:szCs w:val="28"/>
        </w:rPr>
        <w:t>031483</w:t>
      </w:r>
    </w:p>
    <w:p w:rsidR="00BF3128" w:rsidRDefault="006A5E35" w:rsidP="00BF3128">
      <w:pPr>
        <w:ind w:left="360" w:firstLine="4680"/>
        <w:jc w:val="both"/>
      </w:pPr>
      <w:r>
        <w:t xml:space="preserve">Arizona Attorneys for Criminal Justice </w:t>
      </w:r>
    </w:p>
    <w:p w:rsidR="00BF3128" w:rsidRDefault="00BF3128" w:rsidP="00BF3128">
      <w:pPr>
        <w:jc w:val="both"/>
      </w:pPr>
    </w:p>
    <w:p w:rsidR="006A5E35" w:rsidRDefault="006A5E35" w:rsidP="006A5E35">
      <w:pPr>
        <w:ind w:firstLine="4680"/>
        <w:jc w:val="both"/>
      </w:pPr>
    </w:p>
    <w:p w:rsidR="006A5E35" w:rsidRPr="00994145" w:rsidRDefault="006A5E35" w:rsidP="006A5E35">
      <w:pPr>
        <w:jc w:val="both"/>
        <w:rPr>
          <w:szCs w:val="28"/>
        </w:rPr>
      </w:pPr>
    </w:p>
    <w:p w:rsidR="009B5259" w:rsidRDefault="009B5259" w:rsidP="009B5259">
      <w:pPr>
        <w:pStyle w:val="BodyText"/>
        <w:tabs>
          <w:tab w:val="left" w:pos="720"/>
        </w:tabs>
        <w:rPr>
          <w:szCs w:val="28"/>
        </w:rPr>
      </w:pPr>
      <w:r>
        <w:rPr>
          <w:szCs w:val="28"/>
        </w:rPr>
        <w:t>Electronically filed with the</w:t>
      </w:r>
    </w:p>
    <w:p w:rsidR="009B5259" w:rsidRDefault="009B5259" w:rsidP="009B5259">
      <w:pPr>
        <w:pStyle w:val="BodyText"/>
        <w:tabs>
          <w:tab w:val="left" w:pos="720"/>
        </w:tabs>
        <w:rPr>
          <w:szCs w:val="28"/>
        </w:rPr>
      </w:pPr>
      <w:r>
        <w:rPr>
          <w:szCs w:val="28"/>
        </w:rPr>
        <w:t>Clerk of the Arizona Supreme Court</w:t>
      </w:r>
    </w:p>
    <w:p w:rsidR="009B5259" w:rsidRPr="009B5259" w:rsidRDefault="009B5259" w:rsidP="009B5259">
      <w:pPr>
        <w:pStyle w:val="BodyText"/>
        <w:tabs>
          <w:tab w:val="left" w:pos="720"/>
        </w:tabs>
        <w:rPr>
          <w:szCs w:val="28"/>
        </w:rPr>
      </w:pPr>
      <w:proofErr w:type="gramStart"/>
      <w:r>
        <w:rPr>
          <w:szCs w:val="28"/>
        </w:rPr>
        <w:t>this</w:t>
      </w:r>
      <w:proofErr w:type="gramEnd"/>
      <w:r>
        <w:rPr>
          <w:szCs w:val="28"/>
        </w:rPr>
        <w:t xml:space="preserve"> 20</w:t>
      </w:r>
      <w:r w:rsidRPr="009B5259">
        <w:rPr>
          <w:szCs w:val="28"/>
          <w:vertAlign w:val="superscript"/>
        </w:rPr>
        <w:t>th</w:t>
      </w:r>
      <w:r>
        <w:rPr>
          <w:szCs w:val="28"/>
        </w:rPr>
        <w:t xml:space="preserve"> day of May, 2016</w:t>
      </w:r>
    </w:p>
    <w:p w:rsidR="00894240" w:rsidRDefault="009B5259" w:rsidP="00894240">
      <w:pPr>
        <w:pStyle w:val="BodyText"/>
        <w:tabs>
          <w:tab w:val="left" w:pos="720"/>
        </w:tabs>
        <w:spacing w:line="480" w:lineRule="auto"/>
        <w:jc w:val="left"/>
        <w:rPr>
          <w:b/>
          <w:szCs w:val="28"/>
        </w:rPr>
      </w:pPr>
      <w:proofErr w:type="gramStart"/>
      <w:r w:rsidRPr="009B5259">
        <w:rPr>
          <w:szCs w:val="28"/>
        </w:rPr>
        <w:t>by</w:t>
      </w:r>
      <w:r>
        <w:rPr>
          <w:u w:val="single"/>
        </w:rPr>
        <w:t>/</w:t>
      </w:r>
      <w:proofErr w:type="gramEnd"/>
      <w:r>
        <w:rPr>
          <w:u w:val="single"/>
        </w:rPr>
        <w:t xml:space="preserve">s/ </w:t>
      </w:r>
      <w:r w:rsidRPr="006A5E35">
        <w:rPr>
          <w:i/>
          <w:u w:val="single"/>
        </w:rPr>
        <w:t>Kevin D. Heade</w:t>
      </w:r>
      <w:r>
        <w:rPr>
          <w:u w:val="single"/>
        </w:rPr>
        <w:tab/>
      </w:r>
    </w:p>
    <w:p w:rsidR="00894240" w:rsidRDefault="00894240" w:rsidP="00894240">
      <w:pPr>
        <w:pStyle w:val="BodyText"/>
        <w:tabs>
          <w:tab w:val="left" w:pos="720"/>
        </w:tabs>
        <w:spacing w:line="480" w:lineRule="auto"/>
        <w:jc w:val="left"/>
        <w:rPr>
          <w:b/>
          <w:szCs w:val="28"/>
        </w:rPr>
      </w:pPr>
    </w:p>
    <w:p w:rsidR="00894240" w:rsidRDefault="00894240" w:rsidP="00894240">
      <w:pPr>
        <w:pStyle w:val="BodyText"/>
        <w:tabs>
          <w:tab w:val="left" w:pos="720"/>
        </w:tabs>
        <w:spacing w:line="480" w:lineRule="auto"/>
        <w:jc w:val="left"/>
        <w:rPr>
          <w:b/>
          <w:szCs w:val="28"/>
        </w:rPr>
      </w:pPr>
    </w:p>
    <w:p w:rsidR="00894240" w:rsidRDefault="00894240" w:rsidP="00894240">
      <w:pPr>
        <w:pStyle w:val="BodyText"/>
        <w:tabs>
          <w:tab w:val="left" w:pos="720"/>
        </w:tabs>
        <w:spacing w:line="480" w:lineRule="auto"/>
        <w:jc w:val="left"/>
        <w:rPr>
          <w:b/>
          <w:szCs w:val="28"/>
        </w:rPr>
      </w:pPr>
    </w:p>
    <w:p w:rsidR="00894240" w:rsidRPr="00B800E7" w:rsidRDefault="00894240" w:rsidP="00894240">
      <w:pPr>
        <w:tabs>
          <w:tab w:val="left" w:pos="3553"/>
        </w:tabs>
        <w:rPr>
          <w:sz w:val="28"/>
          <w:szCs w:val="28"/>
        </w:rPr>
      </w:pPr>
    </w:p>
    <w:p w:rsidR="008165CC" w:rsidRDefault="00B433B6"/>
    <w:sectPr w:rsidR="008165CC" w:rsidSect="00C35DCA">
      <w:footerReference w:type="even" r:id="rId11"/>
      <w:footerReference w:type="default" r:id="rId12"/>
      <w:pgSz w:w="12240" w:h="15840" w:code="1"/>
      <w:pgMar w:top="1440" w:right="1440" w:bottom="1440" w:left="1440" w:header="720" w:footer="720" w:gutter="0"/>
      <w:pgNumType w:start="1"/>
      <w:cols w:space="720"/>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3D5" w:rsidRDefault="000543D5" w:rsidP="00894240">
      <w:r>
        <w:separator/>
      </w:r>
    </w:p>
  </w:endnote>
  <w:endnote w:type="continuationSeparator" w:id="0">
    <w:p w:rsidR="000543D5" w:rsidRDefault="000543D5" w:rsidP="00894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ED6" w:rsidRDefault="00BF4553" w:rsidP="004C1D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F0ED6" w:rsidRDefault="00B433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ED6" w:rsidRDefault="00BF4553" w:rsidP="004C1D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5DF2">
      <w:rPr>
        <w:rStyle w:val="PageNumber"/>
        <w:noProof/>
      </w:rPr>
      <w:t>2</w:t>
    </w:r>
    <w:r>
      <w:rPr>
        <w:rStyle w:val="PageNumber"/>
      </w:rPr>
      <w:fldChar w:fldCharType="end"/>
    </w:r>
  </w:p>
  <w:p w:rsidR="001F0ED6" w:rsidRDefault="00B43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3D5" w:rsidRDefault="000543D5" w:rsidP="00894240">
      <w:r>
        <w:separator/>
      </w:r>
    </w:p>
  </w:footnote>
  <w:footnote w:type="continuationSeparator" w:id="0">
    <w:p w:rsidR="000543D5" w:rsidRDefault="000543D5" w:rsidP="00894240">
      <w:r>
        <w:continuationSeparator/>
      </w:r>
    </w:p>
  </w:footnote>
  <w:footnote w:id="1">
    <w:p w:rsidR="00894240" w:rsidRPr="00CE2A91" w:rsidRDefault="00894240" w:rsidP="00D34C27">
      <w:pPr>
        <w:spacing w:after="240"/>
        <w:jc w:val="both"/>
        <w:rPr>
          <w:sz w:val="24"/>
          <w:szCs w:val="24"/>
        </w:rPr>
      </w:pPr>
      <w:r w:rsidRPr="00C06CE2">
        <w:rPr>
          <w:rStyle w:val="FootnoteReference"/>
        </w:rPr>
        <w:footnoteRef/>
      </w:r>
      <w:r w:rsidRPr="00C06CE2">
        <w:rPr>
          <w:i/>
        </w:rPr>
        <w:t xml:space="preserve"> </w:t>
      </w:r>
      <w:proofErr w:type="gramStart"/>
      <w:r w:rsidRPr="00C06CE2">
        <w:rPr>
          <w:i/>
          <w:sz w:val="24"/>
          <w:szCs w:val="24"/>
        </w:rPr>
        <w:t>Brady v. Maryland</w:t>
      </w:r>
      <w:r w:rsidRPr="00CE2A91">
        <w:rPr>
          <w:sz w:val="24"/>
          <w:szCs w:val="24"/>
        </w:rPr>
        <w:t>, 373 U.S. 83, 84, 83 S. Ct. 1194, 1195, 10 L. Ed. 2d 215 (1963)</w:t>
      </w:r>
      <w:r w:rsidR="007B1854">
        <w:rPr>
          <w:sz w:val="24"/>
          <w:szCs w:val="24"/>
        </w:rPr>
        <w:t>.</w:t>
      </w:r>
      <w:proofErr w:type="gramEnd"/>
    </w:p>
    <w:p w:rsidR="00894240" w:rsidRDefault="00894240" w:rsidP="00D34C27">
      <w:pPr>
        <w:pStyle w:val="FootnoteText"/>
        <w:jc w:val="both"/>
      </w:pPr>
    </w:p>
  </w:footnote>
  <w:footnote w:id="2">
    <w:p w:rsidR="00894240" w:rsidRPr="00CE2A91" w:rsidRDefault="00894240" w:rsidP="00D34C27">
      <w:pPr>
        <w:spacing w:after="240"/>
        <w:jc w:val="both"/>
        <w:rPr>
          <w:sz w:val="24"/>
          <w:szCs w:val="24"/>
        </w:rPr>
      </w:pPr>
      <w:r>
        <w:rPr>
          <w:rStyle w:val="FootnoteReference"/>
        </w:rPr>
        <w:footnoteRef/>
      </w:r>
      <w:r>
        <w:t xml:space="preserve"> </w:t>
      </w:r>
      <w:proofErr w:type="gramStart"/>
      <w:r w:rsidRPr="00CE2A91">
        <w:rPr>
          <w:sz w:val="24"/>
          <w:szCs w:val="24"/>
        </w:rPr>
        <w:t>Ariz. R. Crim. P. 24.2</w:t>
      </w:r>
      <w:r>
        <w:rPr>
          <w:sz w:val="24"/>
          <w:szCs w:val="24"/>
        </w:rPr>
        <w:t>(e) (2015)</w:t>
      </w:r>
      <w:r w:rsidR="007B1854">
        <w:rPr>
          <w:sz w:val="24"/>
          <w:szCs w:val="24"/>
        </w:rPr>
        <w:t>.</w:t>
      </w:r>
      <w:proofErr w:type="gramEnd"/>
    </w:p>
    <w:p w:rsidR="00894240" w:rsidRDefault="00894240" w:rsidP="00D34C27">
      <w:pPr>
        <w:pStyle w:val="FootnoteText"/>
        <w:jc w:val="both"/>
      </w:pPr>
    </w:p>
  </w:footnote>
  <w:footnote w:id="3">
    <w:p w:rsidR="00894240" w:rsidRDefault="00894240" w:rsidP="00D34C27">
      <w:pPr>
        <w:pStyle w:val="FootnoteText"/>
        <w:jc w:val="both"/>
        <w:rPr>
          <w:sz w:val="24"/>
          <w:szCs w:val="24"/>
        </w:rPr>
      </w:pPr>
      <w:r>
        <w:rPr>
          <w:rStyle w:val="FootnoteReference"/>
        </w:rPr>
        <w:footnoteRef/>
      </w:r>
      <w:r>
        <w:t xml:space="preserve"> </w:t>
      </w:r>
      <w:r w:rsidRPr="00D9121D">
        <w:rPr>
          <w:i/>
          <w:sz w:val="24"/>
          <w:szCs w:val="24"/>
        </w:rPr>
        <w:t>See</w:t>
      </w:r>
      <w:r w:rsidRPr="00D9121D">
        <w:rPr>
          <w:sz w:val="24"/>
          <w:szCs w:val="24"/>
        </w:rPr>
        <w:t xml:space="preserve">, </w:t>
      </w:r>
      <w:r w:rsidRPr="00D9121D">
        <w:rPr>
          <w:i/>
          <w:sz w:val="24"/>
          <w:szCs w:val="24"/>
        </w:rPr>
        <w:t>e.g</w:t>
      </w:r>
      <w:r w:rsidRPr="00D9121D">
        <w:rPr>
          <w:sz w:val="24"/>
          <w:szCs w:val="24"/>
        </w:rPr>
        <w:t xml:space="preserve">.  Barnes, </w:t>
      </w:r>
      <w:r>
        <w:rPr>
          <w:sz w:val="24"/>
          <w:szCs w:val="24"/>
        </w:rPr>
        <w:t xml:space="preserve">Bethany, </w:t>
      </w:r>
      <w:r w:rsidRPr="00D9121D">
        <w:rPr>
          <w:sz w:val="24"/>
          <w:szCs w:val="24"/>
        </w:rPr>
        <w:t>“Prosecutor secrecy with Evidence, Handling of Witnesses May Tip Balance Away from Justice</w:t>
      </w:r>
      <w:r>
        <w:rPr>
          <w:sz w:val="24"/>
          <w:szCs w:val="24"/>
        </w:rPr>
        <w:t>,</w:t>
      </w:r>
      <w:r w:rsidRPr="00D9121D">
        <w:rPr>
          <w:sz w:val="24"/>
          <w:szCs w:val="24"/>
        </w:rPr>
        <w:t xml:space="preserve">” </w:t>
      </w:r>
      <w:r w:rsidRPr="00D9121D">
        <w:rPr>
          <w:smallCaps/>
          <w:sz w:val="24"/>
          <w:szCs w:val="24"/>
        </w:rPr>
        <w:t>Las Vegas Review-Journal</w:t>
      </w:r>
      <w:r>
        <w:rPr>
          <w:sz w:val="24"/>
          <w:szCs w:val="24"/>
        </w:rPr>
        <w:t>,</w:t>
      </w:r>
      <w:r w:rsidRPr="00D9121D">
        <w:rPr>
          <w:sz w:val="24"/>
          <w:szCs w:val="24"/>
        </w:rPr>
        <w:t xml:space="preserve"> Nov. 07, 2015 (available at </w:t>
      </w:r>
      <w:hyperlink r:id="rId1" w:history="1">
        <w:r w:rsidRPr="00D9121D">
          <w:rPr>
            <w:rStyle w:val="Hyperlink"/>
            <w:sz w:val="24"/>
            <w:szCs w:val="24"/>
          </w:rPr>
          <w:t>http://www.reviewjournal.com/news/las-vegas/prosecutor-secrecy-evidence-handling-witnesses-may-tip-balance-away-justice</w:t>
        </w:r>
      </w:hyperlink>
      <w:r>
        <w:rPr>
          <w:sz w:val="24"/>
          <w:szCs w:val="24"/>
        </w:rPr>
        <w:t xml:space="preserve"> );  </w:t>
      </w:r>
      <w:proofErr w:type="spellStart"/>
      <w:r>
        <w:rPr>
          <w:sz w:val="24"/>
          <w:szCs w:val="24"/>
        </w:rPr>
        <w:t>Balko</w:t>
      </w:r>
      <w:proofErr w:type="spellEnd"/>
      <w:r>
        <w:rPr>
          <w:sz w:val="24"/>
          <w:szCs w:val="24"/>
        </w:rPr>
        <w:t>, Radley,</w:t>
      </w:r>
      <w:r w:rsidRPr="00D9121D">
        <w:rPr>
          <w:sz w:val="24"/>
          <w:szCs w:val="24"/>
        </w:rPr>
        <w:t xml:space="preserve"> “The Outrageous Conviction of Montez </w:t>
      </w:r>
      <w:proofErr w:type="spellStart"/>
      <w:r w:rsidRPr="00D9121D">
        <w:rPr>
          <w:sz w:val="24"/>
          <w:szCs w:val="24"/>
        </w:rPr>
        <w:t>Spradley</w:t>
      </w:r>
      <w:proofErr w:type="spellEnd"/>
      <w:r>
        <w:rPr>
          <w:sz w:val="24"/>
          <w:szCs w:val="24"/>
        </w:rPr>
        <w:t>,</w:t>
      </w:r>
      <w:r w:rsidRPr="00D9121D">
        <w:rPr>
          <w:sz w:val="24"/>
          <w:szCs w:val="24"/>
        </w:rPr>
        <w:t xml:space="preserve">” </w:t>
      </w:r>
      <w:r w:rsidRPr="00D9121D">
        <w:rPr>
          <w:smallCaps/>
          <w:sz w:val="24"/>
          <w:szCs w:val="24"/>
        </w:rPr>
        <w:t>Washington Post</w:t>
      </w:r>
      <w:r>
        <w:rPr>
          <w:sz w:val="24"/>
          <w:szCs w:val="24"/>
        </w:rPr>
        <w:t>,</w:t>
      </w:r>
      <w:r w:rsidRPr="00D9121D">
        <w:rPr>
          <w:sz w:val="24"/>
          <w:szCs w:val="24"/>
        </w:rPr>
        <w:t xml:space="preserve"> Sept. 21, 2015 (available at </w:t>
      </w:r>
      <w:hyperlink r:id="rId2" w:history="1">
        <w:r w:rsidRPr="00D9121D">
          <w:rPr>
            <w:rStyle w:val="Hyperlink"/>
            <w:sz w:val="24"/>
            <w:szCs w:val="24"/>
          </w:rPr>
          <w:t>https://www.washingtonpost.com/news/the-watch/wp/2015/09/21/the-outrageous-conviction-of-montez-spradley/</w:t>
        </w:r>
      </w:hyperlink>
      <w:r w:rsidRPr="00D9121D">
        <w:rPr>
          <w:sz w:val="24"/>
          <w:szCs w:val="24"/>
        </w:rPr>
        <w:t xml:space="preserve"> );   “Convictions Overturned, Prosecutors Rebuked: Lawyers Did Not Turn Over Key Evidence in Trial About Struggle with Payson Police</w:t>
      </w:r>
      <w:r>
        <w:rPr>
          <w:sz w:val="24"/>
          <w:szCs w:val="24"/>
        </w:rPr>
        <w:t>,</w:t>
      </w:r>
      <w:r w:rsidRPr="00D9121D">
        <w:rPr>
          <w:sz w:val="24"/>
          <w:szCs w:val="24"/>
        </w:rPr>
        <w:t xml:space="preserve">” </w:t>
      </w:r>
      <w:r w:rsidRPr="00D9121D">
        <w:rPr>
          <w:smallCaps/>
          <w:sz w:val="24"/>
          <w:szCs w:val="24"/>
        </w:rPr>
        <w:t>Payson Roundup</w:t>
      </w:r>
      <w:r w:rsidRPr="00D9121D">
        <w:rPr>
          <w:sz w:val="24"/>
          <w:szCs w:val="24"/>
        </w:rPr>
        <w:t xml:space="preserve">, Dec. 06, 2013 (available at </w:t>
      </w:r>
      <w:hyperlink r:id="rId3" w:history="1">
        <w:r w:rsidRPr="00D9121D">
          <w:rPr>
            <w:rStyle w:val="Hyperlink"/>
            <w:sz w:val="24"/>
            <w:szCs w:val="24"/>
          </w:rPr>
          <w:t>http://www.paysonroundup.com/news/2013/dec/06/convictions-overturned-prosecutors-rebuked/</w:t>
        </w:r>
      </w:hyperlink>
      <w:r>
        <w:rPr>
          <w:sz w:val="24"/>
          <w:szCs w:val="24"/>
        </w:rPr>
        <w:t xml:space="preserve"> ); Fuchs, Erin,</w:t>
      </w:r>
      <w:r w:rsidRPr="00D9121D">
        <w:rPr>
          <w:sz w:val="24"/>
          <w:szCs w:val="24"/>
        </w:rPr>
        <w:t xml:space="preserve"> “Judge Says Lazy, Unethical Prosecutors Across America are Breaking a Basic Rule</w:t>
      </w:r>
      <w:r>
        <w:rPr>
          <w:sz w:val="24"/>
          <w:szCs w:val="24"/>
        </w:rPr>
        <w:t>,</w:t>
      </w:r>
      <w:r w:rsidRPr="00D9121D">
        <w:rPr>
          <w:sz w:val="24"/>
          <w:szCs w:val="24"/>
        </w:rPr>
        <w:t xml:space="preserve">” </w:t>
      </w:r>
      <w:r w:rsidRPr="00D9121D">
        <w:rPr>
          <w:smallCaps/>
          <w:sz w:val="24"/>
          <w:szCs w:val="24"/>
        </w:rPr>
        <w:t>Business Inside</w:t>
      </w:r>
      <w:r>
        <w:rPr>
          <w:smallCaps/>
          <w:sz w:val="24"/>
          <w:szCs w:val="24"/>
        </w:rPr>
        <w:t>,</w:t>
      </w:r>
      <w:r w:rsidRPr="00D9121D">
        <w:rPr>
          <w:sz w:val="24"/>
          <w:szCs w:val="24"/>
        </w:rPr>
        <w:t xml:space="preserve">. </w:t>
      </w:r>
      <w:proofErr w:type="gramStart"/>
      <w:r w:rsidRPr="00D9121D">
        <w:rPr>
          <w:sz w:val="24"/>
          <w:szCs w:val="24"/>
        </w:rPr>
        <w:t xml:space="preserve">Dec. 11, 2013 (available at </w:t>
      </w:r>
      <w:hyperlink r:id="rId4" w:history="1">
        <w:r w:rsidRPr="00D9121D">
          <w:rPr>
            <w:rStyle w:val="Hyperlink"/>
            <w:sz w:val="24"/>
            <w:szCs w:val="24"/>
          </w:rPr>
          <w:t>http://www.businessinsider.com/alex-kosinskis-brady-violations-opinion-2013-12</w:t>
        </w:r>
      </w:hyperlink>
      <w:r w:rsidRPr="00D9121D">
        <w:rPr>
          <w:sz w:val="24"/>
          <w:szCs w:val="24"/>
        </w:rPr>
        <w:t xml:space="preserve"> );</w:t>
      </w:r>
      <w:r>
        <w:rPr>
          <w:sz w:val="24"/>
          <w:szCs w:val="24"/>
        </w:rPr>
        <w:t xml:space="preserve"> </w:t>
      </w:r>
      <w:proofErr w:type="spellStart"/>
      <w:r>
        <w:rPr>
          <w:sz w:val="24"/>
          <w:szCs w:val="24"/>
        </w:rPr>
        <w:t>Balko</w:t>
      </w:r>
      <w:proofErr w:type="spellEnd"/>
      <w:r>
        <w:rPr>
          <w:sz w:val="24"/>
          <w:szCs w:val="24"/>
        </w:rPr>
        <w:t xml:space="preserve">, </w:t>
      </w:r>
      <w:proofErr w:type="spellStart"/>
      <w:r>
        <w:rPr>
          <w:sz w:val="24"/>
          <w:szCs w:val="24"/>
        </w:rPr>
        <w:t>Radly</w:t>
      </w:r>
      <w:proofErr w:type="spellEnd"/>
      <w:r>
        <w:rPr>
          <w:sz w:val="24"/>
          <w:szCs w:val="24"/>
        </w:rPr>
        <w:t>,</w:t>
      </w:r>
      <w:r w:rsidRPr="00D9121D">
        <w:rPr>
          <w:sz w:val="24"/>
          <w:szCs w:val="24"/>
        </w:rPr>
        <w:t xml:space="preserve"> “</w:t>
      </w:r>
      <w:r w:rsidRPr="00D9121D">
        <w:rPr>
          <w:i/>
          <w:sz w:val="24"/>
          <w:szCs w:val="24"/>
        </w:rPr>
        <w:t>Brady v. Maryland</w:t>
      </w:r>
      <w:r w:rsidRPr="00D9121D">
        <w:rPr>
          <w:sz w:val="24"/>
          <w:szCs w:val="24"/>
        </w:rPr>
        <w:t xml:space="preserve"> Turns 50, but Defense Attorneys Aren’t Celebrating</w:t>
      </w:r>
      <w:r>
        <w:rPr>
          <w:sz w:val="24"/>
          <w:szCs w:val="24"/>
        </w:rPr>
        <w:t>,</w:t>
      </w:r>
      <w:r w:rsidRPr="00D9121D">
        <w:rPr>
          <w:sz w:val="24"/>
          <w:szCs w:val="24"/>
        </w:rPr>
        <w:t xml:space="preserve">” </w:t>
      </w:r>
      <w:r w:rsidRPr="00D9121D">
        <w:rPr>
          <w:smallCaps/>
          <w:sz w:val="24"/>
          <w:szCs w:val="24"/>
        </w:rPr>
        <w:t>Huffington Post</w:t>
      </w:r>
      <w:r w:rsidRPr="00D9121D">
        <w:rPr>
          <w:sz w:val="24"/>
          <w:szCs w:val="24"/>
        </w:rPr>
        <w:t>.</w:t>
      </w:r>
      <w:proofErr w:type="gramEnd"/>
      <w:r w:rsidRPr="00D9121D">
        <w:rPr>
          <w:sz w:val="24"/>
          <w:szCs w:val="24"/>
        </w:rPr>
        <w:t xml:space="preserve"> May 13, 2013 (available at </w:t>
      </w:r>
      <w:hyperlink r:id="rId5" w:history="1">
        <w:r w:rsidRPr="00D9121D">
          <w:rPr>
            <w:rStyle w:val="Hyperlink"/>
            <w:sz w:val="24"/>
            <w:szCs w:val="24"/>
          </w:rPr>
          <w:t>http://www.huffingtonpost.com/2013/05/13/brady-v-maryland-50_n_3268000.html</w:t>
        </w:r>
      </w:hyperlink>
      <w:r w:rsidRPr="00D9121D">
        <w:rPr>
          <w:sz w:val="24"/>
          <w:szCs w:val="24"/>
        </w:rPr>
        <w:t xml:space="preserve"> ); Lewis, Neil</w:t>
      </w:r>
      <w:r>
        <w:rPr>
          <w:sz w:val="24"/>
          <w:szCs w:val="24"/>
        </w:rPr>
        <w:t>,</w:t>
      </w:r>
      <w:r w:rsidRPr="00D9121D">
        <w:rPr>
          <w:sz w:val="24"/>
          <w:szCs w:val="24"/>
        </w:rPr>
        <w:t xml:space="preserve"> “Judge Berates Prosecutors in Trial of Senator [Ted Stevens]</w:t>
      </w:r>
      <w:r>
        <w:rPr>
          <w:sz w:val="24"/>
          <w:szCs w:val="24"/>
        </w:rPr>
        <w:t>,</w:t>
      </w:r>
      <w:r w:rsidRPr="00D9121D">
        <w:rPr>
          <w:sz w:val="24"/>
          <w:szCs w:val="24"/>
        </w:rPr>
        <w:t xml:space="preserve">” </w:t>
      </w:r>
      <w:r w:rsidRPr="00D9121D">
        <w:rPr>
          <w:smallCaps/>
          <w:sz w:val="24"/>
          <w:szCs w:val="24"/>
        </w:rPr>
        <w:t>New York Times</w:t>
      </w:r>
      <w:r w:rsidRPr="00D9121D">
        <w:rPr>
          <w:sz w:val="24"/>
          <w:szCs w:val="24"/>
        </w:rPr>
        <w:t xml:space="preserve">, Oct. 02, 2008 (available at </w:t>
      </w:r>
      <w:hyperlink r:id="rId6" w:history="1">
        <w:r w:rsidRPr="00D9121D">
          <w:rPr>
            <w:rStyle w:val="Hyperlink"/>
            <w:sz w:val="24"/>
            <w:szCs w:val="24"/>
          </w:rPr>
          <w:t>http://www.nytimes.com/2008/10/03/us/03stevens.html</w:t>
        </w:r>
      </w:hyperlink>
      <w:r w:rsidRPr="00D9121D">
        <w:rPr>
          <w:sz w:val="24"/>
          <w:szCs w:val="24"/>
        </w:rPr>
        <w:t xml:space="preserve">); </w:t>
      </w:r>
      <w:proofErr w:type="spellStart"/>
      <w:r w:rsidRPr="00D9121D">
        <w:rPr>
          <w:sz w:val="24"/>
          <w:szCs w:val="24"/>
        </w:rPr>
        <w:t>Dewan</w:t>
      </w:r>
      <w:proofErr w:type="spellEnd"/>
      <w:r w:rsidRPr="00D9121D">
        <w:rPr>
          <w:sz w:val="24"/>
          <w:szCs w:val="24"/>
        </w:rPr>
        <w:t xml:space="preserve">, </w:t>
      </w:r>
      <w:proofErr w:type="spellStart"/>
      <w:r w:rsidRPr="00D9121D">
        <w:rPr>
          <w:sz w:val="24"/>
          <w:szCs w:val="24"/>
        </w:rPr>
        <w:t>Shaila</w:t>
      </w:r>
      <w:proofErr w:type="spellEnd"/>
      <w:r w:rsidRPr="00D9121D">
        <w:rPr>
          <w:sz w:val="24"/>
          <w:szCs w:val="24"/>
        </w:rPr>
        <w:t>. “Duke Prosecutor Jailed; Students Seek Settlement</w:t>
      </w:r>
      <w:r>
        <w:rPr>
          <w:sz w:val="24"/>
          <w:szCs w:val="24"/>
        </w:rPr>
        <w:t>,</w:t>
      </w:r>
      <w:r w:rsidRPr="00D9121D">
        <w:rPr>
          <w:sz w:val="24"/>
          <w:szCs w:val="24"/>
        </w:rPr>
        <w:t xml:space="preserve">” </w:t>
      </w:r>
      <w:r w:rsidRPr="00D9121D">
        <w:rPr>
          <w:smallCaps/>
          <w:sz w:val="24"/>
          <w:szCs w:val="24"/>
        </w:rPr>
        <w:t>New York Times</w:t>
      </w:r>
      <w:proofErr w:type="gramStart"/>
      <w:r>
        <w:rPr>
          <w:sz w:val="24"/>
          <w:szCs w:val="24"/>
        </w:rPr>
        <w:t>,</w:t>
      </w:r>
      <w:r w:rsidRPr="00D9121D">
        <w:rPr>
          <w:sz w:val="24"/>
          <w:szCs w:val="24"/>
        </w:rPr>
        <w:t xml:space="preserve">  Sept</w:t>
      </w:r>
      <w:proofErr w:type="gramEnd"/>
      <w:r w:rsidRPr="00D9121D">
        <w:rPr>
          <w:sz w:val="24"/>
          <w:szCs w:val="24"/>
        </w:rPr>
        <w:t xml:space="preserve">. 08, 2007 (available at </w:t>
      </w:r>
      <w:hyperlink r:id="rId7" w:history="1">
        <w:r w:rsidRPr="00D9121D">
          <w:rPr>
            <w:rStyle w:val="Hyperlink"/>
            <w:sz w:val="24"/>
            <w:szCs w:val="24"/>
          </w:rPr>
          <w:t>http://www.nytimes.com/2007/09/08/us/08duke.html</w:t>
        </w:r>
      </w:hyperlink>
      <w:r w:rsidRPr="00D9121D">
        <w:rPr>
          <w:sz w:val="24"/>
          <w:szCs w:val="24"/>
        </w:rPr>
        <w:t xml:space="preserve"> )</w:t>
      </w:r>
      <w:r>
        <w:rPr>
          <w:sz w:val="24"/>
          <w:szCs w:val="24"/>
        </w:rPr>
        <w:t>.</w:t>
      </w:r>
    </w:p>
    <w:p w:rsidR="00D34C27" w:rsidRDefault="00D34C27" w:rsidP="00D34C27">
      <w:pPr>
        <w:pStyle w:val="FootnoteText"/>
        <w:jc w:val="both"/>
      </w:pPr>
    </w:p>
  </w:footnote>
  <w:footnote w:id="4">
    <w:p w:rsidR="00894240" w:rsidRPr="003D3C90" w:rsidRDefault="00894240" w:rsidP="00D34C27">
      <w:pPr>
        <w:jc w:val="both"/>
        <w:rPr>
          <w:sz w:val="24"/>
          <w:szCs w:val="24"/>
        </w:rPr>
      </w:pPr>
      <w:r>
        <w:rPr>
          <w:rStyle w:val="FootnoteReference"/>
        </w:rPr>
        <w:footnoteRef/>
      </w:r>
      <w:r>
        <w:t xml:space="preserve"> </w:t>
      </w:r>
      <w:r w:rsidRPr="00FD10F6">
        <w:rPr>
          <w:i/>
        </w:rPr>
        <w:t>See</w:t>
      </w:r>
      <w:r>
        <w:t xml:space="preserve">, </w:t>
      </w:r>
      <w:r w:rsidRPr="00B81473">
        <w:rPr>
          <w:i/>
        </w:rPr>
        <w:t>e.g</w:t>
      </w:r>
      <w:r>
        <w:t xml:space="preserve">., </w:t>
      </w:r>
      <w:r w:rsidRPr="00B37DA6">
        <w:rPr>
          <w:sz w:val="24"/>
          <w:szCs w:val="24"/>
        </w:rPr>
        <w:t xml:space="preserve">Jonathan Abel, </w:t>
      </w:r>
      <w:r w:rsidRPr="00B37DA6">
        <w:rPr>
          <w:sz w:val="24"/>
          <w:szCs w:val="24"/>
          <w:u w:val="single"/>
        </w:rPr>
        <w:t>Brady's Blind Spot: Impeachment Evidence in Police Personnel Files and the Battle Splitting the Prosecution Team</w:t>
      </w:r>
      <w:r w:rsidRPr="00B37DA6">
        <w:rPr>
          <w:sz w:val="24"/>
          <w:szCs w:val="24"/>
        </w:rPr>
        <w:t>, 67 Stan. L. Rev. 743 (2015)</w:t>
      </w:r>
      <w:r>
        <w:rPr>
          <w:sz w:val="24"/>
          <w:szCs w:val="24"/>
        </w:rPr>
        <w:t xml:space="preserve">; </w:t>
      </w:r>
      <w:r w:rsidRPr="00D9121D">
        <w:rPr>
          <w:sz w:val="24"/>
          <w:szCs w:val="24"/>
        </w:rPr>
        <w:t xml:space="preserve">Leonard </w:t>
      </w:r>
      <w:proofErr w:type="spellStart"/>
      <w:r w:rsidRPr="00D9121D">
        <w:rPr>
          <w:sz w:val="24"/>
          <w:szCs w:val="24"/>
        </w:rPr>
        <w:t>Sosnov</w:t>
      </w:r>
      <w:proofErr w:type="spellEnd"/>
      <w:r w:rsidRPr="00D9121D">
        <w:rPr>
          <w:sz w:val="24"/>
          <w:szCs w:val="24"/>
        </w:rPr>
        <w:t xml:space="preserve">, </w:t>
      </w:r>
      <w:r w:rsidRPr="00D9121D">
        <w:rPr>
          <w:sz w:val="24"/>
          <w:szCs w:val="24"/>
          <w:u w:val="single"/>
        </w:rPr>
        <w:t>Brady Reconstructed: An Overdue Expansion of Rights and Remedies</w:t>
      </w:r>
      <w:r w:rsidRPr="00D9121D">
        <w:rPr>
          <w:sz w:val="24"/>
          <w:szCs w:val="24"/>
        </w:rPr>
        <w:t>, 45 N.M.L. Rev. 171 (2014)</w:t>
      </w:r>
      <w:r>
        <w:rPr>
          <w:sz w:val="24"/>
          <w:szCs w:val="24"/>
        </w:rPr>
        <w:t xml:space="preserve">; </w:t>
      </w:r>
      <w:r w:rsidRPr="00B37DA6">
        <w:rPr>
          <w:sz w:val="24"/>
          <w:szCs w:val="24"/>
        </w:rPr>
        <w:t xml:space="preserve">Gerard </w:t>
      </w:r>
      <w:proofErr w:type="spellStart"/>
      <w:r w:rsidRPr="00B37DA6">
        <w:rPr>
          <w:sz w:val="24"/>
          <w:szCs w:val="24"/>
        </w:rPr>
        <w:t>Fowke</w:t>
      </w:r>
      <w:proofErr w:type="spellEnd"/>
      <w:r w:rsidRPr="00B37DA6">
        <w:rPr>
          <w:sz w:val="24"/>
          <w:szCs w:val="24"/>
        </w:rPr>
        <w:t xml:space="preserve">, </w:t>
      </w:r>
      <w:r w:rsidRPr="00B37DA6">
        <w:rPr>
          <w:sz w:val="24"/>
          <w:szCs w:val="24"/>
          <w:u w:val="single"/>
        </w:rPr>
        <w:t>Material to Whom?: Implementing Brady's Duty to Disclose at Trial and During Plea Bargaining</w:t>
      </w:r>
      <w:r>
        <w:rPr>
          <w:sz w:val="24"/>
          <w:szCs w:val="24"/>
        </w:rPr>
        <w:t xml:space="preserve">, 50 Am. Crim. L. Rev. 575 </w:t>
      </w:r>
      <w:r w:rsidRPr="00B37DA6">
        <w:rPr>
          <w:sz w:val="24"/>
          <w:szCs w:val="24"/>
        </w:rPr>
        <w:t xml:space="preserve"> (2013)</w:t>
      </w:r>
      <w:r>
        <w:rPr>
          <w:sz w:val="24"/>
          <w:szCs w:val="24"/>
        </w:rPr>
        <w:t xml:space="preserve">; </w:t>
      </w:r>
      <w:r w:rsidRPr="00B37DA6">
        <w:rPr>
          <w:sz w:val="24"/>
          <w:szCs w:val="24"/>
        </w:rPr>
        <w:t xml:space="preserve">Abigail B. Scott, </w:t>
      </w:r>
      <w:r w:rsidRPr="00B37DA6">
        <w:rPr>
          <w:sz w:val="24"/>
          <w:szCs w:val="24"/>
          <w:u w:val="single"/>
        </w:rPr>
        <w:t>No Secrets Allowed: A Prosecutor's Obligation to Disclose Inadmissible Evidence</w:t>
      </w:r>
      <w:r w:rsidRPr="00B37DA6">
        <w:rPr>
          <w:sz w:val="24"/>
          <w:szCs w:val="24"/>
        </w:rPr>
        <w:t>, 61 Cath. U.L. Rev. 867 (2012)</w:t>
      </w:r>
      <w:r>
        <w:rPr>
          <w:sz w:val="24"/>
          <w:szCs w:val="24"/>
        </w:rPr>
        <w:t>;</w:t>
      </w:r>
      <w:r w:rsidRPr="001F0ED6">
        <w:rPr>
          <w:sz w:val="24"/>
          <w:szCs w:val="24"/>
        </w:rPr>
        <w:t xml:space="preserve"> </w:t>
      </w:r>
      <w:r w:rsidRPr="005731C6">
        <w:rPr>
          <w:sz w:val="24"/>
          <w:szCs w:val="24"/>
        </w:rPr>
        <w:t xml:space="preserve">Kate </w:t>
      </w:r>
      <w:proofErr w:type="spellStart"/>
      <w:r w:rsidRPr="005731C6">
        <w:rPr>
          <w:sz w:val="24"/>
          <w:szCs w:val="24"/>
        </w:rPr>
        <w:t>Weisburd</w:t>
      </w:r>
      <w:proofErr w:type="spellEnd"/>
      <w:r w:rsidRPr="005731C6">
        <w:rPr>
          <w:sz w:val="24"/>
          <w:szCs w:val="24"/>
        </w:rPr>
        <w:t xml:space="preserve">, </w:t>
      </w:r>
      <w:r w:rsidRPr="005731C6">
        <w:rPr>
          <w:sz w:val="24"/>
          <w:szCs w:val="24"/>
          <w:u w:val="single"/>
        </w:rPr>
        <w:t>Prosecutors Hide, Defendants Seek: The Erosion of Brady Through the Defendant Due Diligence Rule</w:t>
      </w:r>
      <w:r w:rsidRPr="005731C6">
        <w:rPr>
          <w:sz w:val="24"/>
          <w:szCs w:val="24"/>
        </w:rPr>
        <w:t>, 60 UCLA L. Rev. 138 (2012)</w:t>
      </w:r>
      <w:r>
        <w:rPr>
          <w:sz w:val="24"/>
          <w:szCs w:val="24"/>
        </w:rPr>
        <w:t xml:space="preserve">; </w:t>
      </w:r>
      <w:r w:rsidRPr="00B37DA6">
        <w:rPr>
          <w:sz w:val="24"/>
          <w:szCs w:val="24"/>
        </w:rPr>
        <w:t xml:space="preserve">Cynthia E. Jones, </w:t>
      </w:r>
      <w:r w:rsidRPr="00B37DA6">
        <w:rPr>
          <w:sz w:val="24"/>
          <w:szCs w:val="24"/>
          <w:u w:val="single"/>
        </w:rPr>
        <w:t>A Reason to Doubt: The Suppression of Evidence and the Inference of Innocence</w:t>
      </w:r>
      <w:r w:rsidRPr="00B37DA6">
        <w:rPr>
          <w:sz w:val="24"/>
          <w:szCs w:val="24"/>
        </w:rPr>
        <w:t>, 100 J. Crim. L. &amp; Criminology 415 (2010)</w:t>
      </w:r>
      <w:r>
        <w:rPr>
          <w:sz w:val="24"/>
          <w:szCs w:val="24"/>
        </w:rPr>
        <w:t xml:space="preserve">; </w:t>
      </w:r>
      <w:r w:rsidRPr="00B37DA6">
        <w:rPr>
          <w:sz w:val="24"/>
          <w:szCs w:val="24"/>
        </w:rPr>
        <w:t xml:space="preserve">Sara </w:t>
      </w:r>
      <w:proofErr w:type="spellStart"/>
      <w:r w:rsidRPr="00B37DA6">
        <w:rPr>
          <w:sz w:val="24"/>
          <w:szCs w:val="24"/>
        </w:rPr>
        <w:t>Gurwitch</w:t>
      </w:r>
      <w:proofErr w:type="spellEnd"/>
      <w:r w:rsidRPr="00B37DA6">
        <w:rPr>
          <w:sz w:val="24"/>
          <w:szCs w:val="24"/>
        </w:rPr>
        <w:t xml:space="preserve">, </w:t>
      </w:r>
      <w:r w:rsidRPr="00B37DA6">
        <w:rPr>
          <w:sz w:val="24"/>
          <w:szCs w:val="24"/>
          <w:u w:val="single"/>
        </w:rPr>
        <w:t>When Self-Policing Does Not Work: A Proposal for Policing Prosecutors in Their Obligation to Provide Exculpatory Evidence to the Defense</w:t>
      </w:r>
      <w:r w:rsidRPr="00B37DA6">
        <w:rPr>
          <w:sz w:val="24"/>
          <w:szCs w:val="24"/>
        </w:rPr>
        <w:t>, 50 Santa Clara L. Rev. 303 (2010)</w:t>
      </w:r>
      <w:r>
        <w:rPr>
          <w:sz w:val="24"/>
          <w:szCs w:val="24"/>
        </w:rPr>
        <w:t>;</w:t>
      </w:r>
      <w:r w:rsidRPr="001F0ED6">
        <w:rPr>
          <w:sz w:val="24"/>
          <w:szCs w:val="24"/>
        </w:rPr>
        <w:t xml:space="preserve"> </w:t>
      </w:r>
      <w:r w:rsidRPr="005731C6">
        <w:rPr>
          <w:sz w:val="24"/>
          <w:szCs w:val="24"/>
        </w:rPr>
        <w:t xml:space="preserve">Bruce A. Green, </w:t>
      </w:r>
      <w:r w:rsidRPr="005731C6">
        <w:rPr>
          <w:sz w:val="24"/>
          <w:szCs w:val="24"/>
          <w:u w:val="single"/>
        </w:rPr>
        <w:t>Beyond Training Prosecutors About Their Disclosure Obligations: Can Prosecutors' Offices Learn from Their Lawyers' Mistakes?</w:t>
      </w:r>
      <w:r w:rsidRPr="005731C6">
        <w:rPr>
          <w:sz w:val="24"/>
          <w:szCs w:val="24"/>
        </w:rPr>
        <w:t>, 31 Cardozo L. Rev. 2161 (2010)</w:t>
      </w:r>
      <w:r>
        <w:rPr>
          <w:sz w:val="24"/>
          <w:szCs w:val="24"/>
        </w:rPr>
        <w:t xml:space="preserve">;  </w:t>
      </w:r>
      <w:r w:rsidRPr="005731C6">
        <w:rPr>
          <w:sz w:val="24"/>
          <w:szCs w:val="24"/>
        </w:rPr>
        <w:t xml:space="preserve">Daniel S. </w:t>
      </w:r>
      <w:proofErr w:type="spellStart"/>
      <w:r w:rsidRPr="005731C6">
        <w:rPr>
          <w:sz w:val="24"/>
          <w:szCs w:val="24"/>
        </w:rPr>
        <w:t>Medwed</w:t>
      </w:r>
      <w:proofErr w:type="spellEnd"/>
      <w:r w:rsidRPr="005731C6">
        <w:rPr>
          <w:sz w:val="24"/>
          <w:szCs w:val="24"/>
        </w:rPr>
        <w:t xml:space="preserve">, </w:t>
      </w:r>
      <w:r w:rsidRPr="005731C6">
        <w:rPr>
          <w:sz w:val="24"/>
          <w:szCs w:val="24"/>
          <w:u w:val="single"/>
        </w:rPr>
        <w:t>Brady's Bunch of Flaws</w:t>
      </w:r>
      <w:r w:rsidRPr="005731C6">
        <w:rPr>
          <w:sz w:val="24"/>
          <w:szCs w:val="24"/>
        </w:rPr>
        <w:t>, 67 Wash. &amp; Lee L. Rev. 1533 (2010)</w:t>
      </w:r>
      <w:r>
        <w:rPr>
          <w:sz w:val="24"/>
          <w:szCs w:val="24"/>
        </w:rPr>
        <w:t>;</w:t>
      </w:r>
      <w:r w:rsidRPr="001F0ED6">
        <w:rPr>
          <w:sz w:val="24"/>
          <w:szCs w:val="24"/>
        </w:rPr>
        <w:t xml:space="preserve"> </w:t>
      </w:r>
      <w:r w:rsidRPr="005731C6">
        <w:rPr>
          <w:sz w:val="24"/>
          <w:szCs w:val="24"/>
        </w:rPr>
        <w:t xml:space="preserve">Angela J. Davis, </w:t>
      </w:r>
      <w:r w:rsidRPr="005731C6">
        <w:rPr>
          <w:sz w:val="24"/>
          <w:szCs w:val="24"/>
          <w:u w:val="single"/>
        </w:rPr>
        <w:t>The Legal Profession's Failure to Discipline Unethical Prosecutors</w:t>
      </w:r>
      <w:r w:rsidRPr="005731C6">
        <w:rPr>
          <w:sz w:val="24"/>
          <w:szCs w:val="24"/>
        </w:rPr>
        <w:t>, 36 Hofstra L. Rev. 275 (2007)</w:t>
      </w:r>
      <w:r>
        <w:rPr>
          <w:sz w:val="24"/>
          <w:szCs w:val="24"/>
        </w:rPr>
        <w:t>;</w:t>
      </w:r>
      <w:r w:rsidRPr="005731C6">
        <w:rPr>
          <w:sz w:val="24"/>
          <w:szCs w:val="24"/>
        </w:rPr>
        <w:t xml:space="preserve">Eugene </w:t>
      </w:r>
      <w:proofErr w:type="spellStart"/>
      <w:r w:rsidRPr="005731C6">
        <w:rPr>
          <w:sz w:val="24"/>
          <w:szCs w:val="24"/>
        </w:rPr>
        <w:t>Cerruti</w:t>
      </w:r>
      <w:proofErr w:type="spellEnd"/>
      <w:r w:rsidRPr="005731C6">
        <w:rPr>
          <w:sz w:val="24"/>
          <w:szCs w:val="24"/>
        </w:rPr>
        <w:t xml:space="preserve">, </w:t>
      </w:r>
      <w:r w:rsidRPr="005731C6">
        <w:rPr>
          <w:sz w:val="24"/>
          <w:szCs w:val="24"/>
          <w:u w:val="single"/>
        </w:rPr>
        <w:t>Through the Looking-Glass at the Brady Doctrine: Some New Reflections on White Queens, Hobgoblins, and Due Process</w:t>
      </w:r>
      <w:r w:rsidRPr="005731C6">
        <w:rPr>
          <w:sz w:val="24"/>
          <w:szCs w:val="24"/>
        </w:rPr>
        <w:t>, 94 Ky. L.J. 211 (2006)</w:t>
      </w:r>
      <w:r>
        <w:rPr>
          <w:sz w:val="24"/>
          <w:szCs w:val="24"/>
        </w:rPr>
        <w:t xml:space="preserve">; </w:t>
      </w:r>
      <w:r w:rsidRPr="005731C6">
        <w:rPr>
          <w:sz w:val="24"/>
          <w:szCs w:val="24"/>
        </w:rPr>
        <w:t xml:space="preserve">Susan </w:t>
      </w:r>
      <w:proofErr w:type="spellStart"/>
      <w:r w:rsidRPr="005731C6">
        <w:rPr>
          <w:sz w:val="24"/>
          <w:szCs w:val="24"/>
        </w:rPr>
        <w:t>Bandes</w:t>
      </w:r>
      <w:proofErr w:type="spellEnd"/>
      <w:r w:rsidRPr="005731C6">
        <w:rPr>
          <w:sz w:val="24"/>
          <w:szCs w:val="24"/>
        </w:rPr>
        <w:t xml:space="preserve">, </w:t>
      </w:r>
      <w:r w:rsidRPr="005731C6">
        <w:rPr>
          <w:sz w:val="24"/>
          <w:szCs w:val="24"/>
          <w:u w:val="single"/>
        </w:rPr>
        <w:t>Loyalty to One's Convictions: The Prosecutor and Tunnel Vision</w:t>
      </w:r>
      <w:r w:rsidRPr="005731C6">
        <w:rPr>
          <w:sz w:val="24"/>
          <w:szCs w:val="24"/>
        </w:rPr>
        <w:t>, 49 How. L.J. 475 (2006)</w:t>
      </w:r>
      <w:r>
        <w:rPr>
          <w:sz w:val="24"/>
          <w:szCs w:val="24"/>
        </w:rPr>
        <w:t>;</w:t>
      </w:r>
      <w:r w:rsidRPr="005731C6">
        <w:rPr>
          <w:sz w:val="24"/>
          <w:szCs w:val="24"/>
        </w:rPr>
        <w:t xml:space="preserve">R. Michael Cassidy, </w:t>
      </w:r>
      <w:r w:rsidRPr="005731C6">
        <w:rPr>
          <w:sz w:val="24"/>
          <w:szCs w:val="24"/>
          <w:u w:val="single"/>
        </w:rPr>
        <w:t xml:space="preserve">"Soft Words of Hope:" </w:t>
      </w:r>
      <w:proofErr w:type="spellStart"/>
      <w:r w:rsidRPr="005731C6">
        <w:rPr>
          <w:sz w:val="24"/>
          <w:szCs w:val="24"/>
          <w:u w:val="single"/>
        </w:rPr>
        <w:t>Giglio</w:t>
      </w:r>
      <w:proofErr w:type="spellEnd"/>
      <w:r w:rsidRPr="005731C6">
        <w:rPr>
          <w:sz w:val="24"/>
          <w:szCs w:val="24"/>
          <w:u w:val="single"/>
        </w:rPr>
        <w:t>, Accomplice Witnesses, and the Problem of Implied Inducements</w:t>
      </w:r>
      <w:r w:rsidRPr="005731C6">
        <w:rPr>
          <w:sz w:val="24"/>
          <w:szCs w:val="24"/>
        </w:rPr>
        <w:t>, 98 Nw. U.L. Rev. 1129 (2004)</w:t>
      </w:r>
      <w:r>
        <w:rPr>
          <w:sz w:val="24"/>
          <w:szCs w:val="24"/>
        </w:rPr>
        <w:t xml:space="preserve">; </w:t>
      </w:r>
      <w:r w:rsidRPr="00292314">
        <w:rPr>
          <w:sz w:val="24"/>
          <w:szCs w:val="24"/>
        </w:rPr>
        <w:t xml:space="preserve">Joseph R. Weeks, </w:t>
      </w:r>
      <w:r w:rsidRPr="00292314">
        <w:rPr>
          <w:sz w:val="24"/>
          <w:szCs w:val="24"/>
          <w:u w:val="single"/>
        </w:rPr>
        <w:t>No Wrong Without A Remedy: The Effective Enforcement of the Duty of Prosecutors to Disclose Exculpatory Evidence</w:t>
      </w:r>
      <w:r w:rsidRPr="00292314">
        <w:rPr>
          <w:sz w:val="24"/>
          <w:szCs w:val="24"/>
        </w:rPr>
        <w:t>, 22 Okla. City U.L. Rev. 833 (1997)</w:t>
      </w:r>
      <w:r>
        <w:rPr>
          <w:sz w:val="24"/>
          <w:szCs w:val="24"/>
        </w:rPr>
        <w:t xml:space="preserve">; </w:t>
      </w:r>
      <w:r w:rsidRPr="003D3C90">
        <w:rPr>
          <w:sz w:val="24"/>
          <w:szCs w:val="24"/>
        </w:rPr>
        <w:t xml:space="preserve">Daniel J. Capra, </w:t>
      </w:r>
      <w:r w:rsidRPr="003D3C90">
        <w:rPr>
          <w:sz w:val="24"/>
          <w:szCs w:val="24"/>
          <w:u w:val="single"/>
        </w:rPr>
        <w:t xml:space="preserve">Access to Exculpatory Evidence: Avoiding the </w:t>
      </w:r>
      <w:proofErr w:type="spellStart"/>
      <w:r w:rsidRPr="003D3C90">
        <w:rPr>
          <w:sz w:val="24"/>
          <w:szCs w:val="24"/>
          <w:u w:val="single"/>
        </w:rPr>
        <w:t>Agurs</w:t>
      </w:r>
      <w:proofErr w:type="spellEnd"/>
      <w:r w:rsidRPr="003D3C90">
        <w:rPr>
          <w:sz w:val="24"/>
          <w:szCs w:val="24"/>
          <w:u w:val="single"/>
        </w:rPr>
        <w:t xml:space="preserve"> Problems of Prosecutorial Discretion and Retrospective Review</w:t>
      </w:r>
      <w:r w:rsidRPr="003D3C90">
        <w:rPr>
          <w:sz w:val="24"/>
          <w:szCs w:val="24"/>
        </w:rPr>
        <w:t>, 53 Fordham L. Rev. 391 (1984)</w:t>
      </w:r>
      <w:r>
        <w:rPr>
          <w:sz w:val="24"/>
          <w:szCs w:val="24"/>
        </w:rPr>
        <w:t>.</w:t>
      </w:r>
    </w:p>
    <w:p w:rsidR="00894240" w:rsidRDefault="00894240" w:rsidP="00D34C27">
      <w:pPr>
        <w:pStyle w:val="FootnoteText"/>
        <w:jc w:val="both"/>
      </w:pPr>
    </w:p>
  </w:footnote>
  <w:footnote w:id="5">
    <w:p w:rsidR="00894240" w:rsidRPr="006A5E35" w:rsidRDefault="00894240" w:rsidP="00D34C27">
      <w:pPr>
        <w:jc w:val="both"/>
        <w:rPr>
          <w:sz w:val="24"/>
          <w:szCs w:val="24"/>
        </w:rPr>
      </w:pPr>
      <w:r w:rsidRPr="006A5E35">
        <w:rPr>
          <w:rStyle w:val="FootnoteReference"/>
          <w:sz w:val="24"/>
          <w:szCs w:val="24"/>
        </w:rPr>
        <w:footnoteRef/>
      </w:r>
      <w:r w:rsidRPr="006A5E35">
        <w:rPr>
          <w:sz w:val="24"/>
          <w:szCs w:val="24"/>
        </w:rPr>
        <w:t xml:space="preserve"> </w:t>
      </w:r>
      <w:r w:rsidRPr="006A5E35">
        <w:rPr>
          <w:i/>
          <w:iCs/>
          <w:sz w:val="24"/>
          <w:szCs w:val="24"/>
        </w:rPr>
        <w:t>United States v. Olsen</w:t>
      </w:r>
      <w:r w:rsidRPr="006A5E35">
        <w:rPr>
          <w:sz w:val="24"/>
          <w:szCs w:val="24"/>
        </w:rPr>
        <w:t>, 737 F.3d 625, 631 (9th Cir. 2013</w:t>
      </w:r>
      <w:r w:rsidR="00920CF2">
        <w:rPr>
          <w:sz w:val="24"/>
          <w:szCs w:val="24"/>
        </w:rPr>
        <w:t>)</w:t>
      </w:r>
      <w:r w:rsidR="00FD10F6" w:rsidRPr="006A5E35">
        <w:rPr>
          <w:sz w:val="24"/>
          <w:szCs w:val="24"/>
        </w:rPr>
        <w:t xml:space="preserve"> (</w:t>
      </w:r>
      <w:proofErr w:type="spellStart"/>
      <w:r w:rsidR="00FD10F6" w:rsidRPr="006A5E35">
        <w:rPr>
          <w:sz w:val="24"/>
          <w:szCs w:val="24"/>
        </w:rPr>
        <w:t>Kozinski</w:t>
      </w:r>
      <w:proofErr w:type="spellEnd"/>
      <w:r w:rsidR="00FD10F6" w:rsidRPr="006A5E35">
        <w:rPr>
          <w:sz w:val="24"/>
          <w:szCs w:val="24"/>
        </w:rPr>
        <w:t>, J., dissenting)</w:t>
      </w:r>
      <w:r w:rsidRPr="006A5E35">
        <w:rPr>
          <w:sz w:val="24"/>
          <w:szCs w:val="24"/>
        </w:rPr>
        <w:t xml:space="preserve"> </w:t>
      </w:r>
      <w:r w:rsidR="000D40E0" w:rsidRPr="006A5E35">
        <w:rPr>
          <w:sz w:val="24"/>
          <w:szCs w:val="24"/>
        </w:rPr>
        <w:t>(</w:t>
      </w:r>
      <w:r w:rsidR="000D40E0" w:rsidRPr="006A5E35">
        <w:rPr>
          <w:i/>
          <w:sz w:val="24"/>
          <w:szCs w:val="24"/>
        </w:rPr>
        <w:t>citing</w:t>
      </w:r>
      <w:r w:rsidR="000D40E0" w:rsidRPr="006A5E35">
        <w:rPr>
          <w:sz w:val="24"/>
          <w:szCs w:val="24"/>
        </w:rPr>
        <w:t xml:space="preserve"> </w:t>
      </w:r>
      <w:r w:rsidRPr="006A5E35">
        <w:rPr>
          <w:i/>
          <w:iCs/>
          <w:sz w:val="24"/>
          <w:szCs w:val="24"/>
        </w:rPr>
        <w:t>Smith v. Cain,</w:t>
      </w:r>
      <w:r w:rsidRPr="006A5E35">
        <w:rPr>
          <w:sz w:val="24"/>
          <w:szCs w:val="24"/>
        </w:rPr>
        <w:t xml:space="preserve"> ––– U.S. ––––, 132 </w:t>
      </w:r>
      <w:proofErr w:type="spellStart"/>
      <w:r w:rsidRPr="006A5E35">
        <w:rPr>
          <w:sz w:val="24"/>
          <w:szCs w:val="24"/>
        </w:rPr>
        <w:t>S.Ct</w:t>
      </w:r>
      <w:proofErr w:type="spellEnd"/>
      <w:r w:rsidRPr="006A5E35">
        <w:rPr>
          <w:sz w:val="24"/>
          <w:szCs w:val="24"/>
        </w:rPr>
        <w:t xml:space="preserve">. 627, 181 L.Ed.2d 571 (2012); </w:t>
      </w:r>
      <w:r w:rsidRPr="006A5E35">
        <w:rPr>
          <w:i/>
          <w:iCs/>
          <w:sz w:val="24"/>
          <w:szCs w:val="24"/>
        </w:rPr>
        <w:t xml:space="preserve">United States v. </w:t>
      </w:r>
      <w:proofErr w:type="spellStart"/>
      <w:r w:rsidRPr="006A5E35">
        <w:rPr>
          <w:i/>
          <w:iCs/>
          <w:sz w:val="24"/>
          <w:szCs w:val="24"/>
        </w:rPr>
        <w:t>Sedaghaty</w:t>
      </w:r>
      <w:proofErr w:type="spellEnd"/>
      <w:r w:rsidRPr="006A5E35">
        <w:rPr>
          <w:i/>
          <w:iCs/>
          <w:sz w:val="24"/>
          <w:szCs w:val="24"/>
        </w:rPr>
        <w:t>,</w:t>
      </w:r>
      <w:r w:rsidRPr="006A5E35">
        <w:rPr>
          <w:sz w:val="24"/>
          <w:szCs w:val="24"/>
        </w:rPr>
        <w:t xml:space="preserve"> 728 F.3d 885 (9th Cir.2013); </w:t>
      </w:r>
      <w:r w:rsidRPr="006A5E35">
        <w:rPr>
          <w:i/>
          <w:iCs/>
          <w:sz w:val="24"/>
          <w:szCs w:val="24"/>
        </w:rPr>
        <w:t>Aguilar v. Woodford,</w:t>
      </w:r>
      <w:r w:rsidRPr="006A5E35">
        <w:rPr>
          <w:sz w:val="24"/>
          <w:szCs w:val="24"/>
        </w:rPr>
        <w:t xml:space="preserve"> 725 F.3d 970 (9th Cir.</w:t>
      </w:r>
      <w:r w:rsidR="00FD10F6" w:rsidRPr="006A5E35">
        <w:rPr>
          <w:sz w:val="24"/>
          <w:szCs w:val="24"/>
        </w:rPr>
        <w:t xml:space="preserve"> </w:t>
      </w:r>
      <w:r w:rsidRPr="006A5E35">
        <w:rPr>
          <w:sz w:val="24"/>
          <w:szCs w:val="24"/>
        </w:rPr>
        <w:t xml:space="preserve">2013); </w:t>
      </w:r>
      <w:r w:rsidRPr="006A5E35">
        <w:rPr>
          <w:i/>
          <w:iCs/>
          <w:sz w:val="24"/>
          <w:szCs w:val="24"/>
        </w:rPr>
        <w:t xml:space="preserve">United States v. </w:t>
      </w:r>
      <w:proofErr w:type="spellStart"/>
      <w:r w:rsidRPr="006A5E35">
        <w:rPr>
          <w:i/>
          <w:iCs/>
          <w:sz w:val="24"/>
          <w:szCs w:val="24"/>
        </w:rPr>
        <w:t>Kohring</w:t>
      </w:r>
      <w:proofErr w:type="spellEnd"/>
      <w:r w:rsidRPr="006A5E35">
        <w:rPr>
          <w:i/>
          <w:iCs/>
          <w:sz w:val="24"/>
          <w:szCs w:val="24"/>
        </w:rPr>
        <w:t>,</w:t>
      </w:r>
      <w:r w:rsidRPr="006A5E35">
        <w:rPr>
          <w:sz w:val="24"/>
          <w:szCs w:val="24"/>
        </w:rPr>
        <w:t xml:space="preserve"> 637 F.3d 895 (9th Cir.</w:t>
      </w:r>
      <w:r w:rsidR="00FD10F6" w:rsidRPr="006A5E35">
        <w:rPr>
          <w:sz w:val="24"/>
          <w:szCs w:val="24"/>
        </w:rPr>
        <w:t xml:space="preserve"> </w:t>
      </w:r>
      <w:r w:rsidRPr="006A5E35">
        <w:rPr>
          <w:sz w:val="24"/>
          <w:szCs w:val="24"/>
        </w:rPr>
        <w:t xml:space="preserve">2010); </w:t>
      </w:r>
      <w:r w:rsidRPr="006A5E35">
        <w:rPr>
          <w:i/>
          <w:iCs/>
          <w:sz w:val="24"/>
          <w:szCs w:val="24"/>
        </w:rPr>
        <w:t>Simmons v. Beard,</w:t>
      </w:r>
      <w:r w:rsidRPr="006A5E35">
        <w:rPr>
          <w:sz w:val="24"/>
          <w:szCs w:val="24"/>
        </w:rPr>
        <w:t xml:space="preserve"> 590 F.3d 223 (3d Cir.2009); </w:t>
      </w:r>
      <w:r w:rsidRPr="006A5E35">
        <w:rPr>
          <w:i/>
          <w:iCs/>
          <w:sz w:val="24"/>
          <w:szCs w:val="24"/>
        </w:rPr>
        <w:t>Douglas v. Workman,</w:t>
      </w:r>
      <w:r w:rsidRPr="006A5E35">
        <w:rPr>
          <w:sz w:val="24"/>
          <w:szCs w:val="24"/>
        </w:rPr>
        <w:t xml:space="preserve"> 560 F.3d 1156 (10th Cir.</w:t>
      </w:r>
      <w:r w:rsidR="00FD10F6" w:rsidRPr="006A5E35">
        <w:rPr>
          <w:sz w:val="24"/>
          <w:szCs w:val="24"/>
        </w:rPr>
        <w:t xml:space="preserve"> </w:t>
      </w:r>
      <w:r w:rsidRPr="006A5E35">
        <w:rPr>
          <w:sz w:val="24"/>
          <w:szCs w:val="24"/>
        </w:rPr>
        <w:t xml:space="preserve">2009); </w:t>
      </w:r>
      <w:r w:rsidRPr="006A5E35">
        <w:rPr>
          <w:i/>
          <w:iCs/>
          <w:sz w:val="24"/>
          <w:szCs w:val="24"/>
        </w:rPr>
        <w:t xml:space="preserve">Harris v. </w:t>
      </w:r>
      <w:proofErr w:type="spellStart"/>
      <w:r w:rsidRPr="006A5E35">
        <w:rPr>
          <w:i/>
          <w:iCs/>
          <w:sz w:val="24"/>
          <w:szCs w:val="24"/>
        </w:rPr>
        <w:t>Lafler</w:t>
      </w:r>
      <w:proofErr w:type="spellEnd"/>
      <w:r w:rsidRPr="006A5E35">
        <w:rPr>
          <w:i/>
          <w:iCs/>
          <w:sz w:val="24"/>
          <w:szCs w:val="24"/>
        </w:rPr>
        <w:t>,</w:t>
      </w:r>
      <w:r w:rsidRPr="006A5E35">
        <w:rPr>
          <w:sz w:val="24"/>
          <w:szCs w:val="24"/>
        </w:rPr>
        <w:t xml:space="preserve"> 553 F.3d 1028 (6th Cir.</w:t>
      </w:r>
      <w:r w:rsidR="00FD10F6" w:rsidRPr="006A5E35">
        <w:rPr>
          <w:sz w:val="24"/>
          <w:szCs w:val="24"/>
        </w:rPr>
        <w:t xml:space="preserve"> </w:t>
      </w:r>
      <w:r w:rsidRPr="006A5E35">
        <w:rPr>
          <w:sz w:val="24"/>
          <w:szCs w:val="24"/>
        </w:rPr>
        <w:t xml:space="preserve">2009); </w:t>
      </w:r>
      <w:r w:rsidRPr="006A5E35">
        <w:rPr>
          <w:i/>
          <w:iCs/>
          <w:sz w:val="24"/>
          <w:szCs w:val="24"/>
        </w:rPr>
        <w:t xml:space="preserve">United States v. </w:t>
      </w:r>
      <w:proofErr w:type="spellStart"/>
      <w:r w:rsidRPr="006A5E35">
        <w:rPr>
          <w:i/>
          <w:iCs/>
          <w:sz w:val="24"/>
          <w:szCs w:val="24"/>
        </w:rPr>
        <w:t>Zomber</w:t>
      </w:r>
      <w:proofErr w:type="spellEnd"/>
      <w:r w:rsidRPr="006A5E35">
        <w:rPr>
          <w:i/>
          <w:iCs/>
          <w:sz w:val="24"/>
          <w:szCs w:val="24"/>
        </w:rPr>
        <w:t>,</w:t>
      </w:r>
      <w:r w:rsidRPr="006A5E35">
        <w:rPr>
          <w:sz w:val="24"/>
          <w:szCs w:val="24"/>
        </w:rPr>
        <w:t xml:space="preserve"> 299 </w:t>
      </w:r>
      <w:proofErr w:type="spellStart"/>
      <w:r w:rsidRPr="006A5E35">
        <w:rPr>
          <w:sz w:val="24"/>
          <w:szCs w:val="24"/>
        </w:rPr>
        <w:t>Fed.Appx</w:t>
      </w:r>
      <w:proofErr w:type="spellEnd"/>
      <w:r w:rsidRPr="006A5E35">
        <w:rPr>
          <w:sz w:val="24"/>
          <w:szCs w:val="24"/>
        </w:rPr>
        <w:t>. 130 (3d Cir.</w:t>
      </w:r>
      <w:r w:rsidR="00FD10F6" w:rsidRPr="006A5E35">
        <w:rPr>
          <w:sz w:val="24"/>
          <w:szCs w:val="24"/>
        </w:rPr>
        <w:t xml:space="preserve"> </w:t>
      </w:r>
      <w:r w:rsidRPr="006A5E35">
        <w:rPr>
          <w:sz w:val="24"/>
          <w:szCs w:val="24"/>
        </w:rPr>
        <w:t xml:space="preserve">2008); </w:t>
      </w:r>
      <w:r w:rsidRPr="006A5E35">
        <w:rPr>
          <w:i/>
          <w:iCs/>
          <w:sz w:val="24"/>
          <w:szCs w:val="24"/>
        </w:rPr>
        <w:t>United States v. Triumph Capital Grp., Inc.,</w:t>
      </w:r>
      <w:r w:rsidRPr="006A5E35">
        <w:rPr>
          <w:sz w:val="24"/>
          <w:szCs w:val="24"/>
        </w:rPr>
        <w:t xml:space="preserve"> 544 F.3d 149 (2d Cir.</w:t>
      </w:r>
      <w:r w:rsidR="00FD10F6" w:rsidRPr="006A5E35">
        <w:rPr>
          <w:sz w:val="24"/>
          <w:szCs w:val="24"/>
        </w:rPr>
        <w:t xml:space="preserve"> </w:t>
      </w:r>
      <w:r w:rsidRPr="006A5E35">
        <w:rPr>
          <w:sz w:val="24"/>
          <w:szCs w:val="24"/>
        </w:rPr>
        <w:t xml:space="preserve">2008); </w:t>
      </w:r>
      <w:r w:rsidRPr="006A5E35">
        <w:rPr>
          <w:i/>
          <w:iCs/>
          <w:sz w:val="24"/>
          <w:szCs w:val="24"/>
        </w:rPr>
        <w:t>United States v. Aviles–Colon,</w:t>
      </w:r>
      <w:r w:rsidRPr="006A5E35">
        <w:rPr>
          <w:sz w:val="24"/>
          <w:szCs w:val="24"/>
        </w:rPr>
        <w:t xml:space="preserve"> 536 F.3d 1 (1st Cir.</w:t>
      </w:r>
      <w:r w:rsidR="00FD10F6" w:rsidRPr="006A5E35">
        <w:rPr>
          <w:sz w:val="24"/>
          <w:szCs w:val="24"/>
        </w:rPr>
        <w:t xml:space="preserve"> </w:t>
      </w:r>
      <w:r w:rsidRPr="006A5E35">
        <w:rPr>
          <w:sz w:val="24"/>
          <w:szCs w:val="24"/>
        </w:rPr>
        <w:t xml:space="preserve">2008); </w:t>
      </w:r>
      <w:r w:rsidRPr="006A5E35">
        <w:rPr>
          <w:i/>
          <w:iCs/>
          <w:sz w:val="24"/>
          <w:szCs w:val="24"/>
        </w:rPr>
        <w:t xml:space="preserve">Horton v. </w:t>
      </w:r>
      <w:proofErr w:type="spellStart"/>
      <w:r w:rsidRPr="006A5E35">
        <w:rPr>
          <w:i/>
          <w:iCs/>
          <w:sz w:val="24"/>
          <w:szCs w:val="24"/>
        </w:rPr>
        <w:t>Mayle</w:t>
      </w:r>
      <w:proofErr w:type="spellEnd"/>
      <w:r w:rsidRPr="006A5E35">
        <w:rPr>
          <w:i/>
          <w:iCs/>
          <w:sz w:val="24"/>
          <w:szCs w:val="24"/>
        </w:rPr>
        <w:t>,</w:t>
      </w:r>
      <w:r w:rsidRPr="006A5E35">
        <w:rPr>
          <w:sz w:val="24"/>
          <w:szCs w:val="24"/>
        </w:rPr>
        <w:t xml:space="preserve"> 408 F.3d 570 (9th Cir.</w:t>
      </w:r>
      <w:r w:rsidR="00FD10F6" w:rsidRPr="006A5E35">
        <w:rPr>
          <w:sz w:val="24"/>
          <w:szCs w:val="24"/>
        </w:rPr>
        <w:t xml:space="preserve"> </w:t>
      </w:r>
      <w:r w:rsidRPr="006A5E35">
        <w:rPr>
          <w:sz w:val="24"/>
          <w:szCs w:val="24"/>
        </w:rPr>
        <w:t xml:space="preserve">2004); </w:t>
      </w:r>
      <w:r w:rsidRPr="006A5E35">
        <w:rPr>
          <w:i/>
          <w:iCs/>
          <w:sz w:val="24"/>
          <w:szCs w:val="24"/>
        </w:rPr>
        <w:t xml:space="preserve">United States v. </w:t>
      </w:r>
      <w:proofErr w:type="spellStart"/>
      <w:r w:rsidRPr="006A5E35">
        <w:rPr>
          <w:i/>
          <w:iCs/>
          <w:sz w:val="24"/>
          <w:szCs w:val="24"/>
        </w:rPr>
        <w:t>Sipe</w:t>
      </w:r>
      <w:proofErr w:type="spellEnd"/>
      <w:r w:rsidRPr="006A5E35">
        <w:rPr>
          <w:i/>
          <w:iCs/>
          <w:sz w:val="24"/>
          <w:szCs w:val="24"/>
        </w:rPr>
        <w:t>,</w:t>
      </w:r>
      <w:r w:rsidRPr="006A5E35">
        <w:rPr>
          <w:sz w:val="24"/>
          <w:szCs w:val="24"/>
        </w:rPr>
        <w:t xml:space="preserve"> 388 F.3d 471 (5th Cir.</w:t>
      </w:r>
      <w:r w:rsidR="00FD10F6" w:rsidRPr="006A5E35">
        <w:rPr>
          <w:sz w:val="24"/>
          <w:szCs w:val="24"/>
        </w:rPr>
        <w:t xml:space="preserve"> </w:t>
      </w:r>
      <w:r w:rsidRPr="006A5E35">
        <w:rPr>
          <w:sz w:val="24"/>
          <w:szCs w:val="24"/>
        </w:rPr>
        <w:t xml:space="preserve">2004); </w:t>
      </w:r>
      <w:r w:rsidRPr="006A5E35">
        <w:rPr>
          <w:i/>
          <w:iCs/>
          <w:sz w:val="24"/>
          <w:szCs w:val="24"/>
        </w:rPr>
        <w:t xml:space="preserve">Monroe v. </w:t>
      </w:r>
      <w:proofErr w:type="spellStart"/>
      <w:r w:rsidRPr="006A5E35">
        <w:rPr>
          <w:i/>
          <w:iCs/>
          <w:sz w:val="24"/>
          <w:szCs w:val="24"/>
        </w:rPr>
        <w:t>Angelone</w:t>
      </w:r>
      <w:proofErr w:type="spellEnd"/>
      <w:r w:rsidRPr="006A5E35">
        <w:rPr>
          <w:i/>
          <w:iCs/>
          <w:sz w:val="24"/>
          <w:szCs w:val="24"/>
        </w:rPr>
        <w:t>,</w:t>
      </w:r>
      <w:r w:rsidRPr="006A5E35">
        <w:rPr>
          <w:sz w:val="24"/>
          <w:szCs w:val="24"/>
        </w:rPr>
        <w:t xml:space="preserve"> 323 F.3d 286 (4th Cir.</w:t>
      </w:r>
      <w:r w:rsidR="00FD10F6" w:rsidRPr="006A5E35">
        <w:rPr>
          <w:sz w:val="24"/>
          <w:szCs w:val="24"/>
        </w:rPr>
        <w:t xml:space="preserve"> </w:t>
      </w:r>
      <w:r w:rsidRPr="006A5E35">
        <w:rPr>
          <w:sz w:val="24"/>
          <w:szCs w:val="24"/>
        </w:rPr>
        <w:t xml:space="preserve">2003); </w:t>
      </w:r>
      <w:r w:rsidRPr="006A5E35">
        <w:rPr>
          <w:i/>
          <w:iCs/>
          <w:sz w:val="24"/>
          <w:szCs w:val="24"/>
        </w:rPr>
        <w:t>United States v. Lyons,</w:t>
      </w:r>
      <w:r w:rsidRPr="006A5E35">
        <w:rPr>
          <w:sz w:val="24"/>
          <w:szCs w:val="24"/>
        </w:rPr>
        <w:t xml:space="preserve"> 352 F.Supp.2d 1231 (</w:t>
      </w:r>
      <w:proofErr w:type="spellStart"/>
      <w:r w:rsidRPr="006A5E35">
        <w:rPr>
          <w:sz w:val="24"/>
          <w:szCs w:val="24"/>
        </w:rPr>
        <w:t>M.D.Fla</w:t>
      </w:r>
      <w:proofErr w:type="spellEnd"/>
      <w:r w:rsidRPr="006A5E35">
        <w:rPr>
          <w:sz w:val="24"/>
          <w:szCs w:val="24"/>
        </w:rPr>
        <w:t>.</w:t>
      </w:r>
      <w:r w:rsidR="00FD10F6" w:rsidRPr="006A5E35">
        <w:rPr>
          <w:sz w:val="24"/>
          <w:szCs w:val="24"/>
        </w:rPr>
        <w:t xml:space="preserve"> </w:t>
      </w:r>
      <w:r w:rsidRPr="006A5E35">
        <w:rPr>
          <w:sz w:val="24"/>
          <w:szCs w:val="24"/>
        </w:rPr>
        <w:t xml:space="preserve">2004); </w:t>
      </w:r>
      <w:r w:rsidRPr="006A5E35">
        <w:rPr>
          <w:i/>
          <w:iCs/>
          <w:sz w:val="24"/>
          <w:szCs w:val="24"/>
        </w:rPr>
        <w:t>Watkins v. Miller,</w:t>
      </w:r>
      <w:r w:rsidRPr="006A5E35">
        <w:rPr>
          <w:sz w:val="24"/>
          <w:szCs w:val="24"/>
        </w:rPr>
        <w:t xml:space="preserve"> 92 F.Supp.2d 824 (</w:t>
      </w:r>
      <w:proofErr w:type="spellStart"/>
      <w:r w:rsidRPr="006A5E35">
        <w:rPr>
          <w:sz w:val="24"/>
          <w:szCs w:val="24"/>
        </w:rPr>
        <w:t>S.D.Ind</w:t>
      </w:r>
      <w:proofErr w:type="spellEnd"/>
      <w:r w:rsidRPr="006A5E35">
        <w:rPr>
          <w:sz w:val="24"/>
          <w:szCs w:val="24"/>
        </w:rPr>
        <w:t>.</w:t>
      </w:r>
      <w:r w:rsidR="00FD10F6" w:rsidRPr="006A5E35">
        <w:rPr>
          <w:sz w:val="24"/>
          <w:szCs w:val="24"/>
        </w:rPr>
        <w:t xml:space="preserve"> </w:t>
      </w:r>
      <w:r w:rsidRPr="006A5E35">
        <w:rPr>
          <w:sz w:val="24"/>
          <w:szCs w:val="24"/>
        </w:rPr>
        <w:t xml:space="preserve">2000) ; </w:t>
      </w:r>
      <w:r w:rsidRPr="006A5E35">
        <w:rPr>
          <w:i/>
          <w:iCs/>
          <w:sz w:val="24"/>
          <w:szCs w:val="24"/>
        </w:rPr>
        <w:t>United States v. Dollar,</w:t>
      </w:r>
      <w:r w:rsidRPr="006A5E35">
        <w:rPr>
          <w:sz w:val="24"/>
          <w:szCs w:val="24"/>
        </w:rPr>
        <w:t xml:space="preserve"> 25 F.Supp.2d 1320 (</w:t>
      </w:r>
      <w:proofErr w:type="spellStart"/>
      <w:r w:rsidRPr="006A5E35">
        <w:rPr>
          <w:sz w:val="24"/>
          <w:szCs w:val="24"/>
        </w:rPr>
        <w:t>N.D.Ala</w:t>
      </w:r>
      <w:proofErr w:type="spellEnd"/>
      <w:r w:rsidRPr="006A5E35">
        <w:rPr>
          <w:sz w:val="24"/>
          <w:szCs w:val="24"/>
        </w:rPr>
        <w:t>.</w:t>
      </w:r>
      <w:r w:rsidR="00FD10F6" w:rsidRPr="006A5E35">
        <w:rPr>
          <w:sz w:val="24"/>
          <w:szCs w:val="24"/>
        </w:rPr>
        <w:t xml:space="preserve"> </w:t>
      </w:r>
      <w:r w:rsidRPr="006A5E35">
        <w:rPr>
          <w:sz w:val="24"/>
          <w:szCs w:val="24"/>
        </w:rPr>
        <w:t xml:space="preserve">1998); </w:t>
      </w:r>
      <w:r w:rsidRPr="006A5E35">
        <w:rPr>
          <w:i/>
          <w:iCs/>
          <w:sz w:val="24"/>
          <w:szCs w:val="24"/>
        </w:rPr>
        <w:t>People v. Uribe,</w:t>
      </w:r>
      <w:r w:rsidRPr="006A5E35">
        <w:rPr>
          <w:sz w:val="24"/>
          <w:szCs w:val="24"/>
        </w:rPr>
        <w:t xml:space="preserve"> 162 Cal.App.4th 1457, 76 Cal.Rptr.3d 829 (2008); </w:t>
      </w:r>
      <w:r w:rsidRPr="006A5E35">
        <w:rPr>
          <w:i/>
          <w:iCs/>
          <w:sz w:val="24"/>
          <w:szCs w:val="24"/>
        </w:rPr>
        <w:t>Miller v. United States,</w:t>
      </w:r>
      <w:r w:rsidRPr="006A5E35">
        <w:rPr>
          <w:sz w:val="24"/>
          <w:szCs w:val="24"/>
        </w:rPr>
        <w:t xml:space="preserve"> 14 A.3d 1094 (D.C.2011); </w:t>
      </w:r>
      <w:proofErr w:type="spellStart"/>
      <w:r w:rsidRPr="006A5E35">
        <w:rPr>
          <w:i/>
          <w:iCs/>
          <w:sz w:val="24"/>
          <w:szCs w:val="24"/>
        </w:rPr>
        <w:t>Deren</w:t>
      </w:r>
      <w:proofErr w:type="spellEnd"/>
      <w:r w:rsidRPr="006A5E35">
        <w:rPr>
          <w:i/>
          <w:iCs/>
          <w:sz w:val="24"/>
          <w:szCs w:val="24"/>
        </w:rPr>
        <w:t xml:space="preserve"> v. State,</w:t>
      </w:r>
      <w:r w:rsidRPr="006A5E35">
        <w:rPr>
          <w:sz w:val="24"/>
          <w:szCs w:val="24"/>
        </w:rPr>
        <w:t xml:space="preserve"> 15 So.3d 723 (</w:t>
      </w:r>
      <w:proofErr w:type="spellStart"/>
      <w:r w:rsidRPr="006A5E35">
        <w:rPr>
          <w:sz w:val="24"/>
          <w:szCs w:val="24"/>
        </w:rPr>
        <w:t>Fla.Dist.Ct.App</w:t>
      </w:r>
      <w:proofErr w:type="spellEnd"/>
      <w:r w:rsidRPr="006A5E35">
        <w:rPr>
          <w:sz w:val="24"/>
          <w:szCs w:val="24"/>
        </w:rPr>
        <w:t>.</w:t>
      </w:r>
      <w:r w:rsidR="00FD10F6" w:rsidRPr="006A5E35">
        <w:rPr>
          <w:sz w:val="24"/>
          <w:szCs w:val="24"/>
        </w:rPr>
        <w:t xml:space="preserve"> </w:t>
      </w:r>
      <w:r w:rsidRPr="006A5E35">
        <w:rPr>
          <w:sz w:val="24"/>
          <w:szCs w:val="24"/>
        </w:rPr>
        <w:t xml:space="preserve">2009); </w:t>
      </w:r>
      <w:r w:rsidRPr="006A5E35">
        <w:rPr>
          <w:i/>
          <w:iCs/>
          <w:sz w:val="24"/>
          <w:szCs w:val="24"/>
        </w:rPr>
        <w:t>Walker v. Johnson,</w:t>
      </w:r>
      <w:r w:rsidRPr="006A5E35">
        <w:rPr>
          <w:sz w:val="24"/>
          <w:szCs w:val="24"/>
        </w:rPr>
        <w:t xml:space="preserve"> 282 Ga. 168, 646 S.E.2d 44 (2007); </w:t>
      </w:r>
      <w:r w:rsidRPr="006A5E35">
        <w:rPr>
          <w:i/>
          <w:iCs/>
          <w:sz w:val="24"/>
          <w:szCs w:val="24"/>
        </w:rPr>
        <w:t>Aguilera v. State,</w:t>
      </w:r>
      <w:r w:rsidR="00FD10F6" w:rsidRPr="006A5E35">
        <w:rPr>
          <w:sz w:val="24"/>
          <w:szCs w:val="24"/>
        </w:rPr>
        <w:t xml:space="preserve"> 807 N.W.2d 249 (Iowa </w:t>
      </w:r>
      <w:r w:rsidRPr="006A5E35">
        <w:rPr>
          <w:sz w:val="24"/>
          <w:szCs w:val="24"/>
        </w:rPr>
        <w:t xml:space="preserve">2011); </w:t>
      </w:r>
      <w:proofErr w:type="spellStart"/>
      <w:r w:rsidRPr="006A5E35">
        <w:rPr>
          <w:i/>
          <w:iCs/>
          <w:sz w:val="24"/>
          <w:szCs w:val="24"/>
        </w:rPr>
        <w:t>DeSimone</w:t>
      </w:r>
      <w:proofErr w:type="spellEnd"/>
      <w:r w:rsidRPr="006A5E35">
        <w:rPr>
          <w:i/>
          <w:iCs/>
          <w:sz w:val="24"/>
          <w:szCs w:val="24"/>
        </w:rPr>
        <w:t xml:space="preserve"> v. State,</w:t>
      </w:r>
      <w:r w:rsidRPr="006A5E35">
        <w:rPr>
          <w:sz w:val="24"/>
          <w:szCs w:val="24"/>
        </w:rPr>
        <w:t xml:space="preserve"> 803 N.W.2d 97 (Iowa 2011); </w:t>
      </w:r>
      <w:r w:rsidRPr="006A5E35">
        <w:rPr>
          <w:i/>
          <w:iCs/>
          <w:sz w:val="24"/>
          <w:szCs w:val="24"/>
        </w:rPr>
        <w:t xml:space="preserve">Commonwealth v. </w:t>
      </w:r>
      <w:proofErr w:type="spellStart"/>
      <w:r w:rsidRPr="006A5E35">
        <w:rPr>
          <w:i/>
          <w:iCs/>
          <w:sz w:val="24"/>
          <w:szCs w:val="24"/>
        </w:rPr>
        <w:t>Bussell</w:t>
      </w:r>
      <w:proofErr w:type="spellEnd"/>
      <w:r w:rsidRPr="006A5E35">
        <w:rPr>
          <w:i/>
          <w:iCs/>
          <w:sz w:val="24"/>
          <w:szCs w:val="24"/>
        </w:rPr>
        <w:t>,</w:t>
      </w:r>
      <w:r w:rsidRPr="006A5E35">
        <w:rPr>
          <w:sz w:val="24"/>
          <w:szCs w:val="24"/>
        </w:rPr>
        <w:t xml:space="preserve"> 226 S.W.3d 96 (Ky.</w:t>
      </w:r>
      <w:r w:rsidR="00FD10F6" w:rsidRPr="006A5E35">
        <w:rPr>
          <w:sz w:val="24"/>
          <w:szCs w:val="24"/>
        </w:rPr>
        <w:t xml:space="preserve"> </w:t>
      </w:r>
      <w:r w:rsidRPr="006A5E35">
        <w:rPr>
          <w:sz w:val="24"/>
          <w:szCs w:val="24"/>
        </w:rPr>
        <w:t xml:space="preserve">2007); </w:t>
      </w:r>
      <w:r w:rsidRPr="006A5E35">
        <w:rPr>
          <w:i/>
          <w:iCs/>
          <w:sz w:val="24"/>
          <w:szCs w:val="24"/>
        </w:rPr>
        <w:t xml:space="preserve">State ex rel. Engel v. </w:t>
      </w:r>
      <w:proofErr w:type="spellStart"/>
      <w:r w:rsidRPr="006A5E35">
        <w:rPr>
          <w:i/>
          <w:iCs/>
          <w:sz w:val="24"/>
          <w:szCs w:val="24"/>
        </w:rPr>
        <w:t>Dormire</w:t>
      </w:r>
      <w:proofErr w:type="spellEnd"/>
      <w:r w:rsidRPr="006A5E35">
        <w:rPr>
          <w:i/>
          <w:iCs/>
          <w:sz w:val="24"/>
          <w:szCs w:val="24"/>
        </w:rPr>
        <w:t>,</w:t>
      </w:r>
      <w:r w:rsidRPr="006A5E35">
        <w:rPr>
          <w:sz w:val="24"/>
          <w:szCs w:val="24"/>
        </w:rPr>
        <w:t xml:space="preserve"> 304 S.W.3d 120 (Mo.</w:t>
      </w:r>
      <w:r w:rsidR="00FD10F6" w:rsidRPr="006A5E35">
        <w:rPr>
          <w:sz w:val="24"/>
          <w:szCs w:val="24"/>
        </w:rPr>
        <w:t xml:space="preserve"> </w:t>
      </w:r>
      <w:r w:rsidRPr="006A5E35">
        <w:rPr>
          <w:sz w:val="24"/>
          <w:szCs w:val="24"/>
        </w:rPr>
        <w:t xml:space="preserve">2010); </w:t>
      </w:r>
      <w:proofErr w:type="spellStart"/>
      <w:r w:rsidRPr="006A5E35">
        <w:rPr>
          <w:i/>
          <w:iCs/>
          <w:sz w:val="24"/>
          <w:szCs w:val="24"/>
        </w:rPr>
        <w:t>Duley</w:t>
      </w:r>
      <w:proofErr w:type="spellEnd"/>
      <w:r w:rsidRPr="006A5E35">
        <w:rPr>
          <w:i/>
          <w:iCs/>
          <w:sz w:val="24"/>
          <w:szCs w:val="24"/>
        </w:rPr>
        <w:t xml:space="preserve"> v. State,</w:t>
      </w:r>
      <w:r w:rsidRPr="006A5E35">
        <w:rPr>
          <w:sz w:val="24"/>
          <w:szCs w:val="24"/>
        </w:rPr>
        <w:t xml:space="preserve"> 304 S.W.3d 158 (Mo.Ct.App.2009); </w:t>
      </w:r>
      <w:r w:rsidRPr="006A5E35">
        <w:rPr>
          <w:i/>
          <w:iCs/>
          <w:sz w:val="24"/>
          <w:szCs w:val="24"/>
        </w:rPr>
        <w:t>People v. Garrett,</w:t>
      </w:r>
      <w:r w:rsidRPr="006A5E35">
        <w:rPr>
          <w:sz w:val="24"/>
          <w:szCs w:val="24"/>
        </w:rPr>
        <w:t xml:space="preserve"> 106 A.D.3d 929, 964 N.Y.S.2d 652 (</w:t>
      </w:r>
      <w:proofErr w:type="spellStart"/>
      <w:r w:rsidRPr="006A5E35">
        <w:rPr>
          <w:sz w:val="24"/>
          <w:szCs w:val="24"/>
        </w:rPr>
        <w:t>N.Y.App.Div</w:t>
      </w:r>
      <w:proofErr w:type="spellEnd"/>
      <w:r w:rsidRPr="006A5E35">
        <w:rPr>
          <w:sz w:val="24"/>
          <w:szCs w:val="24"/>
        </w:rPr>
        <w:t>.</w:t>
      </w:r>
      <w:r w:rsidR="00FD10F6" w:rsidRPr="006A5E35">
        <w:rPr>
          <w:sz w:val="24"/>
          <w:szCs w:val="24"/>
        </w:rPr>
        <w:t xml:space="preserve"> </w:t>
      </w:r>
      <w:r w:rsidRPr="006A5E35">
        <w:rPr>
          <w:sz w:val="24"/>
          <w:szCs w:val="24"/>
        </w:rPr>
        <w:t xml:space="preserve">2013); </w:t>
      </w:r>
      <w:r w:rsidRPr="006A5E35">
        <w:rPr>
          <w:i/>
          <w:iCs/>
          <w:sz w:val="24"/>
          <w:szCs w:val="24"/>
        </w:rPr>
        <w:t>Pena v. State,</w:t>
      </w:r>
      <w:r w:rsidRPr="006A5E35">
        <w:rPr>
          <w:sz w:val="24"/>
          <w:szCs w:val="24"/>
        </w:rPr>
        <w:t xml:space="preserve"> 353 S.W.3d 797 (</w:t>
      </w:r>
      <w:proofErr w:type="spellStart"/>
      <w:r w:rsidRPr="006A5E35">
        <w:rPr>
          <w:sz w:val="24"/>
          <w:szCs w:val="24"/>
        </w:rPr>
        <w:t>Tex.Crim.App</w:t>
      </w:r>
      <w:proofErr w:type="spellEnd"/>
      <w:r w:rsidRPr="006A5E35">
        <w:rPr>
          <w:sz w:val="24"/>
          <w:szCs w:val="24"/>
        </w:rPr>
        <w:t>.</w:t>
      </w:r>
      <w:r w:rsidR="00FD10F6" w:rsidRPr="006A5E35">
        <w:rPr>
          <w:sz w:val="24"/>
          <w:szCs w:val="24"/>
        </w:rPr>
        <w:t xml:space="preserve"> </w:t>
      </w:r>
      <w:r w:rsidRPr="006A5E35">
        <w:rPr>
          <w:sz w:val="24"/>
          <w:szCs w:val="24"/>
        </w:rPr>
        <w:t xml:space="preserve">2011); </w:t>
      </w:r>
      <w:r w:rsidRPr="006A5E35">
        <w:rPr>
          <w:i/>
          <w:iCs/>
          <w:sz w:val="24"/>
          <w:szCs w:val="24"/>
        </w:rPr>
        <w:t xml:space="preserve">In re </w:t>
      </w:r>
      <w:proofErr w:type="spellStart"/>
      <w:r w:rsidRPr="006A5E35">
        <w:rPr>
          <w:i/>
          <w:iCs/>
          <w:sz w:val="24"/>
          <w:szCs w:val="24"/>
        </w:rPr>
        <w:t>Stenson</w:t>
      </w:r>
      <w:proofErr w:type="spellEnd"/>
      <w:r w:rsidRPr="006A5E35">
        <w:rPr>
          <w:i/>
          <w:iCs/>
          <w:sz w:val="24"/>
          <w:szCs w:val="24"/>
        </w:rPr>
        <w:t>,</w:t>
      </w:r>
      <w:r w:rsidRPr="006A5E35">
        <w:rPr>
          <w:sz w:val="24"/>
          <w:szCs w:val="24"/>
        </w:rPr>
        <w:t xml:space="preserve"> 174 Wash.2d 474, 276 P.3d 286 (2012); </w:t>
      </w:r>
      <w:r w:rsidRPr="006A5E35">
        <w:rPr>
          <w:i/>
          <w:iCs/>
          <w:sz w:val="24"/>
          <w:szCs w:val="24"/>
        </w:rPr>
        <w:t>State v. Youngblood,</w:t>
      </w:r>
      <w:r w:rsidRPr="006A5E35">
        <w:rPr>
          <w:sz w:val="24"/>
          <w:szCs w:val="24"/>
        </w:rPr>
        <w:t xml:space="preserve"> 221 W.Va. 20, 650 S.E.2d 119 (2007)</w:t>
      </w:r>
      <w:r w:rsidR="000D40E0" w:rsidRPr="006A5E35">
        <w:rPr>
          <w:sz w:val="24"/>
          <w:szCs w:val="24"/>
        </w:rPr>
        <w:t>)</w:t>
      </w:r>
      <w:r w:rsidRPr="006A5E35">
        <w:rPr>
          <w:sz w:val="24"/>
          <w:szCs w:val="24"/>
        </w:rPr>
        <w:t>.</w:t>
      </w:r>
    </w:p>
    <w:p w:rsidR="00675506" w:rsidRPr="006A5E35" w:rsidRDefault="00675506" w:rsidP="00D34C27">
      <w:pPr>
        <w:jc w:val="both"/>
        <w:rPr>
          <w:sz w:val="24"/>
          <w:szCs w:val="24"/>
        </w:rPr>
      </w:pPr>
    </w:p>
  </w:footnote>
  <w:footnote w:id="6">
    <w:p w:rsidR="00261257" w:rsidRDefault="00261257" w:rsidP="00D34C27">
      <w:pPr>
        <w:pStyle w:val="FootnoteText"/>
        <w:jc w:val="both"/>
        <w:rPr>
          <w:sz w:val="24"/>
          <w:szCs w:val="24"/>
        </w:rPr>
      </w:pPr>
      <w:r w:rsidRPr="006A5E35">
        <w:rPr>
          <w:rStyle w:val="FootnoteReference"/>
          <w:sz w:val="24"/>
          <w:szCs w:val="24"/>
        </w:rPr>
        <w:footnoteRef/>
      </w:r>
      <w:r w:rsidRPr="006A5E35">
        <w:rPr>
          <w:sz w:val="24"/>
          <w:szCs w:val="24"/>
        </w:rPr>
        <w:t xml:space="preserve"> </w:t>
      </w:r>
      <w:proofErr w:type="gramStart"/>
      <w:r w:rsidRPr="006A5E35">
        <w:rPr>
          <w:i/>
          <w:sz w:val="24"/>
          <w:szCs w:val="24"/>
        </w:rPr>
        <w:t>Olsen</w:t>
      </w:r>
      <w:r w:rsidRPr="006A5E35">
        <w:rPr>
          <w:sz w:val="24"/>
          <w:szCs w:val="24"/>
        </w:rPr>
        <w:t>, 737 F.3d at 630</w:t>
      </w:r>
      <w:r w:rsidR="00D34C27">
        <w:rPr>
          <w:sz w:val="24"/>
          <w:szCs w:val="24"/>
        </w:rPr>
        <w:t xml:space="preserve"> (emphasis in original)</w:t>
      </w:r>
      <w:r w:rsidRPr="006A5E35">
        <w:rPr>
          <w:sz w:val="24"/>
          <w:szCs w:val="24"/>
        </w:rPr>
        <w:t>.</w:t>
      </w:r>
      <w:proofErr w:type="gramEnd"/>
    </w:p>
    <w:p w:rsidR="00D34C27" w:rsidRDefault="00D34C27" w:rsidP="00D34C27">
      <w:pPr>
        <w:pStyle w:val="FootnoteText"/>
        <w:jc w:val="both"/>
      </w:pPr>
    </w:p>
  </w:footnote>
  <w:footnote w:id="7">
    <w:p w:rsidR="00261257" w:rsidRDefault="00261257" w:rsidP="00D34C27">
      <w:pPr>
        <w:pStyle w:val="FootnoteText"/>
        <w:jc w:val="both"/>
        <w:rPr>
          <w:sz w:val="24"/>
          <w:szCs w:val="24"/>
        </w:rPr>
      </w:pPr>
      <w:r w:rsidRPr="006A5E35">
        <w:rPr>
          <w:rStyle w:val="FootnoteReference"/>
          <w:sz w:val="24"/>
          <w:szCs w:val="24"/>
        </w:rPr>
        <w:footnoteRef/>
      </w:r>
      <w:r w:rsidR="00D34C27">
        <w:rPr>
          <w:sz w:val="24"/>
          <w:szCs w:val="24"/>
        </w:rPr>
        <w:t xml:space="preserve"> </w:t>
      </w:r>
      <w:r w:rsidRPr="006A5E35">
        <w:rPr>
          <w:i/>
          <w:sz w:val="24"/>
          <w:szCs w:val="24"/>
        </w:rPr>
        <w:t>Id</w:t>
      </w:r>
      <w:r w:rsidRPr="006A5E35">
        <w:rPr>
          <w:sz w:val="24"/>
          <w:szCs w:val="24"/>
        </w:rPr>
        <w:t xml:space="preserve">. </w:t>
      </w:r>
    </w:p>
    <w:p w:rsidR="006A5E35" w:rsidRPr="006A5E35" w:rsidRDefault="006A5E35" w:rsidP="00D34C27">
      <w:pPr>
        <w:pStyle w:val="FootnoteText"/>
        <w:jc w:val="both"/>
        <w:rPr>
          <w:sz w:val="24"/>
          <w:szCs w:val="24"/>
        </w:rPr>
      </w:pPr>
    </w:p>
  </w:footnote>
  <w:footnote w:id="8">
    <w:p w:rsidR="00261257" w:rsidRDefault="00261257" w:rsidP="00D34C27">
      <w:pPr>
        <w:pStyle w:val="FootnoteText"/>
        <w:jc w:val="both"/>
        <w:rPr>
          <w:sz w:val="24"/>
          <w:szCs w:val="24"/>
        </w:rPr>
      </w:pPr>
      <w:r w:rsidRPr="006A5E35">
        <w:rPr>
          <w:rStyle w:val="FootnoteReference"/>
          <w:sz w:val="24"/>
          <w:szCs w:val="24"/>
        </w:rPr>
        <w:footnoteRef/>
      </w:r>
      <w:r w:rsidR="00D34C27">
        <w:rPr>
          <w:sz w:val="24"/>
          <w:szCs w:val="24"/>
        </w:rPr>
        <w:t xml:space="preserve"> </w:t>
      </w:r>
      <w:r w:rsidRPr="00920CF2">
        <w:rPr>
          <w:i/>
          <w:sz w:val="24"/>
          <w:szCs w:val="24"/>
        </w:rPr>
        <w:t>Id</w:t>
      </w:r>
      <w:r w:rsidRPr="006A5E35">
        <w:rPr>
          <w:sz w:val="24"/>
          <w:szCs w:val="24"/>
        </w:rPr>
        <w:t>. at 631</w:t>
      </w:r>
    </w:p>
    <w:p w:rsidR="006A5E35" w:rsidRPr="006A5E35" w:rsidRDefault="006A5E35" w:rsidP="00D34C27">
      <w:pPr>
        <w:pStyle w:val="FootnoteText"/>
        <w:jc w:val="both"/>
        <w:rPr>
          <w:sz w:val="24"/>
          <w:szCs w:val="24"/>
        </w:rPr>
      </w:pPr>
    </w:p>
  </w:footnote>
  <w:footnote w:id="9">
    <w:p w:rsidR="00211E2B" w:rsidRPr="006A5E35" w:rsidRDefault="00211E2B" w:rsidP="00D34C27">
      <w:pPr>
        <w:spacing w:after="240"/>
        <w:jc w:val="both"/>
        <w:rPr>
          <w:sz w:val="24"/>
          <w:szCs w:val="24"/>
        </w:rPr>
      </w:pPr>
      <w:r w:rsidRPr="006A5E35">
        <w:rPr>
          <w:rStyle w:val="FootnoteReference"/>
          <w:sz w:val="24"/>
          <w:szCs w:val="24"/>
        </w:rPr>
        <w:footnoteRef/>
      </w:r>
      <w:r w:rsidRPr="006A5E35">
        <w:rPr>
          <w:sz w:val="24"/>
          <w:szCs w:val="24"/>
        </w:rPr>
        <w:t xml:space="preserve"> </w:t>
      </w:r>
      <w:r w:rsidRPr="006A5E35">
        <w:rPr>
          <w:i/>
          <w:sz w:val="24"/>
          <w:szCs w:val="24"/>
        </w:rPr>
        <w:t>See</w:t>
      </w:r>
      <w:r w:rsidRPr="006A5E35">
        <w:rPr>
          <w:sz w:val="24"/>
          <w:szCs w:val="24"/>
        </w:rPr>
        <w:t xml:space="preserve">, Jason </w:t>
      </w:r>
      <w:proofErr w:type="spellStart"/>
      <w:r w:rsidRPr="006A5E35">
        <w:rPr>
          <w:sz w:val="24"/>
          <w:szCs w:val="24"/>
        </w:rPr>
        <w:t>Kreag</w:t>
      </w:r>
      <w:proofErr w:type="spellEnd"/>
      <w:r w:rsidRPr="006A5E35">
        <w:rPr>
          <w:sz w:val="24"/>
          <w:szCs w:val="24"/>
        </w:rPr>
        <w:t xml:space="preserve">, </w:t>
      </w:r>
      <w:r w:rsidRPr="006A5E35">
        <w:rPr>
          <w:sz w:val="24"/>
          <w:szCs w:val="24"/>
          <w:u w:val="single"/>
        </w:rPr>
        <w:t>The Brady Colloquy</w:t>
      </w:r>
      <w:r w:rsidRPr="006A5E35">
        <w:rPr>
          <w:sz w:val="24"/>
          <w:szCs w:val="24"/>
        </w:rPr>
        <w:t>, 67 Stan. L. Rev. Online 47, 54 (2014) (</w:t>
      </w:r>
      <w:r w:rsidR="00675506" w:rsidRPr="006A5E35">
        <w:rPr>
          <w:sz w:val="24"/>
          <w:szCs w:val="24"/>
        </w:rPr>
        <w:t xml:space="preserve">asserting that sanctions for </w:t>
      </w:r>
      <w:r w:rsidR="00C554B2" w:rsidRPr="006A5E35">
        <w:rPr>
          <w:sz w:val="24"/>
          <w:szCs w:val="24"/>
        </w:rPr>
        <w:t xml:space="preserve">non-disclosure are more likely </w:t>
      </w:r>
      <w:r w:rsidR="00675506" w:rsidRPr="006A5E35">
        <w:rPr>
          <w:sz w:val="24"/>
          <w:szCs w:val="24"/>
        </w:rPr>
        <w:t xml:space="preserve">because </w:t>
      </w:r>
      <w:r w:rsidRPr="006A5E35">
        <w:rPr>
          <w:sz w:val="24"/>
          <w:szCs w:val="24"/>
        </w:rPr>
        <w:t xml:space="preserve">“if judges conduct a </w:t>
      </w:r>
      <w:r w:rsidRPr="006A5E35">
        <w:rPr>
          <w:i/>
          <w:iCs/>
          <w:sz w:val="24"/>
          <w:szCs w:val="24"/>
        </w:rPr>
        <w:t>Brady</w:t>
      </w:r>
      <w:r w:rsidRPr="006A5E35">
        <w:rPr>
          <w:sz w:val="24"/>
          <w:szCs w:val="24"/>
        </w:rPr>
        <w:t xml:space="preserve"> colloquy, prosecutors will know that their initial disclosure decision will be at least minimally reviewed and questioned on the record by the court.”)</w:t>
      </w:r>
    </w:p>
  </w:footnote>
  <w:footnote w:id="10">
    <w:p w:rsidR="002508C2" w:rsidRPr="006A5E35" w:rsidRDefault="002508C2" w:rsidP="00D34C27">
      <w:pPr>
        <w:jc w:val="both"/>
        <w:rPr>
          <w:sz w:val="24"/>
          <w:szCs w:val="24"/>
        </w:rPr>
      </w:pPr>
      <w:r w:rsidRPr="006A5E35">
        <w:rPr>
          <w:rStyle w:val="FootnoteReference"/>
          <w:sz w:val="24"/>
          <w:szCs w:val="24"/>
        </w:rPr>
        <w:footnoteRef/>
      </w:r>
      <w:r w:rsidR="00D34C27">
        <w:rPr>
          <w:sz w:val="24"/>
          <w:szCs w:val="24"/>
        </w:rPr>
        <w:t xml:space="preserve"> </w:t>
      </w:r>
      <w:r w:rsidR="00D34C27" w:rsidRPr="00D34C27">
        <w:rPr>
          <w:i/>
          <w:sz w:val="24"/>
          <w:szCs w:val="24"/>
        </w:rPr>
        <w:t>Id</w:t>
      </w:r>
      <w:r w:rsidR="00D34C27">
        <w:rPr>
          <w:sz w:val="24"/>
          <w:szCs w:val="24"/>
        </w:rPr>
        <w:t>.</w:t>
      </w:r>
    </w:p>
    <w:p w:rsidR="002508C2" w:rsidRDefault="002508C2" w:rsidP="00D34C27">
      <w:pPr>
        <w:pStyle w:val="FootnoteText"/>
        <w:jc w:val="both"/>
      </w:pPr>
    </w:p>
  </w:footnote>
  <w:footnote w:id="11">
    <w:p w:rsidR="002508C2" w:rsidRDefault="002508C2" w:rsidP="00D34C27">
      <w:pPr>
        <w:pStyle w:val="FootnoteText"/>
        <w:jc w:val="both"/>
        <w:rPr>
          <w:i/>
          <w:sz w:val="24"/>
          <w:szCs w:val="24"/>
        </w:rPr>
      </w:pPr>
      <w:r w:rsidRPr="00C554B2">
        <w:rPr>
          <w:rStyle w:val="FootnoteReference"/>
          <w:sz w:val="24"/>
          <w:szCs w:val="24"/>
        </w:rPr>
        <w:footnoteRef/>
      </w:r>
      <w:r w:rsidRPr="00C554B2">
        <w:rPr>
          <w:i/>
          <w:sz w:val="24"/>
          <w:szCs w:val="24"/>
        </w:rPr>
        <w:t xml:space="preserve"> Id. </w:t>
      </w:r>
    </w:p>
    <w:p w:rsidR="00C554B2" w:rsidRPr="00C554B2" w:rsidRDefault="00C554B2" w:rsidP="00D34C27">
      <w:pPr>
        <w:pStyle w:val="FootnoteText"/>
        <w:jc w:val="both"/>
        <w:rPr>
          <w:sz w:val="24"/>
          <w:szCs w:val="24"/>
        </w:rPr>
      </w:pPr>
    </w:p>
  </w:footnote>
  <w:footnote w:id="12">
    <w:p w:rsidR="00894240" w:rsidRDefault="00894240" w:rsidP="00D34C27">
      <w:pPr>
        <w:pStyle w:val="FootnoteText"/>
        <w:jc w:val="both"/>
        <w:rPr>
          <w:sz w:val="24"/>
          <w:szCs w:val="24"/>
        </w:rPr>
      </w:pPr>
      <w:r w:rsidRPr="00C554B2">
        <w:rPr>
          <w:rStyle w:val="FootnoteReference"/>
          <w:sz w:val="24"/>
          <w:szCs w:val="24"/>
        </w:rPr>
        <w:footnoteRef/>
      </w:r>
      <w:r w:rsidRPr="00C554B2">
        <w:rPr>
          <w:sz w:val="24"/>
          <w:szCs w:val="24"/>
        </w:rPr>
        <w:t xml:space="preserve"> </w:t>
      </w:r>
      <w:r w:rsidR="00261257">
        <w:rPr>
          <w:sz w:val="24"/>
          <w:szCs w:val="24"/>
        </w:rPr>
        <w:t xml:space="preserve">A.R.S. </w:t>
      </w:r>
      <w:r w:rsidRPr="00C554B2">
        <w:rPr>
          <w:sz w:val="24"/>
          <w:szCs w:val="24"/>
        </w:rPr>
        <w:t>§ 13-4423.</w:t>
      </w:r>
    </w:p>
    <w:p w:rsidR="00D34C27" w:rsidRPr="00657AD3" w:rsidRDefault="00D34C27" w:rsidP="00D34C27">
      <w:pPr>
        <w:pStyle w:val="FootnoteText"/>
        <w:jc w:val="both"/>
      </w:pPr>
    </w:p>
  </w:footnote>
  <w:footnote w:id="13">
    <w:p w:rsidR="001C3054" w:rsidRPr="00C554B2" w:rsidRDefault="001C3054" w:rsidP="00D34C27">
      <w:pPr>
        <w:spacing w:after="240"/>
        <w:jc w:val="both"/>
        <w:rPr>
          <w:sz w:val="24"/>
          <w:szCs w:val="24"/>
        </w:rPr>
      </w:pPr>
      <w:r w:rsidRPr="00C554B2">
        <w:rPr>
          <w:rStyle w:val="FootnoteReference"/>
          <w:sz w:val="24"/>
          <w:szCs w:val="24"/>
        </w:rPr>
        <w:footnoteRef/>
      </w:r>
      <w:r w:rsidRPr="00C554B2">
        <w:rPr>
          <w:sz w:val="24"/>
          <w:szCs w:val="24"/>
        </w:rPr>
        <w:t xml:space="preserve"> </w:t>
      </w:r>
      <w:r w:rsidRPr="00C554B2">
        <w:rPr>
          <w:i/>
          <w:sz w:val="24"/>
          <w:szCs w:val="24"/>
        </w:rPr>
        <w:t>See</w:t>
      </w:r>
      <w:r w:rsidRPr="00C554B2">
        <w:rPr>
          <w:sz w:val="24"/>
          <w:szCs w:val="24"/>
        </w:rPr>
        <w:t>,  CRIMES—VICTIMS' RIGHTS IMPLEMENTATION ACT, 1991 Ariz. Legis. Serv. Ch. 229, Sec. 2, “Legislative Intent” (H.B. 2412) (West)</w:t>
      </w:r>
    </w:p>
    <w:p w:rsidR="001C3054" w:rsidRDefault="001C305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B3D0C"/>
    <w:multiLevelType w:val="hybridMultilevel"/>
    <w:tmpl w:val="4962A4AA"/>
    <w:lvl w:ilvl="0" w:tplc="87B6C4C2">
      <w:start w:val="1"/>
      <w:numFmt w:val="upperRoman"/>
      <w:lvlText w:val="%1."/>
      <w:lvlJc w:val="left"/>
      <w:pPr>
        <w:ind w:left="1440" w:hanging="720"/>
      </w:pPr>
      <w:rPr>
        <w:rFonts w:ascii="Times New Roman" w:hAnsi="Times New Roman" w:cs="Times New Roman"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3EC2BD5"/>
    <w:multiLevelType w:val="hybridMultilevel"/>
    <w:tmpl w:val="939E809A"/>
    <w:lvl w:ilvl="0" w:tplc="D962402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AC397D"/>
    <w:multiLevelType w:val="hybridMultilevel"/>
    <w:tmpl w:val="712AE3B0"/>
    <w:lvl w:ilvl="0" w:tplc="EB18BD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802337"/>
    <w:multiLevelType w:val="hybridMultilevel"/>
    <w:tmpl w:val="54361784"/>
    <w:lvl w:ilvl="0" w:tplc="FC54C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564332"/>
    <w:multiLevelType w:val="hybridMultilevel"/>
    <w:tmpl w:val="642AFB08"/>
    <w:lvl w:ilvl="0" w:tplc="8410CF3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FC1CEF"/>
    <w:multiLevelType w:val="hybridMultilevel"/>
    <w:tmpl w:val="9FB6A6D4"/>
    <w:lvl w:ilvl="0" w:tplc="B1AECD6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40"/>
    <w:rsid w:val="000046E9"/>
    <w:rsid w:val="000105B0"/>
    <w:rsid w:val="000543D5"/>
    <w:rsid w:val="000D40E0"/>
    <w:rsid w:val="000D6CB1"/>
    <w:rsid w:val="001C3054"/>
    <w:rsid w:val="00206C8B"/>
    <w:rsid w:val="00211E2B"/>
    <w:rsid w:val="00215AD3"/>
    <w:rsid w:val="002508C2"/>
    <w:rsid w:val="00261257"/>
    <w:rsid w:val="002966E2"/>
    <w:rsid w:val="00467AD8"/>
    <w:rsid w:val="004A78AA"/>
    <w:rsid w:val="0060013E"/>
    <w:rsid w:val="00675506"/>
    <w:rsid w:val="006A5E35"/>
    <w:rsid w:val="00725DF2"/>
    <w:rsid w:val="007B1854"/>
    <w:rsid w:val="00894240"/>
    <w:rsid w:val="008A003E"/>
    <w:rsid w:val="008A6A7B"/>
    <w:rsid w:val="00920CF2"/>
    <w:rsid w:val="009B5259"/>
    <w:rsid w:val="00A006EA"/>
    <w:rsid w:val="00A32AC3"/>
    <w:rsid w:val="00A74973"/>
    <w:rsid w:val="00AD4F7F"/>
    <w:rsid w:val="00B16E38"/>
    <w:rsid w:val="00B81473"/>
    <w:rsid w:val="00BD66A2"/>
    <w:rsid w:val="00BE1A0A"/>
    <w:rsid w:val="00BF3128"/>
    <w:rsid w:val="00BF4553"/>
    <w:rsid w:val="00C554B2"/>
    <w:rsid w:val="00D34C27"/>
    <w:rsid w:val="00E7080F"/>
    <w:rsid w:val="00EA746C"/>
    <w:rsid w:val="00EE0F19"/>
    <w:rsid w:val="00EE3B5E"/>
    <w:rsid w:val="00FD1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40"/>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94240"/>
    <w:pPr>
      <w:tabs>
        <w:tab w:val="center" w:pos="4320"/>
        <w:tab w:val="right" w:pos="8640"/>
      </w:tabs>
    </w:pPr>
  </w:style>
  <w:style w:type="character" w:customStyle="1" w:styleId="FooterChar">
    <w:name w:val="Footer Char"/>
    <w:basedOn w:val="DefaultParagraphFont"/>
    <w:link w:val="Footer"/>
    <w:uiPriority w:val="99"/>
    <w:rsid w:val="00894240"/>
    <w:rPr>
      <w:rFonts w:ascii="Times New Roman" w:eastAsia="Times New Roman" w:hAnsi="Times New Roman" w:cs="Times New Roman"/>
      <w:sz w:val="26"/>
      <w:szCs w:val="26"/>
    </w:rPr>
  </w:style>
  <w:style w:type="character" w:styleId="PageNumber">
    <w:name w:val="page number"/>
    <w:basedOn w:val="DefaultParagraphFont"/>
    <w:rsid w:val="00894240"/>
  </w:style>
  <w:style w:type="character" w:styleId="Hyperlink">
    <w:name w:val="Hyperlink"/>
    <w:basedOn w:val="DefaultParagraphFont"/>
    <w:rsid w:val="00894240"/>
    <w:rPr>
      <w:color w:val="0000FF"/>
      <w:u w:val="single"/>
    </w:rPr>
  </w:style>
  <w:style w:type="paragraph" w:styleId="BodyText">
    <w:name w:val="Body Text"/>
    <w:basedOn w:val="Normal"/>
    <w:link w:val="BodyTextChar"/>
    <w:unhideWhenUsed/>
    <w:rsid w:val="00894240"/>
    <w:pPr>
      <w:jc w:val="both"/>
    </w:pPr>
    <w:rPr>
      <w:sz w:val="28"/>
      <w:szCs w:val="20"/>
    </w:rPr>
  </w:style>
  <w:style w:type="character" w:customStyle="1" w:styleId="BodyTextChar">
    <w:name w:val="Body Text Char"/>
    <w:basedOn w:val="DefaultParagraphFont"/>
    <w:link w:val="BodyText"/>
    <w:rsid w:val="00894240"/>
    <w:rPr>
      <w:rFonts w:ascii="Times New Roman" w:eastAsia="Times New Roman" w:hAnsi="Times New Roman" w:cs="Times New Roman"/>
      <w:sz w:val="28"/>
      <w:szCs w:val="20"/>
    </w:rPr>
  </w:style>
  <w:style w:type="paragraph" w:styleId="FootnoteText">
    <w:name w:val="footnote text"/>
    <w:basedOn w:val="Normal"/>
    <w:link w:val="FootnoteTextChar"/>
    <w:rsid w:val="00894240"/>
    <w:rPr>
      <w:sz w:val="20"/>
      <w:szCs w:val="20"/>
    </w:rPr>
  </w:style>
  <w:style w:type="character" w:customStyle="1" w:styleId="FootnoteTextChar">
    <w:name w:val="Footnote Text Char"/>
    <w:basedOn w:val="DefaultParagraphFont"/>
    <w:link w:val="FootnoteText"/>
    <w:rsid w:val="00894240"/>
    <w:rPr>
      <w:rFonts w:ascii="Times New Roman" w:eastAsia="Times New Roman" w:hAnsi="Times New Roman" w:cs="Times New Roman"/>
      <w:sz w:val="20"/>
      <w:szCs w:val="20"/>
    </w:rPr>
  </w:style>
  <w:style w:type="character" w:styleId="FootnoteReference">
    <w:name w:val="footnote reference"/>
    <w:basedOn w:val="DefaultParagraphFont"/>
    <w:rsid w:val="00894240"/>
    <w:rPr>
      <w:vertAlign w:val="superscript"/>
    </w:rPr>
  </w:style>
  <w:style w:type="paragraph" w:styleId="ListParagraph">
    <w:name w:val="List Paragraph"/>
    <w:basedOn w:val="Normal"/>
    <w:uiPriority w:val="34"/>
    <w:qFormat/>
    <w:rsid w:val="00894240"/>
    <w:pPr>
      <w:ind w:left="720"/>
      <w:contextualSpacing/>
    </w:pPr>
  </w:style>
  <w:style w:type="paragraph" w:customStyle="1" w:styleId="AttorneyName">
    <w:name w:val="Attorney Name"/>
    <w:basedOn w:val="Normal"/>
    <w:rsid w:val="00FD10F6"/>
    <w:pPr>
      <w:spacing w:line="227" w:lineRule="exact"/>
    </w:pPr>
    <w:rPr>
      <w:rFonts w:ascii="Courier New" w:eastAsiaTheme="minorHAnsi" w:hAnsi="Courier New" w:cs="Courier New"/>
      <w:sz w:val="18"/>
      <w:szCs w:val="18"/>
    </w:rPr>
  </w:style>
  <w:style w:type="paragraph" w:customStyle="1" w:styleId="Normal1">
    <w:name w:val="Normal1"/>
    <w:basedOn w:val="Normal"/>
    <w:rsid w:val="00FD10F6"/>
    <w:pPr>
      <w:spacing w:line="276" w:lineRule="auto"/>
    </w:pPr>
    <w:rPr>
      <w:rFonts w:ascii="Arial" w:eastAsiaTheme="minorHAnsi" w:hAnsi="Arial" w:cs="Arial"/>
      <w:color w:val="000000"/>
      <w:sz w:val="22"/>
      <w:szCs w:val="22"/>
    </w:rPr>
  </w:style>
  <w:style w:type="paragraph" w:customStyle="1" w:styleId="Pleading-Double-Space">
    <w:name w:val="Pleading-Double-Space"/>
    <w:basedOn w:val="Normal"/>
    <w:rsid w:val="00920CF2"/>
    <w:pPr>
      <w:snapToGrid w:val="0"/>
      <w:spacing w:line="480" w:lineRule="exact"/>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40"/>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94240"/>
    <w:pPr>
      <w:tabs>
        <w:tab w:val="center" w:pos="4320"/>
        <w:tab w:val="right" w:pos="8640"/>
      </w:tabs>
    </w:pPr>
  </w:style>
  <w:style w:type="character" w:customStyle="1" w:styleId="FooterChar">
    <w:name w:val="Footer Char"/>
    <w:basedOn w:val="DefaultParagraphFont"/>
    <w:link w:val="Footer"/>
    <w:uiPriority w:val="99"/>
    <w:rsid w:val="00894240"/>
    <w:rPr>
      <w:rFonts w:ascii="Times New Roman" w:eastAsia="Times New Roman" w:hAnsi="Times New Roman" w:cs="Times New Roman"/>
      <w:sz w:val="26"/>
      <w:szCs w:val="26"/>
    </w:rPr>
  </w:style>
  <w:style w:type="character" w:styleId="PageNumber">
    <w:name w:val="page number"/>
    <w:basedOn w:val="DefaultParagraphFont"/>
    <w:rsid w:val="00894240"/>
  </w:style>
  <w:style w:type="character" w:styleId="Hyperlink">
    <w:name w:val="Hyperlink"/>
    <w:basedOn w:val="DefaultParagraphFont"/>
    <w:rsid w:val="00894240"/>
    <w:rPr>
      <w:color w:val="0000FF"/>
      <w:u w:val="single"/>
    </w:rPr>
  </w:style>
  <w:style w:type="paragraph" w:styleId="BodyText">
    <w:name w:val="Body Text"/>
    <w:basedOn w:val="Normal"/>
    <w:link w:val="BodyTextChar"/>
    <w:unhideWhenUsed/>
    <w:rsid w:val="00894240"/>
    <w:pPr>
      <w:jc w:val="both"/>
    </w:pPr>
    <w:rPr>
      <w:sz w:val="28"/>
      <w:szCs w:val="20"/>
    </w:rPr>
  </w:style>
  <w:style w:type="character" w:customStyle="1" w:styleId="BodyTextChar">
    <w:name w:val="Body Text Char"/>
    <w:basedOn w:val="DefaultParagraphFont"/>
    <w:link w:val="BodyText"/>
    <w:rsid w:val="00894240"/>
    <w:rPr>
      <w:rFonts w:ascii="Times New Roman" w:eastAsia="Times New Roman" w:hAnsi="Times New Roman" w:cs="Times New Roman"/>
      <w:sz w:val="28"/>
      <w:szCs w:val="20"/>
    </w:rPr>
  </w:style>
  <w:style w:type="paragraph" w:styleId="FootnoteText">
    <w:name w:val="footnote text"/>
    <w:basedOn w:val="Normal"/>
    <w:link w:val="FootnoteTextChar"/>
    <w:rsid w:val="00894240"/>
    <w:rPr>
      <w:sz w:val="20"/>
      <w:szCs w:val="20"/>
    </w:rPr>
  </w:style>
  <w:style w:type="character" w:customStyle="1" w:styleId="FootnoteTextChar">
    <w:name w:val="Footnote Text Char"/>
    <w:basedOn w:val="DefaultParagraphFont"/>
    <w:link w:val="FootnoteText"/>
    <w:rsid w:val="00894240"/>
    <w:rPr>
      <w:rFonts w:ascii="Times New Roman" w:eastAsia="Times New Roman" w:hAnsi="Times New Roman" w:cs="Times New Roman"/>
      <w:sz w:val="20"/>
      <w:szCs w:val="20"/>
    </w:rPr>
  </w:style>
  <w:style w:type="character" w:styleId="FootnoteReference">
    <w:name w:val="footnote reference"/>
    <w:basedOn w:val="DefaultParagraphFont"/>
    <w:rsid w:val="00894240"/>
    <w:rPr>
      <w:vertAlign w:val="superscript"/>
    </w:rPr>
  </w:style>
  <w:style w:type="paragraph" w:styleId="ListParagraph">
    <w:name w:val="List Paragraph"/>
    <w:basedOn w:val="Normal"/>
    <w:uiPriority w:val="34"/>
    <w:qFormat/>
    <w:rsid w:val="00894240"/>
    <w:pPr>
      <w:ind w:left="720"/>
      <w:contextualSpacing/>
    </w:pPr>
  </w:style>
  <w:style w:type="paragraph" w:customStyle="1" w:styleId="AttorneyName">
    <w:name w:val="Attorney Name"/>
    <w:basedOn w:val="Normal"/>
    <w:rsid w:val="00FD10F6"/>
    <w:pPr>
      <w:spacing w:line="227" w:lineRule="exact"/>
    </w:pPr>
    <w:rPr>
      <w:rFonts w:ascii="Courier New" w:eastAsiaTheme="minorHAnsi" w:hAnsi="Courier New" w:cs="Courier New"/>
      <w:sz w:val="18"/>
      <w:szCs w:val="18"/>
    </w:rPr>
  </w:style>
  <w:style w:type="paragraph" w:customStyle="1" w:styleId="Normal1">
    <w:name w:val="Normal1"/>
    <w:basedOn w:val="Normal"/>
    <w:rsid w:val="00FD10F6"/>
    <w:pPr>
      <w:spacing w:line="276" w:lineRule="auto"/>
    </w:pPr>
    <w:rPr>
      <w:rFonts w:ascii="Arial" w:eastAsiaTheme="minorHAnsi" w:hAnsi="Arial" w:cs="Arial"/>
      <w:color w:val="000000"/>
      <w:sz w:val="22"/>
      <w:szCs w:val="22"/>
    </w:rPr>
  </w:style>
  <w:style w:type="paragraph" w:customStyle="1" w:styleId="Pleading-Double-Space">
    <w:name w:val="Pleading-Double-Space"/>
    <w:basedOn w:val="Normal"/>
    <w:rsid w:val="00920CF2"/>
    <w:pPr>
      <w:snapToGrid w:val="0"/>
      <w:spacing w:line="480" w:lineRule="exact"/>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216217">
      <w:bodyDiv w:val="1"/>
      <w:marLeft w:val="0"/>
      <w:marRight w:val="0"/>
      <w:marTop w:val="0"/>
      <w:marBottom w:val="0"/>
      <w:divBdr>
        <w:top w:val="none" w:sz="0" w:space="0" w:color="auto"/>
        <w:left w:val="none" w:sz="0" w:space="0" w:color="auto"/>
        <w:bottom w:val="none" w:sz="0" w:space="0" w:color="auto"/>
        <w:right w:val="none" w:sz="0" w:space="0" w:color="auto"/>
      </w:divBdr>
    </w:div>
    <w:div w:id="300769438">
      <w:bodyDiv w:val="1"/>
      <w:marLeft w:val="0"/>
      <w:marRight w:val="0"/>
      <w:marTop w:val="0"/>
      <w:marBottom w:val="0"/>
      <w:divBdr>
        <w:top w:val="none" w:sz="0" w:space="0" w:color="auto"/>
        <w:left w:val="none" w:sz="0" w:space="0" w:color="auto"/>
        <w:bottom w:val="none" w:sz="0" w:space="0" w:color="auto"/>
        <w:right w:val="none" w:sz="0" w:space="0" w:color="auto"/>
      </w:divBdr>
      <w:divsChild>
        <w:div w:id="1460227218">
          <w:marLeft w:val="0"/>
          <w:marRight w:val="0"/>
          <w:marTop w:val="0"/>
          <w:marBottom w:val="0"/>
          <w:divBdr>
            <w:top w:val="none" w:sz="0" w:space="0" w:color="auto"/>
            <w:left w:val="none" w:sz="0" w:space="0" w:color="auto"/>
            <w:bottom w:val="none" w:sz="0" w:space="0" w:color="auto"/>
            <w:right w:val="none" w:sz="0" w:space="0" w:color="auto"/>
          </w:divBdr>
          <w:divsChild>
            <w:div w:id="43995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98966">
      <w:bodyDiv w:val="1"/>
      <w:marLeft w:val="0"/>
      <w:marRight w:val="0"/>
      <w:marTop w:val="0"/>
      <w:marBottom w:val="0"/>
      <w:divBdr>
        <w:top w:val="none" w:sz="0" w:space="0" w:color="auto"/>
        <w:left w:val="none" w:sz="0" w:space="0" w:color="auto"/>
        <w:bottom w:val="none" w:sz="0" w:space="0" w:color="auto"/>
        <w:right w:val="none" w:sz="0" w:space="0" w:color="auto"/>
      </w:divBdr>
    </w:div>
    <w:div w:id="1035156720">
      <w:bodyDiv w:val="1"/>
      <w:marLeft w:val="0"/>
      <w:marRight w:val="0"/>
      <w:marTop w:val="0"/>
      <w:marBottom w:val="0"/>
      <w:divBdr>
        <w:top w:val="none" w:sz="0" w:space="0" w:color="auto"/>
        <w:left w:val="none" w:sz="0" w:space="0" w:color="auto"/>
        <w:bottom w:val="none" w:sz="0" w:space="0" w:color="auto"/>
        <w:right w:val="none" w:sz="0" w:space="0" w:color="auto"/>
      </w:divBdr>
    </w:div>
    <w:div w:id="1109928787">
      <w:bodyDiv w:val="1"/>
      <w:marLeft w:val="0"/>
      <w:marRight w:val="0"/>
      <w:marTop w:val="0"/>
      <w:marBottom w:val="0"/>
      <w:divBdr>
        <w:top w:val="none" w:sz="0" w:space="0" w:color="auto"/>
        <w:left w:val="none" w:sz="0" w:space="0" w:color="auto"/>
        <w:bottom w:val="none" w:sz="0" w:space="0" w:color="auto"/>
        <w:right w:val="none" w:sz="0" w:space="0" w:color="auto"/>
      </w:divBdr>
      <w:divsChild>
        <w:div w:id="1795363449">
          <w:marLeft w:val="0"/>
          <w:marRight w:val="0"/>
          <w:marTop w:val="0"/>
          <w:marBottom w:val="0"/>
          <w:divBdr>
            <w:top w:val="none" w:sz="0" w:space="0" w:color="auto"/>
            <w:left w:val="none" w:sz="0" w:space="0" w:color="auto"/>
            <w:bottom w:val="none" w:sz="0" w:space="0" w:color="auto"/>
            <w:right w:val="none" w:sz="0" w:space="0" w:color="auto"/>
          </w:divBdr>
          <w:divsChild>
            <w:div w:id="1614288223">
              <w:marLeft w:val="0"/>
              <w:marRight w:val="0"/>
              <w:marTop w:val="0"/>
              <w:marBottom w:val="0"/>
              <w:divBdr>
                <w:top w:val="none" w:sz="0" w:space="0" w:color="auto"/>
                <w:left w:val="none" w:sz="0" w:space="0" w:color="auto"/>
                <w:bottom w:val="none" w:sz="0" w:space="0" w:color="auto"/>
                <w:right w:val="none" w:sz="0" w:space="0" w:color="auto"/>
              </w:divBdr>
              <w:divsChild>
                <w:div w:id="1799688899">
                  <w:marLeft w:val="0"/>
                  <w:marRight w:val="0"/>
                  <w:marTop w:val="0"/>
                  <w:marBottom w:val="0"/>
                  <w:divBdr>
                    <w:top w:val="none" w:sz="0" w:space="0" w:color="auto"/>
                    <w:left w:val="none" w:sz="0" w:space="0" w:color="auto"/>
                    <w:bottom w:val="none" w:sz="0" w:space="0" w:color="auto"/>
                    <w:right w:val="none" w:sz="0" w:space="0" w:color="auto"/>
                  </w:divBdr>
                </w:div>
              </w:divsChild>
            </w:div>
            <w:div w:id="434521778">
              <w:marLeft w:val="0"/>
              <w:marRight w:val="0"/>
              <w:marTop w:val="0"/>
              <w:marBottom w:val="0"/>
              <w:divBdr>
                <w:top w:val="none" w:sz="0" w:space="0" w:color="auto"/>
                <w:left w:val="none" w:sz="0" w:space="0" w:color="auto"/>
                <w:bottom w:val="none" w:sz="0" w:space="0" w:color="auto"/>
                <w:right w:val="none" w:sz="0" w:space="0" w:color="auto"/>
              </w:divBdr>
              <w:divsChild>
                <w:div w:id="1534346626">
                  <w:marLeft w:val="0"/>
                  <w:marRight w:val="0"/>
                  <w:marTop w:val="0"/>
                  <w:marBottom w:val="0"/>
                  <w:divBdr>
                    <w:top w:val="none" w:sz="0" w:space="0" w:color="auto"/>
                    <w:left w:val="none" w:sz="0" w:space="0" w:color="auto"/>
                    <w:bottom w:val="none" w:sz="0" w:space="0" w:color="auto"/>
                    <w:right w:val="none" w:sz="0" w:space="0" w:color="auto"/>
                  </w:divBdr>
                </w:div>
              </w:divsChild>
            </w:div>
            <w:div w:id="1832915374">
              <w:marLeft w:val="0"/>
              <w:marRight w:val="0"/>
              <w:marTop w:val="0"/>
              <w:marBottom w:val="0"/>
              <w:divBdr>
                <w:top w:val="none" w:sz="0" w:space="0" w:color="auto"/>
                <w:left w:val="none" w:sz="0" w:space="0" w:color="auto"/>
                <w:bottom w:val="none" w:sz="0" w:space="0" w:color="auto"/>
                <w:right w:val="none" w:sz="0" w:space="0" w:color="auto"/>
              </w:divBdr>
              <w:divsChild>
                <w:div w:id="899906284">
                  <w:marLeft w:val="0"/>
                  <w:marRight w:val="0"/>
                  <w:marTop w:val="0"/>
                  <w:marBottom w:val="0"/>
                  <w:divBdr>
                    <w:top w:val="none" w:sz="0" w:space="0" w:color="auto"/>
                    <w:left w:val="none" w:sz="0" w:space="0" w:color="auto"/>
                    <w:bottom w:val="none" w:sz="0" w:space="0" w:color="auto"/>
                    <w:right w:val="none" w:sz="0" w:space="0" w:color="auto"/>
                  </w:divBdr>
                </w:div>
              </w:divsChild>
            </w:div>
            <w:div w:id="586035573">
              <w:marLeft w:val="0"/>
              <w:marRight w:val="0"/>
              <w:marTop w:val="0"/>
              <w:marBottom w:val="0"/>
              <w:divBdr>
                <w:top w:val="none" w:sz="0" w:space="0" w:color="auto"/>
                <w:left w:val="none" w:sz="0" w:space="0" w:color="auto"/>
                <w:bottom w:val="none" w:sz="0" w:space="0" w:color="auto"/>
                <w:right w:val="none" w:sz="0" w:space="0" w:color="auto"/>
              </w:divBdr>
              <w:divsChild>
                <w:div w:id="1363822431">
                  <w:marLeft w:val="0"/>
                  <w:marRight w:val="0"/>
                  <w:marTop w:val="0"/>
                  <w:marBottom w:val="0"/>
                  <w:divBdr>
                    <w:top w:val="none" w:sz="0" w:space="0" w:color="auto"/>
                    <w:left w:val="none" w:sz="0" w:space="0" w:color="auto"/>
                    <w:bottom w:val="none" w:sz="0" w:space="0" w:color="auto"/>
                    <w:right w:val="none" w:sz="0" w:space="0" w:color="auto"/>
                  </w:divBdr>
                </w:div>
              </w:divsChild>
            </w:div>
            <w:div w:id="2141336516">
              <w:marLeft w:val="0"/>
              <w:marRight w:val="0"/>
              <w:marTop w:val="0"/>
              <w:marBottom w:val="0"/>
              <w:divBdr>
                <w:top w:val="none" w:sz="0" w:space="0" w:color="auto"/>
                <w:left w:val="none" w:sz="0" w:space="0" w:color="auto"/>
                <w:bottom w:val="none" w:sz="0" w:space="0" w:color="auto"/>
                <w:right w:val="none" w:sz="0" w:space="0" w:color="auto"/>
              </w:divBdr>
              <w:divsChild>
                <w:div w:id="1928150831">
                  <w:marLeft w:val="0"/>
                  <w:marRight w:val="0"/>
                  <w:marTop w:val="0"/>
                  <w:marBottom w:val="0"/>
                  <w:divBdr>
                    <w:top w:val="none" w:sz="0" w:space="0" w:color="auto"/>
                    <w:left w:val="none" w:sz="0" w:space="0" w:color="auto"/>
                    <w:bottom w:val="none" w:sz="0" w:space="0" w:color="auto"/>
                    <w:right w:val="none" w:sz="0" w:space="0" w:color="auto"/>
                  </w:divBdr>
                </w:div>
              </w:divsChild>
            </w:div>
            <w:div w:id="195809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90551">
      <w:bodyDiv w:val="1"/>
      <w:marLeft w:val="0"/>
      <w:marRight w:val="0"/>
      <w:marTop w:val="0"/>
      <w:marBottom w:val="0"/>
      <w:divBdr>
        <w:top w:val="none" w:sz="0" w:space="0" w:color="auto"/>
        <w:left w:val="none" w:sz="0" w:space="0" w:color="auto"/>
        <w:bottom w:val="none" w:sz="0" w:space="0" w:color="auto"/>
        <w:right w:val="none" w:sz="0" w:space="0" w:color="auto"/>
      </w:divBdr>
    </w:div>
    <w:div w:id="1571891694">
      <w:bodyDiv w:val="1"/>
      <w:marLeft w:val="0"/>
      <w:marRight w:val="0"/>
      <w:marTop w:val="0"/>
      <w:marBottom w:val="0"/>
      <w:divBdr>
        <w:top w:val="none" w:sz="0" w:space="0" w:color="auto"/>
        <w:left w:val="none" w:sz="0" w:space="0" w:color="auto"/>
        <w:bottom w:val="none" w:sz="0" w:space="0" w:color="auto"/>
        <w:right w:val="none" w:sz="0" w:space="0" w:color="auto"/>
      </w:divBdr>
      <w:divsChild>
        <w:div w:id="1593926689">
          <w:marLeft w:val="0"/>
          <w:marRight w:val="0"/>
          <w:marTop w:val="0"/>
          <w:marBottom w:val="0"/>
          <w:divBdr>
            <w:top w:val="none" w:sz="0" w:space="0" w:color="auto"/>
            <w:left w:val="none" w:sz="0" w:space="0" w:color="auto"/>
            <w:bottom w:val="none" w:sz="0" w:space="0" w:color="auto"/>
            <w:right w:val="none" w:sz="0" w:space="0" w:color="auto"/>
          </w:divBdr>
          <w:divsChild>
            <w:div w:id="37173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48818">
      <w:bodyDiv w:val="1"/>
      <w:marLeft w:val="0"/>
      <w:marRight w:val="0"/>
      <w:marTop w:val="0"/>
      <w:marBottom w:val="0"/>
      <w:divBdr>
        <w:top w:val="none" w:sz="0" w:space="0" w:color="auto"/>
        <w:left w:val="none" w:sz="0" w:space="0" w:color="auto"/>
        <w:bottom w:val="none" w:sz="0" w:space="0" w:color="auto"/>
        <w:right w:val="none" w:sz="0" w:space="0" w:color="auto"/>
      </w:divBdr>
      <w:divsChild>
        <w:div w:id="1068501119">
          <w:marLeft w:val="0"/>
          <w:marRight w:val="0"/>
          <w:marTop w:val="0"/>
          <w:marBottom w:val="0"/>
          <w:divBdr>
            <w:top w:val="none" w:sz="0" w:space="0" w:color="auto"/>
            <w:left w:val="none" w:sz="0" w:space="0" w:color="auto"/>
            <w:bottom w:val="none" w:sz="0" w:space="0" w:color="auto"/>
            <w:right w:val="none" w:sz="0" w:space="0" w:color="auto"/>
          </w:divBdr>
          <w:divsChild>
            <w:div w:id="13370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274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osephine@bidwillfirm.com" TargetMode="External"/><Relationship Id="rId4" Type="http://schemas.microsoft.com/office/2007/relationships/stylesWithEffects" Target="stylesWithEffects.xml"/><Relationship Id="rId9" Type="http://schemas.openxmlformats.org/officeDocument/2006/relationships/hyperlink" Target="mailto:Headek@mail.maricopa.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paysonroundup.com/news/2013/dec/06/convictions-overturned-prosecutors-rebuked/" TargetMode="External"/><Relationship Id="rId7" Type="http://schemas.openxmlformats.org/officeDocument/2006/relationships/hyperlink" Target="http://www.nytimes.com/2007/09/08/us/08duke.html" TargetMode="External"/><Relationship Id="rId2" Type="http://schemas.openxmlformats.org/officeDocument/2006/relationships/hyperlink" Target="https://www.washingtonpost.com/news/the-watch/wp/2015/09/21/the-outrageous-conviction-of-montez-spradley/" TargetMode="External"/><Relationship Id="rId1" Type="http://schemas.openxmlformats.org/officeDocument/2006/relationships/hyperlink" Target="http://www.reviewjournal.com/news/las-vegas/prosecutor-secrecy-evidence-handling-witnesses-may-tip-balance-away-justice" TargetMode="External"/><Relationship Id="rId6" Type="http://schemas.openxmlformats.org/officeDocument/2006/relationships/hyperlink" Target="http://www.nytimes.com/2008/10/03/us/03stevens.html" TargetMode="External"/><Relationship Id="rId5" Type="http://schemas.openxmlformats.org/officeDocument/2006/relationships/hyperlink" Target="http://www.huffingtonpost.com/2013/05/13/brady-v-maryland-50_n_3268000.html" TargetMode="External"/><Relationship Id="rId4" Type="http://schemas.openxmlformats.org/officeDocument/2006/relationships/hyperlink" Target="http://www.businessinsider.com/alex-kosinskis-brady-violations-opinion-2013-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9FA0A-6841-4B6B-A672-F2E488F7C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Josephine Bidwill</dc:creator>
  <cp:lastModifiedBy>Kevin Heade - PDX</cp:lastModifiedBy>
  <cp:revision>2</cp:revision>
  <dcterms:created xsi:type="dcterms:W3CDTF">2016-05-20T15:24:00Z</dcterms:created>
  <dcterms:modified xsi:type="dcterms:W3CDTF">2016-05-20T15:24:00Z</dcterms:modified>
</cp:coreProperties>
</file>