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C8" w:rsidRPr="00300588" w:rsidRDefault="00F343C8" w:rsidP="00F343C8">
      <w:pPr>
        <w:pStyle w:val="AttorneyName"/>
        <w:spacing w:line="240" w:lineRule="auto"/>
        <w:rPr>
          <w:rFonts w:ascii="Times New Roman" w:hAnsi="Times New Roman"/>
          <w:b/>
          <w:sz w:val="28"/>
          <w:szCs w:val="28"/>
        </w:rPr>
      </w:pPr>
      <w:r w:rsidRPr="00300588">
        <w:rPr>
          <w:rFonts w:ascii="Times New Roman" w:hAnsi="Times New Roman"/>
          <w:b/>
          <w:sz w:val="28"/>
          <w:szCs w:val="28"/>
        </w:rPr>
        <w:t xml:space="preserve">ARIZONA ATTORNEYS </w:t>
      </w:r>
    </w:p>
    <w:p w:rsidR="00F343C8" w:rsidRPr="00300588" w:rsidRDefault="00F343C8" w:rsidP="00F343C8">
      <w:pPr>
        <w:pStyle w:val="AttorneyName"/>
        <w:spacing w:line="240" w:lineRule="auto"/>
        <w:rPr>
          <w:rFonts w:ascii="Times New Roman" w:hAnsi="Times New Roman"/>
          <w:b/>
          <w:sz w:val="28"/>
          <w:szCs w:val="28"/>
        </w:rPr>
      </w:pPr>
      <w:r w:rsidRPr="00300588">
        <w:rPr>
          <w:rFonts w:ascii="Times New Roman" w:hAnsi="Times New Roman"/>
          <w:b/>
          <w:sz w:val="28"/>
          <w:szCs w:val="28"/>
        </w:rPr>
        <w:t>FOR CRIMINAL JUSTICE</w:t>
      </w:r>
    </w:p>
    <w:p w:rsidR="00F343C8" w:rsidRPr="00300588" w:rsidRDefault="00F343C8" w:rsidP="00F343C8">
      <w:pPr>
        <w:pStyle w:val="AttorneyName"/>
        <w:spacing w:line="240" w:lineRule="auto"/>
        <w:rPr>
          <w:rFonts w:ascii="Times New Roman" w:hAnsi="Times New Roman"/>
          <w:b/>
          <w:sz w:val="28"/>
          <w:szCs w:val="28"/>
        </w:rPr>
      </w:pPr>
      <w:r w:rsidRPr="00300588">
        <w:rPr>
          <w:rFonts w:ascii="Times New Roman" w:hAnsi="Times New Roman"/>
          <w:b/>
          <w:sz w:val="28"/>
          <w:szCs w:val="28"/>
        </w:rPr>
        <w:t>PO Box 41213</w:t>
      </w:r>
    </w:p>
    <w:p w:rsidR="00F343C8" w:rsidRPr="00300588" w:rsidRDefault="00F343C8" w:rsidP="00F343C8">
      <w:pPr>
        <w:pStyle w:val="AttorneyName"/>
        <w:spacing w:line="240" w:lineRule="auto"/>
        <w:rPr>
          <w:rFonts w:ascii="Times New Roman" w:hAnsi="Times New Roman"/>
          <w:b/>
          <w:sz w:val="28"/>
          <w:szCs w:val="28"/>
        </w:rPr>
      </w:pPr>
      <w:r w:rsidRPr="00300588">
        <w:rPr>
          <w:rFonts w:ascii="Times New Roman" w:hAnsi="Times New Roman"/>
          <w:b/>
          <w:sz w:val="28"/>
          <w:szCs w:val="28"/>
        </w:rPr>
        <w:t>Phoenix, AZ 85080-1213</w:t>
      </w:r>
    </w:p>
    <w:p w:rsidR="00F343C8" w:rsidRPr="00300588" w:rsidRDefault="00F343C8" w:rsidP="00F343C8">
      <w:pPr>
        <w:pStyle w:val="AttorneyName"/>
        <w:spacing w:line="240" w:lineRule="auto"/>
        <w:rPr>
          <w:rFonts w:ascii="Times New Roman" w:hAnsi="Times New Roman"/>
          <w:b/>
          <w:sz w:val="28"/>
          <w:szCs w:val="28"/>
        </w:rPr>
      </w:pPr>
      <w:r w:rsidRPr="00300588">
        <w:rPr>
          <w:rFonts w:ascii="Times New Roman" w:hAnsi="Times New Roman"/>
          <w:b/>
          <w:sz w:val="28"/>
          <w:szCs w:val="28"/>
        </w:rPr>
        <w:t>TEL:  (480) 812-1700</w:t>
      </w:r>
    </w:p>
    <w:p w:rsidR="00F343C8" w:rsidRPr="00300588" w:rsidRDefault="00F343C8" w:rsidP="00F343C8">
      <w:pPr>
        <w:pStyle w:val="AttorneyName"/>
        <w:spacing w:line="240" w:lineRule="auto"/>
        <w:rPr>
          <w:rFonts w:ascii="Times New Roman" w:hAnsi="Times New Roman"/>
          <w:b/>
          <w:i/>
          <w:sz w:val="28"/>
          <w:szCs w:val="28"/>
        </w:rPr>
      </w:pPr>
      <w:r w:rsidRPr="00300588">
        <w:rPr>
          <w:rFonts w:ascii="Times New Roman" w:hAnsi="Times New Roman"/>
          <w:b/>
          <w:i/>
          <w:sz w:val="28"/>
          <w:szCs w:val="28"/>
        </w:rPr>
        <w:t>Mikel Steinfeld, AZ Bar # 024996</w:t>
      </w:r>
    </w:p>
    <w:p w:rsidR="00F343C8" w:rsidRPr="00300588" w:rsidRDefault="00300588" w:rsidP="00F343C8">
      <w:pPr>
        <w:pStyle w:val="AttorneyName"/>
        <w:spacing w:line="240" w:lineRule="auto"/>
        <w:rPr>
          <w:rFonts w:ascii="Times New Roman" w:hAnsi="Times New Roman"/>
          <w:b/>
          <w:i/>
          <w:sz w:val="28"/>
          <w:szCs w:val="28"/>
        </w:rPr>
      </w:pPr>
      <w:hyperlink r:id="rId8" w:history="1">
        <w:r w:rsidR="00F343C8" w:rsidRPr="00300588">
          <w:rPr>
            <w:rStyle w:val="Hyperlink"/>
            <w:rFonts w:ascii="Times New Roman" w:hAnsi="Times New Roman"/>
            <w:b/>
            <w:i/>
            <w:sz w:val="28"/>
            <w:szCs w:val="28"/>
          </w:rPr>
          <w:t>steinfeldm@mail.maricopa.gov</w:t>
        </w:r>
      </w:hyperlink>
      <w:r w:rsidR="00F343C8" w:rsidRPr="00300588">
        <w:rPr>
          <w:rFonts w:ascii="Times New Roman" w:hAnsi="Times New Roman"/>
          <w:b/>
          <w:i/>
          <w:sz w:val="28"/>
          <w:szCs w:val="28"/>
        </w:rPr>
        <w:t xml:space="preserve"> </w:t>
      </w:r>
    </w:p>
    <w:p w:rsidR="00F343C8" w:rsidRPr="00300588" w:rsidRDefault="00F343C8" w:rsidP="00F343C8">
      <w:pPr>
        <w:pStyle w:val="AttorneyName"/>
        <w:spacing w:line="240" w:lineRule="auto"/>
        <w:rPr>
          <w:rFonts w:ascii="Times New Roman" w:hAnsi="Times New Roman"/>
          <w:b/>
          <w:i/>
          <w:sz w:val="28"/>
          <w:szCs w:val="28"/>
        </w:rPr>
      </w:pPr>
    </w:p>
    <w:p w:rsidR="00F343C8" w:rsidRPr="00300588" w:rsidRDefault="00F343C8" w:rsidP="00F343C8">
      <w:pPr>
        <w:pStyle w:val="AttorneyName"/>
        <w:spacing w:line="240" w:lineRule="auto"/>
        <w:jc w:val="center"/>
        <w:rPr>
          <w:rFonts w:ascii="Times New Roman" w:hAnsi="Times New Roman"/>
          <w:b/>
          <w:sz w:val="28"/>
          <w:szCs w:val="28"/>
        </w:rPr>
      </w:pPr>
      <w:r w:rsidRPr="00300588">
        <w:rPr>
          <w:rFonts w:ascii="Times New Roman" w:hAnsi="Times New Roman"/>
          <w:b/>
          <w:sz w:val="28"/>
          <w:szCs w:val="28"/>
        </w:rPr>
        <w:t>IN THE SUPREME COURT OF THE STATE OF ARIZONA</w:t>
      </w:r>
    </w:p>
    <w:p w:rsidR="00F343C8" w:rsidRPr="00300588" w:rsidRDefault="00F343C8" w:rsidP="00F343C8">
      <w:pPr>
        <w:pStyle w:val="AttorneyName"/>
        <w:jc w:val="center"/>
        <w:rPr>
          <w:rFonts w:ascii="Times New Roman" w:hAnsi="Times New Roman"/>
          <w:b/>
          <w:sz w:val="28"/>
          <w:szCs w:val="28"/>
        </w:rPr>
      </w:pPr>
    </w:p>
    <w:p w:rsidR="00F343C8" w:rsidRPr="00300588" w:rsidRDefault="00F343C8" w:rsidP="00F343C8">
      <w:pPr>
        <w:pStyle w:val="AttorneyName"/>
        <w:rPr>
          <w:rFonts w:ascii="Times New Roman" w:hAnsi="Times New Roman"/>
          <w:b/>
          <w:sz w:val="28"/>
          <w:szCs w:val="28"/>
        </w:rPr>
      </w:pPr>
    </w:p>
    <w:tbl>
      <w:tblPr>
        <w:tblW w:w="9312" w:type="dxa"/>
        <w:tblLayout w:type="fixed"/>
        <w:tblCellMar>
          <w:left w:w="0" w:type="dxa"/>
          <w:right w:w="0" w:type="dxa"/>
        </w:tblCellMar>
        <w:tblLook w:val="0000" w:firstRow="0" w:lastRow="0" w:firstColumn="0" w:lastColumn="0" w:noHBand="0" w:noVBand="0"/>
      </w:tblPr>
      <w:tblGrid>
        <w:gridCol w:w="4770"/>
        <w:gridCol w:w="4542"/>
      </w:tblGrid>
      <w:tr w:rsidR="00F343C8" w:rsidRPr="00300588" w:rsidTr="00F343C8">
        <w:tc>
          <w:tcPr>
            <w:tcW w:w="4770" w:type="dxa"/>
            <w:tcBorders>
              <w:bottom w:val="single" w:sz="4" w:space="0" w:color="auto"/>
              <w:right w:val="single" w:sz="4" w:space="0" w:color="auto"/>
            </w:tcBorders>
            <w:shd w:val="clear" w:color="auto" w:fill="auto"/>
          </w:tcPr>
          <w:p w:rsidR="00F343C8" w:rsidRPr="00300588" w:rsidRDefault="00F343C8" w:rsidP="00F343C8">
            <w:pPr>
              <w:tabs>
                <w:tab w:val="left" w:pos="1500"/>
              </w:tabs>
              <w:spacing w:line="240" w:lineRule="auto"/>
              <w:jc w:val="both"/>
              <w:rPr>
                <w:sz w:val="28"/>
                <w:szCs w:val="28"/>
              </w:rPr>
            </w:pPr>
            <w:bookmarkStart w:id="0" w:name="Parties"/>
            <w:bookmarkEnd w:id="0"/>
            <w:r w:rsidRPr="00300588">
              <w:rPr>
                <w:sz w:val="28"/>
                <w:szCs w:val="28"/>
              </w:rPr>
              <w:t>In the Matter of:</w:t>
            </w:r>
          </w:p>
          <w:p w:rsidR="00F343C8" w:rsidRPr="00300588" w:rsidRDefault="00F343C8" w:rsidP="00F343C8">
            <w:pPr>
              <w:tabs>
                <w:tab w:val="left" w:pos="1500"/>
              </w:tabs>
              <w:spacing w:line="240" w:lineRule="auto"/>
              <w:jc w:val="both"/>
              <w:rPr>
                <w:sz w:val="28"/>
                <w:szCs w:val="28"/>
              </w:rPr>
            </w:pPr>
          </w:p>
          <w:p w:rsidR="00F343C8" w:rsidRPr="00300588" w:rsidRDefault="00F343C8" w:rsidP="00F343C8">
            <w:pPr>
              <w:tabs>
                <w:tab w:val="left" w:pos="1500"/>
              </w:tabs>
              <w:spacing w:line="240" w:lineRule="auto"/>
              <w:jc w:val="both"/>
              <w:rPr>
                <w:sz w:val="28"/>
                <w:szCs w:val="28"/>
              </w:rPr>
            </w:pPr>
          </w:p>
          <w:p w:rsidR="00F343C8" w:rsidRPr="00300588" w:rsidRDefault="00F343C8" w:rsidP="00F343C8">
            <w:pPr>
              <w:tabs>
                <w:tab w:val="left" w:pos="1500"/>
              </w:tabs>
              <w:spacing w:line="240" w:lineRule="auto"/>
              <w:ind w:right="270"/>
              <w:jc w:val="both"/>
              <w:rPr>
                <w:sz w:val="28"/>
                <w:szCs w:val="28"/>
              </w:rPr>
            </w:pPr>
            <w:r w:rsidRPr="00300588">
              <w:rPr>
                <w:sz w:val="28"/>
                <w:szCs w:val="28"/>
              </w:rPr>
              <w:t>Petition to Amend Rule 8.4 of the Rules of Criminal Procedure</w:t>
            </w:r>
          </w:p>
        </w:tc>
        <w:tc>
          <w:tcPr>
            <w:tcW w:w="4542" w:type="dxa"/>
            <w:tcBorders>
              <w:left w:val="single" w:sz="4" w:space="0" w:color="auto"/>
            </w:tcBorders>
            <w:shd w:val="clear" w:color="auto" w:fill="auto"/>
          </w:tcPr>
          <w:p w:rsidR="00F343C8" w:rsidRPr="00300588" w:rsidRDefault="00F343C8" w:rsidP="00F343C8">
            <w:pPr>
              <w:pStyle w:val="SingleSpacing"/>
              <w:spacing w:line="240" w:lineRule="auto"/>
              <w:ind w:firstLine="270"/>
              <w:jc w:val="both"/>
              <w:rPr>
                <w:rFonts w:ascii="Times New Roman" w:hAnsi="Times New Roman"/>
                <w:sz w:val="28"/>
                <w:szCs w:val="28"/>
              </w:rPr>
            </w:pPr>
            <w:bookmarkStart w:id="1" w:name="CaseNumber"/>
            <w:bookmarkEnd w:id="1"/>
            <w:r w:rsidRPr="00300588">
              <w:rPr>
                <w:rFonts w:ascii="Times New Roman" w:hAnsi="Times New Roman"/>
                <w:sz w:val="28"/>
                <w:szCs w:val="28"/>
              </w:rPr>
              <w:t>No. R-16-0007</w:t>
            </w:r>
          </w:p>
          <w:p w:rsidR="00F343C8" w:rsidRPr="00300588" w:rsidRDefault="00F343C8" w:rsidP="00F343C8">
            <w:pPr>
              <w:pStyle w:val="SingleSpacing"/>
              <w:spacing w:line="240" w:lineRule="auto"/>
              <w:jc w:val="both"/>
              <w:rPr>
                <w:rFonts w:ascii="Times New Roman" w:hAnsi="Times New Roman"/>
                <w:sz w:val="28"/>
                <w:szCs w:val="28"/>
              </w:rPr>
            </w:pPr>
          </w:p>
          <w:p w:rsidR="00F343C8" w:rsidRPr="00300588" w:rsidRDefault="00F343C8" w:rsidP="00F343C8">
            <w:pPr>
              <w:pStyle w:val="SingleSpacing"/>
              <w:spacing w:line="240" w:lineRule="auto"/>
              <w:ind w:left="270"/>
              <w:jc w:val="both"/>
              <w:rPr>
                <w:rFonts w:ascii="Times New Roman" w:hAnsi="Times New Roman"/>
                <w:b/>
                <w:i/>
                <w:sz w:val="28"/>
                <w:szCs w:val="28"/>
              </w:rPr>
            </w:pPr>
            <w:r w:rsidRPr="00300588">
              <w:rPr>
                <w:rFonts w:ascii="Times New Roman" w:hAnsi="Times New Roman"/>
                <w:b/>
                <w:caps/>
                <w:sz w:val="28"/>
                <w:szCs w:val="28"/>
              </w:rPr>
              <w:t>COMMENT OF ARIZONA ATTORNEYS FOR CRIMINAL JUSTICE REGARDING PETITION to amend rule 8.4 OF THE RULES OF CRIMINAL PROCEDURE</w:t>
            </w:r>
          </w:p>
        </w:tc>
      </w:tr>
    </w:tbl>
    <w:p w:rsidR="00F343C8" w:rsidRPr="00300588" w:rsidRDefault="00F343C8" w:rsidP="00F343C8">
      <w:pPr>
        <w:spacing w:after="0" w:line="240" w:lineRule="auto"/>
        <w:jc w:val="both"/>
        <w:rPr>
          <w:sz w:val="28"/>
          <w:szCs w:val="28"/>
        </w:rPr>
      </w:pPr>
    </w:p>
    <w:p w:rsidR="00F343C8" w:rsidRPr="00300588" w:rsidRDefault="00F343C8" w:rsidP="00F343C8">
      <w:pPr>
        <w:pStyle w:val="Normal1"/>
        <w:spacing w:line="480" w:lineRule="auto"/>
        <w:jc w:val="both"/>
        <w:rPr>
          <w:rFonts w:ascii="Times New Roman" w:hAnsi="Times New Roman" w:cs="Times New Roman"/>
          <w:sz w:val="28"/>
          <w:szCs w:val="28"/>
        </w:rPr>
      </w:pPr>
      <w:r w:rsidRPr="00300588">
        <w:rPr>
          <w:rFonts w:ascii="Times New Roman" w:eastAsia="Times New Roman" w:hAnsi="Times New Roman" w:cs="Times New Roman"/>
          <w:sz w:val="28"/>
          <w:szCs w:val="28"/>
        </w:rPr>
        <w:tab/>
      </w:r>
      <w:r w:rsidRPr="00300588">
        <w:rPr>
          <w:rFonts w:ascii="Times New Roman" w:eastAsia="Times New Roman" w:hAnsi="Times New Roman" w:cs="Times New Roman"/>
          <w:sz w:val="28"/>
          <w:szCs w:val="28"/>
          <w:highlight w:val="white"/>
        </w:rPr>
        <w:t xml:space="preserve">Pursuant to Rule 28 of the Arizona Rules of Supreme Court, Arizona Attorneys for Criminal Justice (“AACJ”) submits the following comment to the above-referenced petition. </w:t>
      </w:r>
      <w:r w:rsidR="00300588" w:rsidRPr="00300588">
        <w:rPr>
          <w:rFonts w:ascii="Times New Roman" w:hAnsi="Times New Roman" w:cs="Times New Roman"/>
          <w:sz w:val="28"/>
          <w:szCs w:val="28"/>
        </w:rPr>
        <w:t xml:space="preserve">AACJ, the Arizona state affiliate of the National Association of Criminal Defense Lawyers, was founded in 1986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w:t>
      </w:r>
      <w:r w:rsidR="00300588" w:rsidRPr="00300588">
        <w:rPr>
          <w:rFonts w:ascii="Times New Roman" w:hAnsi="Times New Roman" w:cs="Times New Roman"/>
          <w:sz w:val="28"/>
          <w:szCs w:val="28"/>
        </w:rPr>
        <w:lastRenderedPageBreak/>
        <w:t>fostering public awareness of citizen</w:t>
      </w:r>
      <w:bookmarkStart w:id="2" w:name="_GoBack"/>
      <w:bookmarkEnd w:id="2"/>
      <w:r w:rsidR="00300588" w:rsidRPr="00300588">
        <w:rPr>
          <w:rFonts w:ascii="Times New Roman" w:hAnsi="Times New Roman" w:cs="Times New Roman"/>
          <w:sz w:val="28"/>
          <w:szCs w:val="28"/>
        </w:rPr>
        <w:t>s’ rights, the criminal justice system, and the role of the defense lawyer.</w:t>
      </w:r>
    </w:p>
    <w:p w:rsidR="00F343C8" w:rsidRPr="00300588" w:rsidRDefault="00F343C8" w:rsidP="00F343C8">
      <w:pPr>
        <w:pStyle w:val="Normal1"/>
        <w:spacing w:line="480" w:lineRule="auto"/>
        <w:jc w:val="center"/>
        <w:rPr>
          <w:rFonts w:ascii="Times New Roman" w:hAnsi="Times New Roman" w:cs="Times New Roman"/>
          <w:sz w:val="28"/>
          <w:szCs w:val="28"/>
          <w:u w:val="single"/>
        </w:rPr>
      </w:pPr>
      <w:r w:rsidRPr="00300588">
        <w:rPr>
          <w:rFonts w:ascii="Times New Roman" w:eastAsia="Times New Roman" w:hAnsi="Times New Roman" w:cs="Times New Roman"/>
          <w:b/>
          <w:sz w:val="28"/>
          <w:szCs w:val="28"/>
          <w:highlight w:val="white"/>
          <w:u w:val="single"/>
        </w:rPr>
        <w:t>Discussion</w:t>
      </w:r>
    </w:p>
    <w:p w:rsidR="0043466C" w:rsidRPr="00300588" w:rsidRDefault="00F96D95" w:rsidP="00F343C8">
      <w:pPr>
        <w:spacing w:after="0" w:line="480" w:lineRule="auto"/>
        <w:ind w:firstLine="720"/>
        <w:jc w:val="both"/>
        <w:rPr>
          <w:sz w:val="28"/>
          <w:szCs w:val="28"/>
        </w:rPr>
      </w:pPr>
      <w:r w:rsidRPr="00300588">
        <w:rPr>
          <w:sz w:val="28"/>
          <w:szCs w:val="28"/>
        </w:rPr>
        <w:t xml:space="preserve">AACJ </w:t>
      </w:r>
      <w:r w:rsidR="00530DCE" w:rsidRPr="00300588">
        <w:rPr>
          <w:sz w:val="28"/>
          <w:szCs w:val="28"/>
        </w:rPr>
        <w:t xml:space="preserve">agrees </w:t>
      </w:r>
      <w:r w:rsidR="00300588" w:rsidRPr="00300588">
        <w:rPr>
          <w:sz w:val="28"/>
          <w:szCs w:val="28"/>
        </w:rPr>
        <w:t>in princip</w:t>
      </w:r>
      <w:r w:rsidRPr="00300588">
        <w:rPr>
          <w:sz w:val="28"/>
          <w:szCs w:val="28"/>
        </w:rPr>
        <w:t>l</w:t>
      </w:r>
      <w:r w:rsidR="00300588" w:rsidRPr="00300588">
        <w:rPr>
          <w:sz w:val="28"/>
          <w:szCs w:val="28"/>
        </w:rPr>
        <w:t>e</w:t>
      </w:r>
      <w:r w:rsidRPr="00300588">
        <w:rPr>
          <w:sz w:val="28"/>
          <w:szCs w:val="28"/>
        </w:rPr>
        <w:t xml:space="preserve"> with the proposed rule change. Getting</w:t>
      </w:r>
      <w:r w:rsidR="00300588" w:rsidRPr="00300588">
        <w:rPr>
          <w:sz w:val="28"/>
          <w:szCs w:val="28"/>
        </w:rPr>
        <w:t xml:space="preserve"> a case back on track and trial-</w:t>
      </w:r>
      <w:r w:rsidRPr="00300588">
        <w:rPr>
          <w:sz w:val="28"/>
          <w:szCs w:val="28"/>
        </w:rPr>
        <w:t xml:space="preserve">ready after a competency finding </w:t>
      </w:r>
      <w:r w:rsidR="00300588" w:rsidRPr="00300588">
        <w:rPr>
          <w:sz w:val="28"/>
          <w:szCs w:val="28"/>
        </w:rPr>
        <w:t xml:space="preserve">often </w:t>
      </w:r>
      <w:r w:rsidRPr="00300588">
        <w:rPr>
          <w:sz w:val="28"/>
          <w:szCs w:val="28"/>
        </w:rPr>
        <w:t>requires time. AACJ’s only disagreement is with the mandatory nature of the proposed rule. The proposed additional language is:</w:t>
      </w:r>
    </w:p>
    <w:p w:rsidR="00F96D95" w:rsidRPr="00300588" w:rsidRDefault="00F96D95" w:rsidP="00F73039">
      <w:pPr>
        <w:spacing w:after="0" w:line="240" w:lineRule="auto"/>
        <w:ind w:left="720" w:right="720"/>
        <w:jc w:val="both"/>
        <w:rPr>
          <w:sz w:val="28"/>
          <w:szCs w:val="28"/>
        </w:rPr>
      </w:pPr>
      <w:r w:rsidRPr="00300588">
        <w:rPr>
          <w:sz w:val="28"/>
          <w:szCs w:val="28"/>
        </w:rPr>
        <w:t xml:space="preserve">If a finding by the court that the defendant is competent or has been </w:t>
      </w:r>
      <w:r w:rsidR="009639B1" w:rsidRPr="00300588">
        <w:rPr>
          <w:sz w:val="28"/>
          <w:szCs w:val="28"/>
        </w:rPr>
        <w:t>restored to competency or is no</w:t>
      </w:r>
      <w:r w:rsidRPr="00300588">
        <w:rPr>
          <w:sz w:val="28"/>
          <w:szCs w:val="28"/>
        </w:rPr>
        <w:t xml:space="preserve"> longer absent occurs within 30 days of the time limits set forth in Rules 8.2 and 8.3, an additional period of 30 days </w:t>
      </w:r>
      <w:r w:rsidRPr="00300588">
        <w:rPr>
          <w:sz w:val="28"/>
          <w:szCs w:val="28"/>
          <w:u w:val="single"/>
        </w:rPr>
        <w:t>is</w:t>
      </w:r>
      <w:r w:rsidRPr="00300588">
        <w:rPr>
          <w:sz w:val="28"/>
          <w:szCs w:val="28"/>
        </w:rPr>
        <w:t xml:space="preserve"> excluded from the computation of the time limits.</w:t>
      </w:r>
    </w:p>
    <w:p w:rsidR="009639B1" w:rsidRPr="00300588" w:rsidRDefault="009639B1" w:rsidP="00F73039">
      <w:pPr>
        <w:spacing w:after="0" w:line="240" w:lineRule="auto"/>
        <w:ind w:left="720" w:right="720"/>
        <w:jc w:val="both"/>
        <w:rPr>
          <w:sz w:val="28"/>
          <w:szCs w:val="28"/>
        </w:rPr>
      </w:pPr>
    </w:p>
    <w:p w:rsidR="00F96D95" w:rsidRPr="00300588" w:rsidRDefault="00F96D95" w:rsidP="00F73039">
      <w:pPr>
        <w:spacing w:after="0" w:line="480" w:lineRule="auto"/>
        <w:jc w:val="both"/>
        <w:rPr>
          <w:sz w:val="28"/>
          <w:szCs w:val="28"/>
        </w:rPr>
      </w:pPr>
      <w:r w:rsidRPr="00300588">
        <w:rPr>
          <w:sz w:val="28"/>
          <w:szCs w:val="28"/>
        </w:rPr>
        <w:t xml:space="preserve">Pet. Amend. R. 8.4, </w:t>
      </w:r>
      <w:proofErr w:type="spellStart"/>
      <w:r w:rsidRPr="00300588">
        <w:rPr>
          <w:sz w:val="28"/>
          <w:szCs w:val="28"/>
        </w:rPr>
        <w:t>Exh</w:t>
      </w:r>
      <w:proofErr w:type="spellEnd"/>
      <w:r w:rsidRPr="00300588">
        <w:rPr>
          <w:sz w:val="28"/>
          <w:szCs w:val="28"/>
        </w:rPr>
        <w:t xml:space="preserve">. A (emphasis added). This language mandates the exclusion of </w:t>
      </w:r>
      <w:r w:rsidR="00300588" w:rsidRPr="00300588">
        <w:rPr>
          <w:sz w:val="28"/>
          <w:szCs w:val="28"/>
        </w:rPr>
        <w:t>thirty</w:t>
      </w:r>
      <w:r w:rsidRPr="00300588">
        <w:rPr>
          <w:sz w:val="28"/>
          <w:szCs w:val="28"/>
        </w:rPr>
        <w:t xml:space="preserve"> days regardless of whether the circumstances necessitate such an extension.</w:t>
      </w:r>
    </w:p>
    <w:p w:rsidR="00F96D95" w:rsidRPr="00300588" w:rsidRDefault="00F96D95" w:rsidP="00F73039">
      <w:pPr>
        <w:spacing w:after="0" w:line="480" w:lineRule="auto"/>
        <w:jc w:val="both"/>
        <w:rPr>
          <w:sz w:val="28"/>
          <w:szCs w:val="28"/>
        </w:rPr>
      </w:pPr>
      <w:r w:rsidRPr="00300588">
        <w:rPr>
          <w:sz w:val="28"/>
          <w:szCs w:val="28"/>
        </w:rPr>
        <w:tab/>
      </w:r>
      <w:r w:rsidR="00F73039" w:rsidRPr="00300588">
        <w:rPr>
          <w:sz w:val="28"/>
          <w:szCs w:val="28"/>
        </w:rPr>
        <w:t xml:space="preserve">The goal of the Rules of Criminal Procedure is to govern all criminal cases, not just the worst-case scenarios. </w:t>
      </w:r>
      <w:r w:rsidRPr="00300588">
        <w:rPr>
          <w:sz w:val="28"/>
          <w:szCs w:val="28"/>
        </w:rPr>
        <w:t xml:space="preserve">Just as there are circumstances which may call for a </w:t>
      </w:r>
      <w:r w:rsidR="00300588" w:rsidRPr="00300588">
        <w:rPr>
          <w:sz w:val="28"/>
          <w:szCs w:val="28"/>
        </w:rPr>
        <w:t>thirty-</w:t>
      </w:r>
      <w:r w:rsidRPr="00300588">
        <w:rPr>
          <w:sz w:val="28"/>
          <w:szCs w:val="28"/>
        </w:rPr>
        <w:t>day extension, there are circumstances which may</w:t>
      </w:r>
      <w:r w:rsidR="00F73039" w:rsidRPr="00300588">
        <w:rPr>
          <w:sz w:val="28"/>
          <w:szCs w:val="28"/>
        </w:rPr>
        <w:t xml:space="preserve"> call for a lesser extension. Some circumstances may</w:t>
      </w:r>
      <w:r w:rsidRPr="00300588">
        <w:rPr>
          <w:sz w:val="28"/>
          <w:szCs w:val="28"/>
        </w:rPr>
        <w:t xml:space="preserve"> not</w:t>
      </w:r>
      <w:r w:rsidR="00F73039" w:rsidRPr="00300588">
        <w:rPr>
          <w:sz w:val="28"/>
          <w:szCs w:val="28"/>
        </w:rPr>
        <w:t xml:space="preserve"> require any extension</w:t>
      </w:r>
      <w:r w:rsidRPr="00300588">
        <w:rPr>
          <w:sz w:val="28"/>
          <w:szCs w:val="28"/>
        </w:rPr>
        <w:t xml:space="preserve">. A </w:t>
      </w:r>
      <w:r w:rsidR="00F73039" w:rsidRPr="00300588">
        <w:rPr>
          <w:sz w:val="28"/>
          <w:szCs w:val="28"/>
        </w:rPr>
        <w:t xml:space="preserve">complex </w:t>
      </w:r>
      <w:r w:rsidRPr="00300588">
        <w:rPr>
          <w:sz w:val="28"/>
          <w:szCs w:val="28"/>
        </w:rPr>
        <w:t>case 1 day from the prescribed last day would be in a dra</w:t>
      </w:r>
      <w:r w:rsidR="00F73039" w:rsidRPr="00300588">
        <w:rPr>
          <w:sz w:val="28"/>
          <w:szCs w:val="28"/>
        </w:rPr>
        <w:t>stically different position than</w:t>
      </w:r>
      <w:r w:rsidRPr="00300588">
        <w:rPr>
          <w:sz w:val="28"/>
          <w:szCs w:val="28"/>
        </w:rPr>
        <w:t xml:space="preserve"> a</w:t>
      </w:r>
      <w:r w:rsidR="00F73039" w:rsidRPr="00300588">
        <w:rPr>
          <w:sz w:val="28"/>
          <w:szCs w:val="28"/>
        </w:rPr>
        <w:t xml:space="preserve"> simple</w:t>
      </w:r>
      <w:r w:rsidRPr="00300588">
        <w:rPr>
          <w:sz w:val="28"/>
          <w:szCs w:val="28"/>
        </w:rPr>
        <w:t xml:space="preserve"> case </w:t>
      </w:r>
      <w:r w:rsidR="00300588" w:rsidRPr="00300588">
        <w:rPr>
          <w:sz w:val="28"/>
          <w:szCs w:val="28"/>
        </w:rPr>
        <w:t>twenty-nine</w:t>
      </w:r>
      <w:r w:rsidRPr="00300588">
        <w:rPr>
          <w:sz w:val="28"/>
          <w:szCs w:val="28"/>
        </w:rPr>
        <w:t xml:space="preserve"> days </w:t>
      </w:r>
      <w:r w:rsidR="00F73039" w:rsidRPr="00300588">
        <w:rPr>
          <w:sz w:val="28"/>
          <w:szCs w:val="28"/>
        </w:rPr>
        <w:t>out</w:t>
      </w:r>
      <w:r w:rsidRPr="00300588">
        <w:rPr>
          <w:sz w:val="28"/>
          <w:szCs w:val="28"/>
        </w:rPr>
        <w:t xml:space="preserve">. </w:t>
      </w:r>
    </w:p>
    <w:p w:rsidR="00F96D95" w:rsidRPr="00300588" w:rsidRDefault="009639B1" w:rsidP="00F73039">
      <w:pPr>
        <w:spacing w:after="0" w:line="480" w:lineRule="auto"/>
        <w:jc w:val="both"/>
        <w:rPr>
          <w:sz w:val="28"/>
          <w:szCs w:val="28"/>
        </w:rPr>
      </w:pPr>
      <w:r w:rsidRPr="00300588">
        <w:rPr>
          <w:sz w:val="28"/>
          <w:szCs w:val="28"/>
        </w:rPr>
        <w:tab/>
        <w:t xml:space="preserve">Thus, there is no reason to mandate a </w:t>
      </w:r>
      <w:r w:rsidR="00300588" w:rsidRPr="00300588">
        <w:rPr>
          <w:sz w:val="28"/>
          <w:szCs w:val="28"/>
        </w:rPr>
        <w:t>thirty-</w:t>
      </w:r>
      <w:r w:rsidRPr="00300588">
        <w:rPr>
          <w:sz w:val="28"/>
          <w:szCs w:val="28"/>
        </w:rPr>
        <w:t>day extension. Rather, discretion should be left with the trial court to determine the proper extension.</w:t>
      </w:r>
    </w:p>
    <w:p w:rsidR="00F96D95" w:rsidRPr="00300588" w:rsidRDefault="00F96D95" w:rsidP="00F73039">
      <w:pPr>
        <w:spacing w:after="0" w:line="480" w:lineRule="auto"/>
        <w:jc w:val="both"/>
        <w:rPr>
          <w:sz w:val="28"/>
          <w:szCs w:val="28"/>
        </w:rPr>
      </w:pPr>
      <w:r w:rsidRPr="00300588">
        <w:rPr>
          <w:sz w:val="28"/>
          <w:szCs w:val="28"/>
        </w:rPr>
        <w:lastRenderedPageBreak/>
        <w:tab/>
        <w:t>Accordingly, AACJ suggests the Proposed Amendment be accepted with one minor change:</w:t>
      </w:r>
    </w:p>
    <w:p w:rsidR="00F96D95" w:rsidRPr="00300588" w:rsidRDefault="00F96D95" w:rsidP="00F73039">
      <w:pPr>
        <w:spacing w:after="0" w:line="240" w:lineRule="auto"/>
        <w:ind w:left="720" w:right="720"/>
        <w:jc w:val="both"/>
        <w:rPr>
          <w:sz w:val="28"/>
          <w:szCs w:val="28"/>
        </w:rPr>
      </w:pPr>
      <w:r w:rsidRPr="00300588">
        <w:rPr>
          <w:sz w:val="28"/>
          <w:szCs w:val="28"/>
        </w:rPr>
        <w:t>If a finding by the court that the defendant is competent or has been restored to competency or is no longer absent occurs within 30 days of the time limits set forth in Rules 8.2 and 8.3,</w:t>
      </w:r>
      <w:r w:rsidR="00F73039" w:rsidRPr="00300588">
        <w:rPr>
          <w:sz w:val="28"/>
          <w:szCs w:val="28"/>
        </w:rPr>
        <w:t xml:space="preserve"> </w:t>
      </w:r>
      <w:r w:rsidR="00F73039" w:rsidRPr="00300588">
        <w:rPr>
          <w:sz w:val="28"/>
          <w:szCs w:val="28"/>
          <w:u w:val="single"/>
        </w:rPr>
        <w:t>the court may exclude up to 30 additional days</w:t>
      </w:r>
      <w:r w:rsidRPr="00300588">
        <w:rPr>
          <w:sz w:val="28"/>
          <w:szCs w:val="28"/>
        </w:rPr>
        <w:t xml:space="preserve"> </w:t>
      </w:r>
      <w:r w:rsidRPr="00300588">
        <w:rPr>
          <w:strike/>
          <w:sz w:val="28"/>
          <w:szCs w:val="28"/>
        </w:rPr>
        <w:t>an additional period of 30 days is excluded</w:t>
      </w:r>
      <w:r w:rsidRPr="00300588">
        <w:rPr>
          <w:sz w:val="28"/>
          <w:szCs w:val="28"/>
        </w:rPr>
        <w:t xml:space="preserve"> from the computation of the time limits.</w:t>
      </w:r>
      <w:r w:rsidR="00F343C8" w:rsidRPr="00300588">
        <w:rPr>
          <w:rStyle w:val="FootnoteReference"/>
          <w:sz w:val="28"/>
          <w:szCs w:val="28"/>
        </w:rPr>
        <w:footnoteReference w:id="1"/>
      </w:r>
    </w:p>
    <w:p w:rsidR="009639B1" w:rsidRPr="00300588" w:rsidRDefault="009639B1" w:rsidP="00F73039">
      <w:pPr>
        <w:spacing w:after="0" w:line="240" w:lineRule="auto"/>
        <w:ind w:left="720" w:right="720"/>
        <w:jc w:val="both"/>
        <w:rPr>
          <w:sz w:val="28"/>
          <w:szCs w:val="28"/>
        </w:rPr>
      </w:pPr>
    </w:p>
    <w:p w:rsidR="00F96D95" w:rsidRPr="00300588" w:rsidRDefault="00F73039" w:rsidP="00F73039">
      <w:pPr>
        <w:spacing w:after="0" w:line="480" w:lineRule="auto"/>
        <w:jc w:val="both"/>
        <w:rPr>
          <w:sz w:val="28"/>
          <w:szCs w:val="28"/>
        </w:rPr>
      </w:pPr>
      <w:r w:rsidRPr="00300588">
        <w:rPr>
          <w:sz w:val="28"/>
          <w:szCs w:val="28"/>
        </w:rPr>
        <w:t>This</w:t>
      </w:r>
      <w:r w:rsidR="00F96D95" w:rsidRPr="00300588">
        <w:rPr>
          <w:sz w:val="28"/>
          <w:szCs w:val="28"/>
        </w:rPr>
        <w:t xml:space="preserve"> change merely makes the exclusion of </w:t>
      </w:r>
      <w:r w:rsidRPr="00300588">
        <w:rPr>
          <w:sz w:val="28"/>
          <w:szCs w:val="28"/>
        </w:rPr>
        <w:t xml:space="preserve">up to </w:t>
      </w:r>
      <w:r w:rsidR="00300588" w:rsidRPr="00300588">
        <w:rPr>
          <w:sz w:val="28"/>
          <w:szCs w:val="28"/>
        </w:rPr>
        <w:t>thirty</w:t>
      </w:r>
      <w:r w:rsidRPr="00300588">
        <w:rPr>
          <w:sz w:val="28"/>
          <w:szCs w:val="28"/>
        </w:rPr>
        <w:t xml:space="preserve"> days</w:t>
      </w:r>
      <w:r w:rsidR="00F96D95" w:rsidRPr="00300588">
        <w:rPr>
          <w:sz w:val="28"/>
          <w:szCs w:val="28"/>
        </w:rPr>
        <w:t xml:space="preserve"> permissive. If the trial court feels that </w:t>
      </w:r>
      <w:r w:rsidR="00375BBA" w:rsidRPr="00300588">
        <w:rPr>
          <w:sz w:val="28"/>
          <w:szCs w:val="28"/>
        </w:rPr>
        <w:t xml:space="preserve">the full </w:t>
      </w:r>
      <w:r w:rsidR="00300588" w:rsidRPr="00300588">
        <w:rPr>
          <w:sz w:val="28"/>
          <w:szCs w:val="28"/>
        </w:rPr>
        <w:t>thirty</w:t>
      </w:r>
      <w:r w:rsidR="00375BBA" w:rsidRPr="00300588">
        <w:rPr>
          <w:sz w:val="28"/>
          <w:szCs w:val="28"/>
        </w:rPr>
        <w:t xml:space="preserve"> days is necessary, the trial court can exclude </w:t>
      </w:r>
      <w:r w:rsidR="00300588" w:rsidRPr="00300588">
        <w:rPr>
          <w:sz w:val="28"/>
          <w:szCs w:val="28"/>
        </w:rPr>
        <w:t>thirty</w:t>
      </w:r>
      <w:r w:rsidR="00375BBA" w:rsidRPr="00300588">
        <w:rPr>
          <w:sz w:val="28"/>
          <w:szCs w:val="28"/>
        </w:rPr>
        <w:t xml:space="preserve"> days. If the trial court feels that some period less than </w:t>
      </w:r>
      <w:r w:rsidR="00300588" w:rsidRPr="00300588">
        <w:rPr>
          <w:sz w:val="28"/>
          <w:szCs w:val="28"/>
        </w:rPr>
        <w:t>thirty</w:t>
      </w:r>
      <w:r w:rsidR="00375BBA" w:rsidRPr="00300588">
        <w:rPr>
          <w:sz w:val="28"/>
          <w:szCs w:val="28"/>
        </w:rPr>
        <w:t xml:space="preserve"> days is necessary, the trial court can exclude a period it deems fit.</w:t>
      </w:r>
      <w:r w:rsidRPr="00300588">
        <w:rPr>
          <w:sz w:val="28"/>
          <w:szCs w:val="28"/>
        </w:rPr>
        <w:t xml:space="preserve"> And if the trial court feels that no time need be excluded, the trial court can elect not to exclude time.</w:t>
      </w:r>
    </w:p>
    <w:p w:rsidR="00375BBA" w:rsidRPr="00300588" w:rsidRDefault="00375BBA" w:rsidP="00F73039">
      <w:pPr>
        <w:spacing w:after="0" w:line="480" w:lineRule="auto"/>
        <w:jc w:val="both"/>
        <w:rPr>
          <w:sz w:val="28"/>
          <w:szCs w:val="28"/>
        </w:rPr>
      </w:pPr>
      <w:r w:rsidRPr="00300588">
        <w:rPr>
          <w:sz w:val="28"/>
          <w:szCs w:val="28"/>
        </w:rPr>
        <w:tab/>
        <w:t>This change actually brings the proposal closer in line with the authority the proposal relies upon. The proposal relies upon</w:t>
      </w:r>
      <w:r w:rsidR="00305993" w:rsidRPr="00300588">
        <w:rPr>
          <w:sz w:val="28"/>
          <w:szCs w:val="28"/>
        </w:rPr>
        <w:t xml:space="preserve"> the Kansas Rules of Criminal Procedure,</w:t>
      </w:r>
      <w:r w:rsidRPr="00300588">
        <w:rPr>
          <w:sz w:val="28"/>
          <w:szCs w:val="28"/>
        </w:rPr>
        <w:t xml:space="preserve"> K.S.A. 22-3402(e</w:t>
      </w:r>
      <w:proofErr w:type="gramStart"/>
      <w:r w:rsidRPr="00300588">
        <w:rPr>
          <w:sz w:val="28"/>
          <w:szCs w:val="28"/>
        </w:rPr>
        <w:t>)(</w:t>
      </w:r>
      <w:proofErr w:type="gramEnd"/>
      <w:r w:rsidRPr="00300588">
        <w:rPr>
          <w:sz w:val="28"/>
          <w:szCs w:val="28"/>
        </w:rPr>
        <w:t>2).</w:t>
      </w:r>
      <w:r w:rsidRPr="00300588">
        <w:rPr>
          <w:rStyle w:val="FootnoteReference"/>
          <w:sz w:val="28"/>
          <w:szCs w:val="28"/>
        </w:rPr>
        <w:footnoteReference w:id="2"/>
      </w:r>
      <w:r w:rsidR="00310C49" w:rsidRPr="00300588">
        <w:rPr>
          <w:sz w:val="28"/>
          <w:szCs w:val="28"/>
        </w:rPr>
        <w:t xml:space="preserve"> This section provides:</w:t>
      </w:r>
    </w:p>
    <w:p w:rsidR="00310C49" w:rsidRPr="00300588" w:rsidRDefault="00310C49" w:rsidP="00F73039">
      <w:pPr>
        <w:spacing w:after="0" w:line="240" w:lineRule="auto"/>
        <w:ind w:left="720" w:right="720"/>
        <w:jc w:val="both"/>
        <w:rPr>
          <w:sz w:val="28"/>
          <w:szCs w:val="28"/>
        </w:rPr>
      </w:pPr>
      <w:r w:rsidRPr="00300588">
        <w:rPr>
          <w:sz w:val="28"/>
          <w:szCs w:val="28"/>
        </w:rPr>
        <w:t xml:space="preserve">If the defendant is subsequently found to be competent to stand trial, </w:t>
      </w:r>
      <w:r w:rsidRPr="00300588">
        <w:rPr>
          <w:sz w:val="28"/>
          <w:szCs w:val="28"/>
          <w:u w:val="single"/>
        </w:rPr>
        <w:t>the trial shall be scheduled as soon as practicable</w:t>
      </w:r>
      <w:r w:rsidRPr="00300588">
        <w:rPr>
          <w:sz w:val="28"/>
          <w:szCs w:val="28"/>
        </w:rPr>
        <w:t xml:space="preserve"> and in any event within 90 days of such finding.</w:t>
      </w:r>
    </w:p>
    <w:p w:rsidR="009639B1" w:rsidRPr="00300588" w:rsidRDefault="009639B1" w:rsidP="00F73039">
      <w:pPr>
        <w:spacing w:after="0" w:line="240" w:lineRule="auto"/>
        <w:ind w:left="720" w:right="720"/>
        <w:jc w:val="both"/>
        <w:rPr>
          <w:sz w:val="28"/>
          <w:szCs w:val="28"/>
        </w:rPr>
      </w:pPr>
    </w:p>
    <w:p w:rsidR="00310C49" w:rsidRPr="00300588" w:rsidRDefault="00310C49" w:rsidP="00F73039">
      <w:pPr>
        <w:spacing w:after="0" w:line="480" w:lineRule="auto"/>
        <w:jc w:val="both"/>
        <w:rPr>
          <w:sz w:val="28"/>
          <w:szCs w:val="28"/>
        </w:rPr>
      </w:pPr>
      <w:r w:rsidRPr="00300588">
        <w:rPr>
          <w:sz w:val="28"/>
          <w:szCs w:val="28"/>
        </w:rPr>
        <w:t xml:space="preserve">This section allows the trial court to exercise discretion in choosing the proper trial date. </w:t>
      </w:r>
      <w:r w:rsidR="00305993" w:rsidRPr="00300588">
        <w:rPr>
          <w:sz w:val="28"/>
          <w:szCs w:val="28"/>
        </w:rPr>
        <w:t xml:space="preserve">The trial court is required to schedule the trial “as soon as practicable” but may extend </w:t>
      </w:r>
      <w:r w:rsidR="00300588" w:rsidRPr="00300588">
        <w:rPr>
          <w:sz w:val="28"/>
          <w:szCs w:val="28"/>
        </w:rPr>
        <w:t>the trial date for as long as ninety</w:t>
      </w:r>
      <w:r w:rsidR="00305993" w:rsidRPr="00300588">
        <w:rPr>
          <w:sz w:val="28"/>
          <w:szCs w:val="28"/>
        </w:rPr>
        <w:t xml:space="preserve"> days. It does not mandate the </w:t>
      </w:r>
      <w:r w:rsidR="00305993" w:rsidRPr="00300588">
        <w:rPr>
          <w:sz w:val="28"/>
          <w:szCs w:val="28"/>
        </w:rPr>
        <w:lastRenderedPageBreak/>
        <w:t>exclusion of time. It does not mandate the exclusion of a certain period of time. The rule allows the trial court to determine if an extension is necessary and, if necessary, the proper duration.</w:t>
      </w:r>
    </w:p>
    <w:p w:rsidR="009639B1" w:rsidRPr="00300588" w:rsidRDefault="009639B1" w:rsidP="00F73039">
      <w:pPr>
        <w:spacing w:after="0" w:line="480" w:lineRule="auto"/>
        <w:jc w:val="both"/>
        <w:rPr>
          <w:sz w:val="28"/>
          <w:szCs w:val="28"/>
        </w:rPr>
      </w:pPr>
      <w:r w:rsidRPr="00300588">
        <w:rPr>
          <w:sz w:val="28"/>
          <w:szCs w:val="28"/>
        </w:rPr>
        <w:tab/>
        <w:t xml:space="preserve">AACJ’s proposed modification also ensures that the amendment is in line with Rule 8.5. When delay is based upon a motion to continue, “[a] continuance may be granted only for so long as is necessary to serve the interests of justice.” </w:t>
      </w:r>
      <w:proofErr w:type="spellStart"/>
      <w:proofErr w:type="gramStart"/>
      <w:r w:rsidRPr="00300588">
        <w:rPr>
          <w:sz w:val="28"/>
          <w:szCs w:val="28"/>
        </w:rPr>
        <w:t>Ariz.R.Crim.P</w:t>
      </w:r>
      <w:proofErr w:type="spellEnd"/>
      <w:r w:rsidRPr="00300588">
        <w:rPr>
          <w:sz w:val="28"/>
          <w:szCs w:val="28"/>
        </w:rPr>
        <w:t>. 8.5(b).</w:t>
      </w:r>
      <w:proofErr w:type="gramEnd"/>
      <w:r w:rsidR="00305993" w:rsidRPr="00300588">
        <w:rPr>
          <w:sz w:val="28"/>
          <w:szCs w:val="28"/>
        </w:rPr>
        <w:t xml:space="preserve"> The permissive phrasing allows the trial court to determine what justice requires.</w:t>
      </w:r>
      <w:r w:rsidRPr="00300588">
        <w:rPr>
          <w:sz w:val="28"/>
          <w:szCs w:val="28"/>
        </w:rPr>
        <w:t xml:space="preserve"> Justice would not likely b</w:t>
      </w:r>
      <w:r w:rsidR="00300588" w:rsidRPr="00300588">
        <w:rPr>
          <w:sz w:val="28"/>
          <w:szCs w:val="28"/>
        </w:rPr>
        <w:t>e served by mandating a full thirty-</w:t>
      </w:r>
      <w:r w:rsidRPr="00300588">
        <w:rPr>
          <w:sz w:val="28"/>
          <w:szCs w:val="28"/>
        </w:rPr>
        <w:t>day extension on a straightforward case with a limited number of witnesses that is still two weeks from the</w:t>
      </w:r>
      <w:r w:rsidR="00305993" w:rsidRPr="00300588">
        <w:rPr>
          <w:sz w:val="28"/>
          <w:szCs w:val="28"/>
        </w:rPr>
        <w:t xml:space="preserve"> last day. A</w:t>
      </w:r>
      <w:r w:rsidRPr="00300588">
        <w:rPr>
          <w:sz w:val="28"/>
          <w:szCs w:val="28"/>
        </w:rPr>
        <w:t>n extension may not even be necessary if the case is four weeks from the last day.</w:t>
      </w:r>
    </w:p>
    <w:p w:rsidR="00F73039" w:rsidRPr="00300588" w:rsidRDefault="00F73039" w:rsidP="00F73039">
      <w:pPr>
        <w:spacing w:after="0" w:line="480" w:lineRule="auto"/>
        <w:jc w:val="both"/>
        <w:rPr>
          <w:sz w:val="28"/>
          <w:szCs w:val="28"/>
        </w:rPr>
      </w:pPr>
      <w:r w:rsidRPr="00300588">
        <w:rPr>
          <w:sz w:val="28"/>
          <w:szCs w:val="28"/>
        </w:rPr>
        <w:tab/>
        <w:t xml:space="preserve">By changing the exclusion from mandatory to permissive, the concerns </w:t>
      </w:r>
      <w:r w:rsidR="00305993" w:rsidRPr="00300588">
        <w:rPr>
          <w:sz w:val="28"/>
          <w:szCs w:val="28"/>
        </w:rPr>
        <w:t>raised</w:t>
      </w:r>
      <w:r w:rsidRPr="00300588">
        <w:rPr>
          <w:sz w:val="28"/>
          <w:szCs w:val="28"/>
        </w:rPr>
        <w:t xml:space="preserve"> in the Petition are addr</w:t>
      </w:r>
      <w:r w:rsidR="00300588" w:rsidRPr="00300588">
        <w:rPr>
          <w:sz w:val="28"/>
          <w:szCs w:val="28"/>
        </w:rPr>
        <w:t>essed. Where a case is within thirty</w:t>
      </w:r>
      <w:r w:rsidRPr="00300588">
        <w:rPr>
          <w:sz w:val="28"/>
          <w:szCs w:val="28"/>
        </w:rPr>
        <w:t xml:space="preserve"> days of the last day and an extension is necessary, the trial court would have the discretion to exclude time. But a permissive rule would also allow the trial court to exercise its discretion to determine whether the circumstances of an individual case require a</w:t>
      </w:r>
      <w:r w:rsidR="00305993" w:rsidRPr="00300588">
        <w:rPr>
          <w:sz w:val="28"/>
          <w:szCs w:val="28"/>
        </w:rPr>
        <w:t>n extension and the term of that extension</w:t>
      </w:r>
      <w:r w:rsidRPr="00300588">
        <w:rPr>
          <w:sz w:val="28"/>
          <w:szCs w:val="28"/>
        </w:rPr>
        <w:t>.</w:t>
      </w:r>
    </w:p>
    <w:p w:rsidR="00305993" w:rsidRPr="00300588" w:rsidRDefault="00305993" w:rsidP="00F73039">
      <w:pPr>
        <w:spacing w:after="0" w:line="480" w:lineRule="auto"/>
        <w:jc w:val="both"/>
        <w:rPr>
          <w:sz w:val="28"/>
          <w:szCs w:val="28"/>
        </w:rPr>
      </w:pPr>
      <w:r w:rsidRPr="00300588">
        <w:rPr>
          <w:sz w:val="28"/>
          <w:szCs w:val="28"/>
        </w:rPr>
        <w:tab/>
        <w:t>Accordingly, AACJ asks that Rule 8.4(a) be modified as follows:</w:t>
      </w:r>
    </w:p>
    <w:p w:rsidR="00305993" w:rsidRPr="00300588" w:rsidRDefault="00305993" w:rsidP="00D94FEE">
      <w:pPr>
        <w:spacing w:after="0" w:line="240" w:lineRule="auto"/>
        <w:ind w:left="720" w:right="720"/>
        <w:jc w:val="both"/>
        <w:rPr>
          <w:sz w:val="28"/>
          <w:szCs w:val="28"/>
          <w:u w:val="single"/>
        </w:rPr>
      </w:pPr>
      <w:r w:rsidRPr="00300588">
        <w:rPr>
          <w:sz w:val="28"/>
          <w:szCs w:val="28"/>
        </w:rPr>
        <w:t xml:space="preserve">a. Delays occasioned by or on behalf of the defendant, including, but not limited to, delays caused by an examination and hearing to determine the competency or intellectual disability, the defendant’s absence or incompetence, or his or her inability to be arrested or taken </w:t>
      </w:r>
      <w:r w:rsidRPr="00300588">
        <w:rPr>
          <w:sz w:val="28"/>
          <w:szCs w:val="28"/>
        </w:rPr>
        <w:lastRenderedPageBreak/>
        <w:t xml:space="preserve">into custody in Arizona. </w:t>
      </w:r>
      <w:r w:rsidRPr="00300588">
        <w:rPr>
          <w:sz w:val="28"/>
          <w:szCs w:val="28"/>
          <w:u w:val="single"/>
        </w:rPr>
        <w:t xml:space="preserve">If a finding by the court that the defendant is competent or has been restored to competency or is no longer absent occurs within 30 days of the time limits set forth in Rules 8.2 and 8.3, </w:t>
      </w:r>
      <w:r w:rsidRPr="00300588">
        <w:rPr>
          <w:sz w:val="28"/>
          <w:szCs w:val="28"/>
          <w:u w:val="double"/>
        </w:rPr>
        <w:t>the court may exclude up to 30 additional days</w:t>
      </w:r>
      <w:r w:rsidRPr="00300588">
        <w:rPr>
          <w:sz w:val="28"/>
          <w:szCs w:val="28"/>
          <w:u w:val="single"/>
        </w:rPr>
        <w:t xml:space="preserve"> from the computation of the time limits.</w:t>
      </w:r>
      <w:r w:rsidRPr="00300588">
        <w:rPr>
          <w:rStyle w:val="FootnoteReference"/>
          <w:sz w:val="28"/>
          <w:szCs w:val="28"/>
          <w:u w:val="single"/>
        </w:rPr>
        <w:footnoteReference w:id="3"/>
      </w:r>
    </w:p>
    <w:p w:rsidR="009639B1" w:rsidRPr="00300588" w:rsidRDefault="009639B1" w:rsidP="00F73039">
      <w:pPr>
        <w:spacing w:after="0" w:line="240" w:lineRule="auto"/>
        <w:jc w:val="both"/>
        <w:rPr>
          <w:sz w:val="28"/>
          <w:szCs w:val="28"/>
        </w:rPr>
      </w:pPr>
      <w:r w:rsidRPr="00300588">
        <w:rPr>
          <w:sz w:val="28"/>
          <w:szCs w:val="28"/>
        </w:rPr>
        <w:tab/>
        <w:t xml:space="preserve"> </w:t>
      </w:r>
    </w:p>
    <w:sectPr w:rsidR="009639B1" w:rsidRPr="003005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BA" w:rsidRDefault="00375BBA" w:rsidP="00375BBA">
      <w:pPr>
        <w:spacing w:after="0" w:line="240" w:lineRule="auto"/>
      </w:pPr>
      <w:r>
        <w:separator/>
      </w:r>
    </w:p>
  </w:endnote>
  <w:endnote w:type="continuationSeparator" w:id="0">
    <w:p w:rsidR="00375BBA" w:rsidRDefault="00375BBA" w:rsidP="0037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818184374"/>
      <w:docPartObj>
        <w:docPartGallery w:val="Page Numbers (Bottom of Page)"/>
        <w:docPartUnique/>
      </w:docPartObj>
    </w:sdtPr>
    <w:sdtEndPr>
      <w:rPr>
        <w:noProof/>
        <w:sz w:val="20"/>
        <w:szCs w:val="20"/>
      </w:rPr>
    </w:sdtEndPr>
    <w:sdtContent>
      <w:p w:rsidR="00F343C8" w:rsidRDefault="00F343C8">
        <w:pPr>
          <w:pStyle w:val="Footer"/>
          <w:jc w:val="center"/>
        </w:pPr>
        <w:r w:rsidRPr="00F343C8">
          <w:rPr>
            <w:sz w:val="28"/>
            <w:szCs w:val="28"/>
          </w:rPr>
          <w:fldChar w:fldCharType="begin"/>
        </w:r>
        <w:r w:rsidRPr="00F343C8">
          <w:rPr>
            <w:sz w:val="28"/>
            <w:szCs w:val="28"/>
          </w:rPr>
          <w:instrText xml:space="preserve"> PAGE   \* MERGEFORMAT </w:instrText>
        </w:r>
        <w:r w:rsidRPr="00F343C8">
          <w:rPr>
            <w:sz w:val="28"/>
            <w:szCs w:val="28"/>
          </w:rPr>
          <w:fldChar w:fldCharType="separate"/>
        </w:r>
        <w:r w:rsidR="00300588">
          <w:rPr>
            <w:noProof/>
            <w:sz w:val="28"/>
            <w:szCs w:val="28"/>
          </w:rPr>
          <w:t>5</w:t>
        </w:r>
        <w:r w:rsidRPr="00F343C8">
          <w:rPr>
            <w:noProof/>
            <w:sz w:val="28"/>
            <w:szCs w:val="28"/>
          </w:rPr>
          <w:fldChar w:fldCharType="end"/>
        </w:r>
      </w:p>
    </w:sdtContent>
  </w:sdt>
  <w:p w:rsidR="00F343C8" w:rsidRDefault="00F34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BA" w:rsidRDefault="00375BBA" w:rsidP="00375BBA">
      <w:pPr>
        <w:spacing w:after="0" w:line="240" w:lineRule="auto"/>
      </w:pPr>
      <w:r>
        <w:separator/>
      </w:r>
    </w:p>
  </w:footnote>
  <w:footnote w:type="continuationSeparator" w:id="0">
    <w:p w:rsidR="00375BBA" w:rsidRDefault="00375BBA" w:rsidP="00375BBA">
      <w:pPr>
        <w:spacing w:after="0" w:line="240" w:lineRule="auto"/>
      </w:pPr>
      <w:r>
        <w:continuationSeparator/>
      </w:r>
    </w:p>
  </w:footnote>
  <w:footnote w:id="1">
    <w:p w:rsidR="00F343C8" w:rsidRPr="0054633B" w:rsidRDefault="00F343C8">
      <w:pPr>
        <w:pStyle w:val="FootnoteText"/>
        <w:rPr>
          <w:sz w:val="28"/>
          <w:szCs w:val="28"/>
        </w:rPr>
      </w:pPr>
      <w:r w:rsidRPr="0054633B">
        <w:rPr>
          <w:rStyle w:val="FootnoteReference"/>
          <w:sz w:val="28"/>
          <w:szCs w:val="28"/>
        </w:rPr>
        <w:footnoteRef/>
      </w:r>
      <w:r w:rsidRPr="0054633B">
        <w:rPr>
          <w:sz w:val="28"/>
          <w:szCs w:val="28"/>
        </w:rPr>
        <w:t xml:space="preserve"> AACJ’s </w:t>
      </w:r>
      <w:r w:rsidR="0054633B" w:rsidRPr="0054633B">
        <w:rPr>
          <w:sz w:val="28"/>
          <w:szCs w:val="28"/>
        </w:rPr>
        <w:t xml:space="preserve">offered inclusion in the proposed amendment is indicated by </w:t>
      </w:r>
      <w:r w:rsidR="0054633B" w:rsidRPr="0054633B">
        <w:rPr>
          <w:sz w:val="28"/>
          <w:szCs w:val="28"/>
          <w:u w:val="single"/>
        </w:rPr>
        <w:t>underline</w:t>
      </w:r>
      <w:r w:rsidR="0054633B" w:rsidRPr="0054633B">
        <w:rPr>
          <w:sz w:val="28"/>
          <w:szCs w:val="28"/>
        </w:rPr>
        <w:t xml:space="preserve">. AACJ’s offered deletion from the proposed amendment is indicated by </w:t>
      </w:r>
      <w:r w:rsidR="0054633B" w:rsidRPr="0054633B">
        <w:rPr>
          <w:strike/>
          <w:sz w:val="28"/>
          <w:szCs w:val="28"/>
        </w:rPr>
        <w:t>strikethrough</w:t>
      </w:r>
      <w:r w:rsidR="0054633B" w:rsidRPr="0054633B">
        <w:rPr>
          <w:sz w:val="28"/>
          <w:szCs w:val="28"/>
        </w:rPr>
        <w:t xml:space="preserve">. </w:t>
      </w:r>
    </w:p>
  </w:footnote>
  <w:footnote w:id="2">
    <w:p w:rsidR="00375BBA" w:rsidRPr="0054633B" w:rsidRDefault="00375BBA" w:rsidP="00F73039">
      <w:pPr>
        <w:pStyle w:val="FootnoteText"/>
        <w:rPr>
          <w:sz w:val="28"/>
          <w:szCs w:val="28"/>
        </w:rPr>
      </w:pPr>
      <w:r w:rsidRPr="0054633B">
        <w:rPr>
          <w:rStyle w:val="FootnoteReference"/>
          <w:sz w:val="28"/>
          <w:szCs w:val="28"/>
        </w:rPr>
        <w:footnoteRef/>
      </w:r>
      <w:r w:rsidRPr="0054633B">
        <w:rPr>
          <w:sz w:val="28"/>
          <w:szCs w:val="28"/>
        </w:rPr>
        <w:t xml:space="preserve"> The citation to K.S.A. 23-3402 appears to have been a typo.</w:t>
      </w:r>
    </w:p>
  </w:footnote>
  <w:footnote w:id="3">
    <w:p w:rsidR="00305993" w:rsidRPr="0054633B" w:rsidRDefault="00305993">
      <w:pPr>
        <w:pStyle w:val="FootnoteText"/>
        <w:rPr>
          <w:sz w:val="28"/>
          <w:szCs w:val="28"/>
          <w:u w:val="single"/>
        </w:rPr>
      </w:pPr>
      <w:r w:rsidRPr="0054633B">
        <w:rPr>
          <w:rStyle w:val="FootnoteReference"/>
          <w:sz w:val="28"/>
          <w:szCs w:val="28"/>
        </w:rPr>
        <w:footnoteRef/>
      </w:r>
      <w:r w:rsidRPr="0054633B">
        <w:rPr>
          <w:sz w:val="28"/>
          <w:szCs w:val="28"/>
        </w:rPr>
        <w:t xml:space="preserve"> Additions proposed in the Petition are indicated by </w:t>
      </w:r>
      <w:r w:rsidRPr="0054633B">
        <w:rPr>
          <w:sz w:val="28"/>
          <w:szCs w:val="28"/>
          <w:u w:val="single"/>
        </w:rPr>
        <w:t>single underline</w:t>
      </w:r>
      <w:r w:rsidRPr="0054633B">
        <w:rPr>
          <w:sz w:val="28"/>
          <w:szCs w:val="28"/>
        </w:rPr>
        <w:t xml:space="preserve">. Additions proposed </w:t>
      </w:r>
      <w:r w:rsidR="00D94FEE" w:rsidRPr="0054633B">
        <w:rPr>
          <w:sz w:val="28"/>
          <w:szCs w:val="28"/>
        </w:rPr>
        <w:t xml:space="preserve">herein are indicated by </w:t>
      </w:r>
      <w:r w:rsidR="00D94FEE" w:rsidRPr="0054633B">
        <w:rPr>
          <w:sz w:val="28"/>
          <w:szCs w:val="28"/>
          <w:u w:val="double"/>
        </w:rPr>
        <w:t>double underline</w:t>
      </w:r>
      <w:r w:rsidR="00D94FEE" w:rsidRPr="0054633B">
        <w:rPr>
          <w:sz w:val="28"/>
          <w:szCs w:val="28"/>
        </w:rPr>
        <w:t>. This proposal does not include the language “an additional period of 30 days is excluded” offered in the Petition which makes the exclusion of time mandatory.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221B3"/>
    <w:multiLevelType w:val="hybridMultilevel"/>
    <w:tmpl w:val="5476C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95"/>
    <w:rsid w:val="002D6349"/>
    <w:rsid w:val="00300588"/>
    <w:rsid w:val="00305993"/>
    <w:rsid w:val="00310C49"/>
    <w:rsid w:val="00375BBA"/>
    <w:rsid w:val="0043466C"/>
    <w:rsid w:val="00530DCE"/>
    <w:rsid w:val="0054633B"/>
    <w:rsid w:val="009639B1"/>
    <w:rsid w:val="00C90777"/>
    <w:rsid w:val="00CC4825"/>
    <w:rsid w:val="00D94FEE"/>
    <w:rsid w:val="00F343C8"/>
    <w:rsid w:val="00F73039"/>
    <w:rsid w:val="00F9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5BBA"/>
    <w:pPr>
      <w:spacing w:after="0" w:line="240" w:lineRule="auto"/>
    </w:pPr>
  </w:style>
  <w:style w:type="character" w:customStyle="1" w:styleId="FootnoteTextChar">
    <w:name w:val="Footnote Text Char"/>
    <w:basedOn w:val="DefaultParagraphFont"/>
    <w:link w:val="FootnoteText"/>
    <w:uiPriority w:val="99"/>
    <w:semiHidden/>
    <w:rsid w:val="00375BBA"/>
    <w:rPr>
      <w:sz w:val="20"/>
      <w:szCs w:val="20"/>
    </w:rPr>
  </w:style>
  <w:style w:type="character" w:styleId="FootnoteReference">
    <w:name w:val="footnote reference"/>
    <w:basedOn w:val="DefaultParagraphFont"/>
    <w:uiPriority w:val="99"/>
    <w:semiHidden/>
    <w:unhideWhenUsed/>
    <w:rsid w:val="00375BBA"/>
    <w:rPr>
      <w:vertAlign w:val="superscript"/>
    </w:rPr>
  </w:style>
  <w:style w:type="paragraph" w:styleId="ListParagraph">
    <w:name w:val="List Paragraph"/>
    <w:basedOn w:val="Normal"/>
    <w:uiPriority w:val="34"/>
    <w:qFormat/>
    <w:rsid w:val="002D6349"/>
    <w:pPr>
      <w:ind w:left="720"/>
      <w:contextualSpacing/>
    </w:pPr>
  </w:style>
  <w:style w:type="paragraph" w:customStyle="1" w:styleId="Normal1">
    <w:name w:val="Normal1"/>
    <w:rsid w:val="00F343C8"/>
    <w:pPr>
      <w:spacing w:after="0"/>
    </w:pPr>
    <w:rPr>
      <w:rFonts w:ascii="Arial" w:eastAsia="Arial" w:hAnsi="Arial" w:cs="Arial"/>
      <w:color w:val="000000"/>
      <w:sz w:val="22"/>
      <w:szCs w:val="20"/>
    </w:rPr>
  </w:style>
  <w:style w:type="paragraph" w:customStyle="1" w:styleId="AttorneyName">
    <w:name w:val="Attorney Name"/>
    <w:basedOn w:val="Normal"/>
    <w:rsid w:val="00F343C8"/>
    <w:pPr>
      <w:spacing w:after="0" w:line="227" w:lineRule="exact"/>
    </w:pPr>
    <w:rPr>
      <w:rFonts w:ascii="Courier New" w:hAnsi="Courier New"/>
      <w:sz w:val="18"/>
    </w:rPr>
  </w:style>
  <w:style w:type="paragraph" w:customStyle="1" w:styleId="SingleSpacing">
    <w:name w:val="Single Spacing"/>
    <w:basedOn w:val="Normal"/>
    <w:rsid w:val="00F343C8"/>
    <w:pPr>
      <w:spacing w:after="0" w:line="227" w:lineRule="exact"/>
    </w:pPr>
    <w:rPr>
      <w:rFonts w:ascii="Courier New" w:hAnsi="Courier New"/>
      <w:sz w:val="18"/>
    </w:rPr>
  </w:style>
  <w:style w:type="character" w:styleId="Hyperlink">
    <w:name w:val="Hyperlink"/>
    <w:basedOn w:val="DefaultParagraphFont"/>
    <w:rsid w:val="00F343C8"/>
    <w:rPr>
      <w:color w:val="0000FF"/>
      <w:u w:val="single"/>
    </w:rPr>
  </w:style>
  <w:style w:type="paragraph" w:styleId="Header">
    <w:name w:val="header"/>
    <w:basedOn w:val="Normal"/>
    <w:link w:val="HeaderChar"/>
    <w:uiPriority w:val="99"/>
    <w:unhideWhenUsed/>
    <w:rsid w:val="00F34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3C8"/>
    <w:rPr>
      <w:sz w:val="20"/>
      <w:szCs w:val="20"/>
    </w:rPr>
  </w:style>
  <w:style w:type="paragraph" w:styleId="Footer">
    <w:name w:val="footer"/>
    <w:basedOn w:val="Normal"/>
    <w:link w:val="FooterChar"/>
    <w:uiPriority w:val="99"/>
    <w:unhideWhenUsed/>
    <w:rsid w:val="00F34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3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5BBA"/>
    <w:pPr>
      <w:spacing w:after="0" w:line="240" w:lineRule="auto"/>
    </w:pPr>
  </w:style>
  <w:style w:type="character" w:customStyle="1" w:styleId="FootnoteTextChar">
    <w:name w:val="Footnote Text Char"/>
    <w:basedOn w:val="DefaultParagraphFont"/>
    <w:link w:val="FootnoteText"/>
    <w:uiPriority w:val="99"/>
    <w:semiHidden/>
    <w:rsid w:val="00375BBA"/>
    <w:rPr>
      <w:sz w:val="20"/>
      <w:szCs w:val="20"/>
    </w:rPr>
  </w:style>
  <w:style w:type="character" w:styleId="FootnoteReference">
    <w:name w:val="footnote reference"/>
    <w:basedOn w:val="DefaultParagraphFont"/>
    <w:uiPriority w:val="99"/>
    <w:semiHidden/>
    <w:unhideWhenUsed/>
    <w:rsid w:val="00375BBA"/>
    <w:rPr>
      <w:vertAlign w:val="superscript"/>
    </w:rPr>
  </w:style>
  <w:style w:type="paragraph" w:styleId="ListParagraph">
    <w:name w:val="List Paragraph"/>
    <w:basedOn w:val="Normal"/>
    <w:uiPriority w:val="34"/>
    <w:qFormat/>
    <w:rsid w:val="002D6349"/>
    <w:pPr>
      <w:ind w:left="720"/>
      <w:contextualSpacing/>
    </w:pPr>
  </w:style>
  <w:style w:type="paragraph" w:customStyle="1" w:styleId="Normal1">
    <w:name w:val="Normal1"/>
    <w:rsid w:val="00F343C8"/>
    <w:pPr>
      <w:spacing w:after="0"/>
    </w:pPr>
    <w:rPr>
      <w:rFonts w:ascii="Arial" w:eastAsia="Arial" w:hAnsi="Arial" w:cs="Arial"/>
      <w:color w:val="000000"/>
      <w:sz w:val="22"/>
      <w:szCs w:val="20"/>
    </w:rPr>
  </w:style>
  <w:style w:type="paragraph" w:customStyle="1" w:styleId="AttorneyName">
    <w:name w:val="Attorney Name"/>
    <w:basedOn w:val="Normal"/>
    <w:rsid w:val="00F343C8"/>
    <w:pPr>
      <w:spacing w:after="0" w:line="227" w:lineRule="exact"/>
    </w:pPr>
    <w:rPr>
      <w:rFonts w:ascii="Courier New" w:hAnsi="Courier New"/>
      <w:sz w:val="18"/>
    </w:rPr>
  </w:style>
  <w:style w:type="paragraph" w:customStyle="1" w:styleId="SingleSpacing">
    <w:name w:val="Single Spacing"/>
    <w:basedOn w:val="Normal"/>
    <w:rsid w:val="00F343C8"/>
    <w:pPr>
      <w:spacing w:after="0" w:line="227" w:lineRule="exact"/>
    </w:pPr>
    <w:rPr>
      <w:rFonts w:ascii="Courier New" w:hAnsi="Courier New"/>
      <w:sz w:val="18"/>
    </w:rPr>
  </w:style>
  <w:style w:type="character" w:styleId="Hyperlink">
    <w:name w:val="Hyperlink"/>
    <w:basedOn w:val="DefaultParagraphFont"/>
    <w:rsid w:val="00F343C8"/>
    <w:rPr>
      <w:color w:val="0000FF"/>
      <w:u w:val="single"/>
    </w:rPr>
  </w:style>
  <w:style w:type="paragraph" w:styleId="Header">
    <w:name w:val="header"/>
    <w:basedOn w:val="Normal"/>
    <w:link w:val="HeaderChar"/>
    <w:uiPriority w:val="99"/>
    <w:unhideWhenUsed/>
    <w:rsid w:val="00F34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3C8"/>
    <w:rPr>
      <w:sz w:val="20"/>
      <w:szCs w:val="20"/>
    </w:rPr>
  </w:style>
  <w:style w:type="paragraph" w:styleId="Footer">
    <w:name w:val="footer"/>
    <w:basedOn w:val="Normal"/>
    <w:link w:val="FooterChar"/>
    <w:uiPriority w:val="99"/>
    <w:unhideWhenUsed/>
    <w:rsid w:val="00F34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3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nfeldm@mail.marico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steinfeldm</dc:creator>
  <cp:lastModifiedBy>steinfeldm</cp:lastModifiedBy>
  <cp:revision>3</cp:revision>
  <dcterms:created xsi:type="dcterms:W3CDTF">2016-05-04T15:35:00Z</dcterms:created>
  <dcterms:modified xsi:type="dcterms:W3CDTF">2016-05-18T20:37:00Z</dcterms:modified>
</cp:coreProperties>
</file>