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B02AF3" w:rsidRDefault="00B02AF3" w:rsidP="00000C35">
            <w:pPr>
              <w:pStyle w:val="FirmInformation"/>
              <w:spacing w:line="240" w:lineRule="auto"/>
              <w:rPr>
                <w:sz w:val="28"/>
                <w:szCs w:val="28"/>
              </w:rPr>
            </w:pPr>
            <w:bookmarkStart w:id="0" w:name="_zzmpFIXED_CounselTable"/>
            <w:r>
              <w:rPr>
                <w:sz w:val="28"/>
                <w:szCs w:val="28"/>
              </w:rPr>
              <w:t>Elizabeth Ortiz</w:t>
            </w:r>
            <w:r w:rsidR="00732169">
              <w:rPr>
                <w:sz w:val="28"/>
                <w:szCs w:val="28"/>
              </w:rPr>
              <w:t xml:space="preserve">, </w:t>
            </w:r>
            <w:r>
              <w:rPr>
                <w:sz w:val="28"/>
                <w:szCs w:val="28"/>
              </w:rPr>
              <w:t>Bar No. 012838</w:t>
            </w:r>
          </w:p>
          <w:p w:rsidR="00000C35" w:rsidRDefault="00B02AF3" w:rsidP="00000C35">
            <w:pPr>
              <w:pStyle w:val="FirmInformation"/>
              <w:spacing w:line="240" w:lineRule="auto"/>
              <w:rPr>
                <w:sz w:val="28"/>
                <w:szCs w:val="28"/>
              </w:rPr>
            </w:pPr>
            <w:r>
              <w:rPr>
                <w:sz w:val="28"/>
                <w:szCs w:val="28"/>
              </w:rPr>
              <w:t>Executive Director</w:t>
            </w:r>
          </w:p>
          <w:p w:rsidR="00494BDF" w:rsidRPr="006F63FD" w:rsidRDefault="00B02AF3" w:rsidP="00000C35">
            <w:pPr>
              <w:pStyle w:val="FirmInformation"/>
              <w:spacing w:line="240" w:lineRule="auto"/>
              <w:rPr>
                <w:sz w:val="28"/>
                <w:szCs w:val="28"/>
              </w:rPr>
            </w:pPr>
            <w:r>
              <w:rPr>
                <w:sz w:val="28"/>
                <w:szCs w:val="28"/>
              </w:rPr>
              <w:t>Arizona Prosecuting Attorneys’ Advisory Council</w:t>
            </w:r>
          </w:p>
          <w:p w:rsidR="00357F4D" w:rsidRPr="006F63FD" w:rsidRDefault="00B02AF3" w:rsidP="00000C35">
            <w:pPr>
              <w:pStyle w:val="FirmInformation"/>
              <w:spacing w:line="240" w:lineRule="auto"/>
              <w:rPr>
                <w:sz w:val="28"/>
                <w:szCs w:val="28"/>
              </w:rPr>
            </w:pPr>
            <w:r>
              <w:rPr>
                <w:sz w:val="28"/>
                <w:szCs w:val="28"/>
              </w:rPr>
              <w:t>1951 West Camelback Road, Suite</w:t>
            </w:r>
            <w:r w:rsidR="00357F4D" w:rsidRPr="006F63FD">
              <w:rPr>
                <w:sz w:val="28"/>
                <w:szCs w:val="28"/>
              </w:rPr>
              <w:t xml:space="preserve"> </w:t>
            </w:r>
            <w:r>
              <w:rPr>
                <w:sz w:val="28"/>
                <w:szCs w:val="28"/>
              </w:rPr>
              <w:t>202</w:t>
            </w:r>
          </w:p>
          <w:p w:rsidR="00357F4D" w:rsidRPr="006F63FD" w:rsidRDefault="00357F4D" w:rsidP="00000C35">
            <w:pPr>
              <w:pStyle w:val="FirmInformation"/>
              <w:spacing w:line="240" w:lineRule="auto"/>
              <w:rPr>
                <w:sz w:val="28"/>
                <w:szCs w:val="28"/>
              </w:rPr>
            </w:pPr>
            <w:r w:rsidRPr="006F63FD">
              <w:rPr>
                <w:sz w:val="28"/>
                <w:szCs w:val="28"/>
              </w:rPr>
              <w:t>Phoenix, AZ  8501</w:t>
            </w:r>
            <w:r w:rsidR="00B02AF3">
              <w:rPr>
                <w:sz w:val="28"/>
                <w:szCs w:val="28"/>
              </w:rPr>
              <w:t>5</w:t>
            </w:r>
            <w:r w:rsidRPr="006F63FD">
              <w:rPr>
                <w:sz w:val="28"/>
                <w:szCs w:val="28"/>
              </w:rPr>
              <w:t>-</w:t>
            </w:r>
            <w:r w:rsidR="00B02AF3">
              <w:rPr>
                <w:sz w:val="28"/>
                <w:szCs w:val="28"/>
              </w:rPr>
              <w:t>3407</w:t>
            </w:r>
          </w:p>
          <w:p w:rsidR="00357F4D" w:rsidRPr="006F63FD" w:rsidRDefault="00352347" w:rsidP="00000C35">
            <w:pPr>
              <w:pStyle w:val="FirmInformation"/>
              <w:spacing w:line="240" w:lineRule="auto"/>
              <w:rPr>
                <w:sz w:val="28"/>
                <w:szCs w:val="28"/>
              </w:rPr>
            </w:pPr>
            <w:r>
              <w:rPr>
                <w:sz w:val="28"/>
                <w:szCs w:val="28"/>
              </w:rPr>
              <w:t xml:space="preserve">(602) </w:t>
            </w:r>
            <w:r w:rsidR="00B02AF3">
              <w:rPr>
                <w:sz w:val="28"/>
                <w:szCs w:val="28"/>
              </w:rPr>
              <w:t>542</w:t>
            </w:r>
            <w:r>
              <w:rPr>
                <w:sz w:val="28"/>
                <w:szCs w:val="28"/>
              </w:rPr>
              <w:t>-</w:t>
            </w:r>
            <w:r w:rsidR="00B02AF3">
              <w:rPr>
                <w:sz w:val="28"/>
                <w:szCs w:val="28"/>
              </w:rPr>
              <w:t>7222 / FAX (602) 274-4215</w:t>
            </w:r>
          </w:p>
          <w:p w:rsidR="00B02AF3" w:rsidRDefault="003A3361" w:rsidP="00735659">
            <w:pPr>
              <w:pStyle w:val="FirmInformation"/>
              <w:spacing w:line="240" w:lineRule="auto"/>
              <w:rPr>
                <w:sz w:val="28"/>
                <w:szCs w:val="28"/>
              </w:rPr>
            </w:pPr>
            <w:hyperlink r:id="rId9" w:history="1">
              <w:r w:rsidR="00B02AF3" w:rsidRPr="00FE2EAB">
                <w:rPr>
                  <w:rStyle w:val="Hyperlink"/>
                  <w:sz w:val="28"/>
                  <w:szCs w:val="28"/>
                </w:rPr>
                <w:t>Elizabeth.Ortiz@apaac.az.gov</w:t>
              </w:r>
            </w:hyperlink>
          </w:p>
          <w:p w:rsidR="00B02AF3" w:rsidRPr="00735659" w:rsidRDefault="00B02AF3" w:rsidP="00735659">
            <w:pPr>
              <w:pStyle w:val="FirmInformation"/>
              <w:spacing w:line="240" w:lineRule="auto"/>
              <w:rPr>
                <w:sz w:val="28"/>
                <w:szCs w:val="28"/>
              </w:rPr>
            </w:pPr>
          </w:p>
        </w:tc>
        <w:tc>
          <w:tcPr>
            <w:tcW w:w="4200" w:type="dxa"/>
          </w:tcPr>
          <w:p w:rsidR="00357F4D" w:rsidRPr="000F7A7F" w:rsidRDefault="00357F4D" w:rsidP="00000C35">
            <w:pPr>
              <w:ind w:left="113" w:right="113"/>
              <w:rPr>
                <w:sz w:val="26"/>
                <w:szCs w:val="26"/>
              </w:rPr>
            </w:pPr>
          </w:p>
        </w:tc>
      </w:tr>
    </w:tbl>
    <w:bookmarkEnd w:id="0"/>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B87B69">
              <w:rPr>
                <w:b/>
                <w:sz w:val="28"/>
                <w:szCs w:val="28"/>
              </w:rPr>
              <w:t xml:space="preserve">AMEND RULE </w:t>
            </w:r>
            <w:r w:rsidR="00A045FB">
              <w:rPr>
                <w:b/>
                <w:sz w:val="28"/>
                <w:szCs w:val="28"/>
              </w:rPr>
              <w:t>16.4 OF THE ARIZONA RULES</w:t>
            </w:r>
            <w:r w:rsidR="00B87B69">
              <w:rPr>
                <w:b/>
                <w:sz w:val="28"/>
                <w:szCs w:val="28"/>
              </w:rPr>
              <w:t xml:space="preserve"> OF CRIMINAL PROCEDURE</w:t>
            </w:r>
          </w:p>
          <w:p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B87B69">
              <w:rPr>
                <w:sz w:val="28"/>
                <w:szCs w:val="28"/>
              </w:rPr>
              <w:t>15-00</w:t>
            </w:r>
            <w:r w:rsidR="00A045FB">
              <w:rPr>
                <w:sz w:val="28"/>
                <w:szCs w:val="28"/>
              </w:rPr>
              <w:t>38</w:t>
            </w:r>
          </w:p>
          <w:p w:rsidR="000F7A7F" w:rsidRPr="006F63FD" w:rsidRDefault="000F7A7F" w:rsidP="000F7A7F">
            <w:pPr>
              <w:pStyle w:val="Caption"/>
              <w:tabs>
                <w:tab w:val="left" w:pos="1238"/>
              </w:tabs>
              <w:spacing w:line="260" w:lineRule="exact"/>
              <w:ind w:right="115"/>
              <w:jc w:val="center"/>
              <w:rPr>
                <w:b/>
                <w:sz w:val="28"/>
                <w:szCs w:val="28"/>
              </w:rPr>
            </w:pPr>
            <w:r w:rsidRPr="006F63FD">
              <w:rPr>
                <w:b/>
                <w:sz w:val="28"/>
                <w:szCs w:val="28"/>
              </w:rPr>
              <w:t>COMMENT OF</w:t>
            </w:r>
          </w:p>
          <w:p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 xml:space="preserve">THE </w:t>
            </w:r>
            <w:r w:rsidR="00B02AF3">
              <w:rPr>
                <w:b/>
                <w:sz w:val="28"/>
                <w:szCs w:val="28"/>
              </w:rPr>
              <w:t>ARIZONA PROSECUTING ATTORNEYS’ ADVISORY COUNCIL</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B02AF3" w:rsidRDefault="00B02AF3" w:rsidP="00B02AF3">
      <w:pPr>
        <w:pStyle w:val="Body"/>
        <w:widowControl w:val="0"/>
        <w:spacing w:line="240" w:lineRule="auto"/>
        <w:ind w:firstLine="720"/>
        <w:jc w:val="both"/>
        <w:rPr>
          <w:sz w:val="28"/>
          <w:szCs w:val="28"/>
        </w:rPr>
      </w:pPr>
    </w:p>
    <w:p w:rsidR="00526087" w:rsidRDefault="00526087" w:rsidP="00A045FB">
      <w:pPr>
        <w:pStyle w:val="Body"/>
        <w:widowControl w:val="0"/>
        <w:numPr>
          <w:ilvl w:val="0"/>
          <w:numId w:val="15"/>
        </w:numPr>
        <w:spacing w:line="240" w:lineRule="auto"/>
        <w:rPr>
          <w:b/>
          <w:sz w:val="28"/>
          <w:szCs w:val="28"/>
        </w:rPr>
      </w:pPr>
      <w:r w:rsidRPr="00B87B69">
        <w:rPr>
          <w:b/>
          <w:sz w:val="28"/>
          <w:szCs w:val="28"/>
        </w:rPr>
        <w:t>BACKGROU</w:t>
      </w:r>
      <w:r>
        <w:rPr>
          <w:b/>
          <w:sz w:val="28"/>
          <w:szCs w:val="28"/>
        </w:rPr>
        <w:t>ND OF PETITION</w:t>
      </w:r>
    </w:p>
    <w:p w:rsidR="00A045FB" w:rsidRDefault="00A045FB" w:rsidP="00A045FB">
      <w:pPr>
        <w:pStyle w:val="Body"/>
        <w:widowControl w:val="0"/>
        <w:spacing w:line="240" w:lineRule="auto"/>
        <w:ind w:left="1440" w:firstLine="0"/>
        <w:rPr>
          <w:b/>
          <w:sz w:val="28"/>
          <w:szCs w:val="28"/>
        </w:rPr>
      </w:pPr>
    </w:p>
    <w:p w:rsidR="00A045FB" w:rsidRPr="00291F2D" w:rsidRDefault="00A045FB" w:rsidP="009550F7">
      <w:pPr>
        <w:pStyle w:val="Body"/>
        <w:widowControl w:val="0"/>
        <w:spacing w:line="480" w:lineRule="auto"/>
        <w:ind w:right="144" w:firstLine="720"/>
        <w:jc w:val="both"/>
        <w:rPr>
          <w:sz w:val="28"/>
          <w:szCs w:val="28"/>
        </w:rPr>
      </w:pPr>
      <w:r w:rsidRPr="00A045FB">
        <w:rPr>
          <w:sz w:val="28"/>
          <w:szCs w:val="28"/>
        </w:rPr>
        <w:t xml:space="preserve">The Maricopa County Office of the Legal Defender has proposed an amendment to Rule 16.4, </w:t>
      </w:r>
      <w:r w:rsidRPr="00A045FB">
        <w:rPr>
          <w:i/>
          <w:sz w:val="28"/>
          <w:szCs w:val="28"/>
        </w:rPr>
        <w:t>Arizona Rules of Criminal Procedure</w:t>
      </w:r>
      <w:r w:rsidRPr="00A045FB">
        <w:rPr>
          <w:sz w:val="28"/>
          <w:szCs w:val="28"/>
        </w:rPr>
        <w:t xml:space="preserve">, which would require a court to ensure that prosecutors have searched their files, as well as those of investigating police agencies and others, for any information </w:t>
      </w:r>
      <w:r w:rsidR="008B4CEE">
        <w:rPr>
          <w:sz w:val="28"/>
          <w:szCs w:val="28"/>
        </w:rPr>
        <w:t xml:space="preserve">“which tends to mitigate or negate the defendant’s guilt, or which would tend to reduce the defendant’s punishment. . .”.  [Amended Petition at Appendix A].  </w:t>
      </w:r>
      <w:r w:rsidRPr="00A045FB">
        <w:rPr>
          <w:sz w:val="28"/>
          <w:szCs w:val="28"/>
        </w:rPr>
        <w:t xml:space="preserve">A proposed Comment to the </w:t>
      </w:r>
      <w:r w:rsidR="00291F2D">
        <w:rPr>
          <w:sz w:val="28"/>
          <w:szCs w:val="28"/>
        </w:rPr>
        <w:t xml:space="preserve">new </w:t>
      </w:r>
      <w:r w:rsidRPr="00A045FB">
        <w:rPr>
          <w:sz w:val="28"/>
          <w:szCs w:val="28"/>
        </w:rPr>
        <w:t xml:space="preserve">rule </w:t>
      </w:r>
      <w:r w:rsidR="008B4CEE">
        <w:rPr>
          <w:sz w:val="28"/>
          <w:szCs w:val="28"/>
        </w:rPr>
        <w:t xml:space="preserve">cites </w:t>
      </w:r>
      <w:r w:rsidR="008B4CEE">
        <w:rPr>
          <w:i/>
          <w:sz w:val="28"/>
          <w:szCs w:val="28"/>
        </w:rPr>
        <w:t>Kyles v. Whitley</w:t>
      </w:r>
      <w:r w:rsidR="008B4CEE">
        <w:rPr>
          <w:sz w:val="28"/>
          <w:szCs w:val="28"/>
        </w:rPr>
        <w:t xml:space="preserve">, 514 U.S. 419 (1995) and provides some examples of agencies that might be “acting on the prosecution’s behalf” in a particular case.  [Amended Petition at Appendix A].  </w:t>
      </w:r>
      <w:r w:rsidRPr="00A045FB">
        <w:rPr>
          <w:sz w:val="28"/>
          <w:szCs w:val="28"/>
        </w:rPr>
        <w:lastRenderedPageBreak/>
        <w:t xml:space="preserve">The Arizona </w:t>
      </w:r>
      <w:r w:rsidR="008B4CEE">
        <w:rPr>
          <w:sz w:val="28"/>
          <w:szCs w:val="28"/>
        </w:rPr>
        <w:t xml:space="preserve">Prosecuting Attorney’s Advisory Council </w:t>
      </w:r>
      <w:r w:rsidR="006F0DA3">
        <w:rPr>
          <w:sz w:val="28"/>
          <w:szCs w:val="28"/>
        </w:rPr>
        <w:t xml:space="preserve">(“APAAC”) </w:t>
      </w:r>
      <w:r w:rsidRPr="00A045FB">
        <w:rPr>
          <w:sz w:val="28"/>
          <w:szCs w:val="28"/>
        </w:rPr>
        <w:t xml:space="preserve">has considered the proposed rule change to Rule 16.4 and </w:t>
      </w:r>
      <w:r w:rsidR="008B4CEE">
        <w:rPr>
          <w:sz w:val="28"/>
          <w:szCs w:val="28"/>
        </w:rPr>
        <w:t xml:space="preserve">urges this Court to deny the Petition in its entirety.  </w:t>
      </w:r>
      <w:r w:rsidR="00291F2D">
        <w:rPr>
          <w:sz w:val="28"/>
          <w:szCs w:val="28"/>
        </w:rPr>
        <w:t>The proposed rule</w:t>
      </w:r>
      <w:r w:rsidRPr="00291F2D">
        <w:rPr>
          <w:sz w:val="28"/>
          <w:szCs w:val="28"/>
        </w:rPr>
        <w:t xml:space="preserve"> is </w:t>
      </w:r>
      <w:r w:rsidR="00291F2D">
        <w:rPr>
          <w:sz w:val="28"/>
          <w:szCs w:val="28"/>
        </w:rPr>
        <w:t xml:space="preserve">a </w:t>
      </w:r>
      <w:r w:rsidRPr="00291F2D">
        <w:rPr>
          <w:sz w:val="28"/>
          <w:szCs w:val="28"/>
        </w:rPr>
        <w:t xml:space="preserve">superfluous, overbroad, and ill-defined proposal that </w:t>
      </w:r>
      <w:r w:rsidR="00291F2D">
        <w:rPr>
          <w:sz w:val="28"/>
          <w:szCs w:val="28"/>
        </w:rPr>
        <w:t>imposes</w:t>
      </w:r>
      <w:r w:rsidRPr="00291F2D">
        <w:rPr>
          <w:sz w:val="28"/>
          <w:szCs w:val="28"/>
        </w:rPr>
        <w:t xml:space="preserve"> unnecessary requirement</w:t>
      </w:r>
      <w:r w:rsidR="00291F2D">
        <w:rPr>
          <w:sz w:val="28"/>
          <w:szCs w:val="28"/>
        </w:rPr>
        <w:t>s</w:t>
      </w:r>
      <w:r w:rsidRPr="00291F2D">
        <w:rPr>
          <w:sz w:val="28"/>
          <w:szCs w:val="28"/>
        </w:rPr>
        <w:t xml:space="preserve"> on the courts and </w:t>
      </w:r>
      <w:r w:rsidR="00291F2D">
        <w:rPr>
          <w:sz w:val="28"/>
          <w:szCs w:val="28"/>
        </w:rPr>
        <w:t>prosecutors</w:t>
      </w:r>
      <w:r w:rsidRPr="00291F2D">
        <w:rPr>
          <w:sz w:val="28"/>
          <w:szCs w:val="28"/>
        </w:rPr>
        <w:t>.</w:t>
      </w:r>
    </w:p>
    <w:p w:rsidR="00526087" w:rsidRDefault="00526087" w:rsidP="00526087">
      <w:pPr>
        <w:pStyle w:val="Body"/>
        <w:widowControl w:val="0"/>
        <w:spacing w:line="240" w:lineRule="auto"/>
        <w:ind w:firstLine="720"/>
        <w:rPr>
          <w:b/>
          <w:sz w:val="28"/>
          <w:szCs w:val="28"/>
        </w:rPr>
      </w:pPr>
      <w:r w:rsidRPr="009D7A5B">
        <w:rPr>
          <w:b/>
          <w:sz w:val="28"/>
          <w:szCs w:val="28"/>
        </w:rPr>
        <w:t>II.</w:t>
      </w:r>
      <w:r>
        <w:rPr>
          <w:b/>
          <w:sz w:val="28"/>
          <w:szCs w:val="28"/>
        </w:rPr>
        <w:tab/>
      </w:r>
      <w:r w:rsidRPr="009D7A5B">
        <w:rPr>
          <w:b/>
          <w:sz w:val="28"/>
          <w:szCs w:val="28"/>
        </w:rPr>
        <w:t>DISCUSSION/ANALYSIS</w:t>
      </w:r>
    </w:p>
    <w:p w:rsidR="00526087" w:rsidRDefault="00526087" w:rsidP="00526087">
      <w:pPr>
        <w:pStyle w:val="Body"/>
        <w:widowControl w:val="0"/>
        <w:spacing w:line="240" w:lineRule="auto"/>
        <w:ind w:firstLine="720"/>
        <w:rPr>
          <w:b/>
          <w:sz w:val="28"/>
          <w:szCs w:val="28"/>
        </w:rPr>
      </w:pPr>
    </w:p>
    <w:p w:rsidR="00867E74" w:rsidRDefault="008B4CEE" w:rsidP="008B4CEE">
      <w:pPr>
        <w:pStyle w:val="Body"/>
        <w:widowControl w:val="0"/>
        <w:spacing w:line="480" w:lineRule="auto"/>
        <w:ind w:right="144" w:firstLine="720"/>
        <w:jc w:val="both"/>
        <w:rPr>
          <w:sz w:val="28"/>
          <w:szCs w:val="28"/>
        </w:rPr>
      </w:pPr>
      <w:r>
        <w:rPr>
          <w:sz w:val="28"/>
          <w:szCs w:val="28"/>
        </w:rPr>
        <w:t xml:space="preserve">Prosecutors have a well-established, well-known duty to disclose exculpatory information to the defense.  </w:t>
      </w:r>
      <w:r w:rsidRPr="0023316F">
        <w:rPr>
          <w:i/>
          <w:sz w:val="28"/>
          <w:szCs w:val="28"/>
        </w:rPr>
        <w:t>Brady v. Maryland</w:t>
      </w:r>
      <w:r w:rsidRPr="0023316F">
        <w:rPr>
          <w:sz w:val="28"/>
          <w:szCs w:val="28"/>
        </w:rPr>
        <w:t>, 373 U.S. 83</w:t>
      </w:r>
      <w:r>
        <w:rPr>
          <w:sz w:val="28"/>
          <w:szCs w:val="28"/>
        </w:rPr>
        <w:t xml:space="preserve"> </w:t>
      </w:r>
      <w:r w:rsidRPr="0023316F">
        <w:rPr>
          <w:sz w:val="28"/>
          <w:szCs w:val="28"/>
        </w:rPr>
        <w:t xml:space="preserve">(1963); </w:t>
      </w:r>
      <w:r w:rsidRPr="0023316F">
        <w:rPr>
          <w:i/>
          <w:sz w:val="28"/>
          <w:szCs w:val="28"/>
        </w:rPr>
        <w:t>Giglio v. United States</w:t>
      </w:r>
      <w:r w:rsidRPr="0023316F">
        <w:rPr>
          <w:sz w:val="28"/>
          <w:szCs w:val="28"/>
        </w:rPr>
        <w:t>, 405 U.S. 150</w:t>
      </w:r>
      <w:r>
        <w:rPr>
          <w:sz w:val="28"/>
          <w:szCs w:val="28"/>
        </w:rPr>
        <w:t xml:space="preserve"> </w:t>
      </w:r>
      <w:r w:rsidRPr="0023316F">
        <w:rPr>
          <w:sz w:val="28"/>
          <w:szCs w:val="28"/>
        </w:rPr>
        <w:t xml:space="preserve">(1972); </w:t>
      </w:r>
      <w:r w:rsidRPr="0023316F">
        <w:rPr>
          <w:i/>
          <w:sz w:val="28"/>
          <w:szCs w:val="28"/>
        </w:rPr>
        <w:t>United States v. Bagley</w:t>
      </w:r>
      <w:r w:rsidRPr="0023316F">
        <w:rPr>
          <w:sz w:val="28"/>
          <w:szCs w:val="28"/>
        </w:rPr>
        <w:t>, 473 U.S. 667</w:t>
      </w:r>
      <w:r>
        <w:rPr>
          <w:sz w:val="28"/>
          <w:szCs w:val="28"/>
        </w:rPr>
        <w:t xml:space="preserve"> (1985).</w:t>
      </w:r>
      <w:r w:rsidR="008A7E5E">
        <w:rPr>
          <w:sz w:val="28"/>
          <w:szCs w:val="28"/>
        </w:rPr>
        <w:t xml:space="preserve">  Exculpatory information includes evidence that could be used to impeach witnesses.  </w:t>
      </w:r>
      <w:r w:rsidR="008A7E5E">
        <w:rPr>
          <w:i/>
          <w:sz w:val="28"/>
          <w:szCs w:val="28"/>
        </w:rPr>
        <w:t xml:space="preserve">Giglio, </w:t>
      </w:r>
      <w:r w:rsidR="008A7E5E">
        <w:rPr>
          <w:sz w:val="28"/>
          <w:szCs w:val="28"/>
        </w:rPr>
        <w:t xml:space="preserve">405 U.S. at 154-55.  The prosecution is required to disclose evidence that is </w:t>
      </w:r>
      <w:r w:rsidRPr="0023316F">
        <w:rPr>
          <w:sz w:val="28"/>
          <w:szCs w:val="28"/>
        </w:rPr>
        <w:t xml:space="preserve">material </w:t>
      </w:r>
      <w:r w:rsidR="00BD0A3D" w:rsidRPr="0023316F">
        <w:rPr>
          <w:sz w:val="28"/>
          <w:szCs w:val="28"/>
        </w:rPr>
        <w:t>to</w:t>
      </w:r>
      <w:r w:rsidR="00BD0A3D">
        <w:rPr>
          <w:sz w:val="28"/>
          <w:szCs w:val="28"/>
        </w:rPr>
        <w:t xml:space="preserve"> </w:t>
      </w:r>
      <w:r w:rsidRPr="0023316F">
        <w:rPr>
          <w:sz w:val="28"/>
          <w:szCs w:val="28"/>
        </w:rPr>
        <w:t xml:space="preserve">either guilt or punishment.  </w:t>
      </w:r>
      <w:r w:rsidRPr="0023316F">
        <w:rPr>
          <w:i/>
          <w:sz w:val="28"/>
          <w:szCs w:val="28"/>
        </w:rPr>
        <w:t>Brady</w:t>
      </w:r>
      <w:r w:rsidRPr="0023316F">
        <w:rPr>
          <w:sz w:val="28"/>
          <w:szCs w:val="28"/>
        </w:rPr>
        <w:t>, 373 U.S. at 87</w:t>
      </w:r>
      <w:r>
        <w:rPr>
          <w:sz w:val="28"/>
          <w:szCs w:val="28"/>
        </w:rPr>
        <w:t xml:space="preserve">.  </w:t>
      </w:r>
      <w:r w:rsidR="00867E74">
        <w:rPr>
          <w:sz w:val="28"/>
          <w:szCs w:val="28"/>
        </w:rPr>
        <w:t xml:space="preserve"> </w:t>
      </w:r>
      <w:r w:rsidR="00456304">
        <w:rPr>
          <w:sz w:val="28"/>
          <w:szCs w:val="28"/>
        </w:rPr>
        <w:t xml:space="preserve">Evidence is material if there is a reasonable probability that had the evidence been disclosed the result of the proceeding would have been different.  </w:t>
      </w:r>
      <w:r w:rsidR="00456304">
        <w:rPr>
          <w:i/>
          <w:sz w:val="28"/>
          <w:szCs w:val="28"/>
        </w:rPr>
        <w:t>Bagley</w:t>
      </w:r>
      <w:r w:rsidR="00456304">
        <w:rPr>
          <w:sz w:val="28"/>
          <w:szCs w:val="28"/>
        </w:rPr>
        <w:t xml:space="preserve">, 473 U.S. at 682.  </w:t>
      </w:r>
      <w:r w:rsidR="00867E74">
        <w:rPr>
          <w:sz w:val="28"/>
          <w:szCs w:val="28"/>
        </w:rPr>
        <w:t xml:space="preserve">These disclosure obligations include information in the possession of others who are acting on the prosecution’s behalf.  </w:t>
      </w:r>
      <w:r w:rsidR="00867E74">
        <w:rPr>
          <w:i/>
          <w:sz w:val="28"/>
          <w:szCs w:val="28"/>
        </w:rPr>
        <w:t>Kyles v. Whitley</w:t>
      </w:r>
      <w:r w:rsidR="00867E74">
        <w:rPr>
          <w:sz w:val="28"/>
          <w:szCs w:val="28"/>
        </w:rPr>
        <w:t xml:space="preserve">, 514 U.S. 419 (1995).  </w:t>
      </w:r>
    </w:p>
    <w:p w:rsidR="00A045FB" w:rsidRPr="0023316F" w:rsidRDefault="00272B5C" w:rsidP="00A045FB">
      <w:pPr>
        <w:pStyle w:val="Body"/>
        <w:widowControl w:val="0"/>
        <w:spacing w:line="480" w:lineRule="auto"/>
        <w:ind w:right="144" w:firstLine="720"/>
        <w:jc w:val="both"/>
        <w:rPr>
          <w:sz w:val="28"/>
          <w:szCs w:val="28"/>
        </w:rPr>
      </w:pPr>
      <w:r>
        <w:rPr>
          <w:sz w:val="28"/>
          <w:szCs w:val="28"/>
        </w:rPr>
        <w:t xml:space="preserve">In addition to these </w:t>
      </w:r>
      <w:r w:rsidR="00BD0A3D">
        <w:rPr>
          <w:sz w:val="28"/>
          <w:szCs w:val="28"/>
        </w:rPr>
        <w:t xml:space="preserve">constitutional </w:t>
      </w:r>
      <w:r>
        <w:rPr>
          <w:sz w:val="28"/>
          <w:szCs w:val="28"/>
        </w:rPr>
        <w:t xml:space="preserve">discovery requirements, </w:t>
      </w:r>
      <w:r w:rsidR="00A045FB" w:rsidRPr="0023316F">
        <w:rPr>
          <w:sz w:val="28"/>
          <w:szCs w:val="28"/>
        </w:rPr>
        <w:t xml:space="preserve">Arizona has broad discovery rules that </w:t>
      </w:r>
      <w:r>
        <w:rPr>
          <w:sz w:val="28"/>
          <w:szCs w:val="28"/>
        </w:rPr>
        <w:t xml:space="preserve">specifically </w:t>
      </w:r>
      <w:r w:rsidR="00A045FB" w:rsidRPr="0023316F">
        <w:rPr>
          <w:sz w:val="28"/>
          <w:szCs w:val="28"/>
        </w:rPr>
        <w:t>require prosecutors to disclose</w:t>
      </w:r>
      <w:r w:rsidR="00291F2D">
        <w:rPr>
          <w:sz w:val="28"/>
          <w:szCs w:val="28"/>
        </w:rPr>
        <w:t>,</w:t>
      </w:r>
      <w:r w:rsidR="00A045FB" w:rsidRPr="0023316F">
        <w:rPr>
          <w:sz w:val="28"/>
          <w:szCs w:val="28"/>
        </w:rPr>
        <w:t xml:space="preserve"> at the arraignment or preliminary hearing</w:t>
      </w:r>
      <w:r w:rsidR="00291F2D">
        <w:rPr>
          <w:sz w:val="28"/>
          <w:szCs w:val="28"/>
        </w:rPr>
        <w:t>,</w:t>
      </w:r>
      <w:r w:rsidR="00A045FB" w:rsidRPr="0023316F">
        <w:rPr>
          <w:sz w:val="28"/>
          <w:szCs w:val="28"/>
        </w:rPr>
        <w:t xml:space="preserve"> all original and supplemental police reports </w:t>
      </w:r>
      <w:r>
        <w:rPr>
          <w:sz w:val="28"/>
          <w:szCs w:val="28"/>
        </w:rPr>
        <w:lastRenderedPageBreak/>
        <w:t xml:space="preserve">that were in the attorney’s possession when the case was filed.  </w:t>
      </w:r>
      <w:r w:rsidR="006F0DA3" w:rsidRPr="006F0DA3">
        <w:rPr>
          <w:i/>
          <w:sz w:val="28"/>
          <w:szCs w:val="28"/>
        </w:rPr>
        <w:t>Ari</w:t>
      </w:r>
      <w:r w:rsidR="006F0DA3">
        <w:rPr>
          <w:i/>
          <w:sz w:val="28"/>
          <w:szCs w:val="28"/>
        </w:rPr>
        <w:t>z</w:t>
      </w:r>
      <w:r w:rsidR="006F0DA3" w:rsidRPr="006F0DA3">
        <w:rPr>
          <w:i/>
          <w:sz w:val="28"/>
          <w:szCs w:val="28"/>
        </w:rPr>
        <w:t>. R. Crim. P.</w:t>
      </w:r>
      <w:r w:rsidRPr="00272B5C">
        <w:rPr>
          <w:smallCaps/>
          <w:sz w:val="28"/>
          <w:szCs w:val="28"/>
        </w:rPr>
        <w:t xml:space="preserve"> 15.1</w:t>
      </w:r>
      <w:r>
        <w:rPr>
          <w:sz w:val="28"/>
          <w:szCs w:val="28"/>
        </w:rPr>
        <w:t xml:space="preserve">(a).  Consistent with </w:t>
      </w:r>
      <w:r>
        <w:rPr>
          <w:i/>
          <w:sz w:val="28"/>
          <w:szCs w:val="28"/>
        </w:rPr>
        <w:t>Brady</w:t>
      </w:r>
      <w:r>
        <w:rPr>
          <w:sz w:val="28"/>
          <w:szCs w:val="28"/>
        </w:rPr>
        <w:t xml:space="preserve">’s requirements, Arizona’s rules </w:t>
      </w:r>
      <w:r w:rsidR="00A045FB" w:rsidRPr="0023316F">
        <w:rPr>
          <w:sz w:val="28"/>
          <w:szCs w:val="28"/>
        </w:rPr>
        <w:t>also require prosecutors to disclose to a defendant</w:t>
      </w:r>
      <w:r>
        <w:rPr>
          <w:sz w:val="28"/>
          <w:szCs w:val="28"/>
        </w:rPr>
        <w:t xml:space="preserve"> </w:t>
      </w:r>
      <w:r w:rsidR="00A045FB" w:rsidRPr="0023316F">
        <w:rPr>
          <w:sz w:val="28"/>
          <w:szCs w:val="28"/>
        </w:rPr>
        <w:t xml:space="preserve">existing material and information that “tends to mitigate or negate the defendant’s guilt as to the offense charged, or which would tend to reduce the defendant’s punishment therefor.”  Rule 15.1(b)(8).  </w:t>
      </w:r>
      <w:r>
        <w:rPr>
          <w:sz w:val="28"/>
          <w:szCs w:val="28"/>
        </w:rPr>
        <w:t xml:space="preserve">Consistent with </w:t>
      </w:r>
      <w:r>
        <w:rPr>
          <w:i/>
          <w:sz w:val="28"/>
          <w:szCs w:val="28"/>
        </w:rPr>
        <w:t>Kyles</w:t>
      </w:r>
      <w:r>
        <w:rPr>
          <w:sz w:val="28"/>
          <w:szCs w:val="28"/>
        </w:rPr>
        <w:t>, t</w:t>
      </w:r>
      <w:r w:rsidR="00A045FB" w:rsidRPr="0023316F">
        <w:rPr>
          <w:sz w:val="28"/>
          <w:szCs w:val="28"/>
        </w:rPr>
        <w:t>his rule extends to information in the possession or control of investigating police agencies and “[a]ny other person who has participated in the investigation or evaluation of the case and who is under the prosecutor’s direction or control.”  Rule 15.1(f).  If a prosecutor violates these broad disclosure requirements, the court can impose sanctions including precluding or limiting witnesses, precluding or limiting evidence, dismissing the case, declaring a mistrial, holding a person in contempt</w:t>
      </w:r>
      <w:r w:rsidR="00BD0A3D">
        <w:rPr>
          <w:sz w:val="28"/>
          <w:szCs w:val="28"/>
        </w:rPr>
        <w:t>,</w:t>
      </w:r>
      <w:r w:rsidR="00A045FB" w:rsidRPr="0023316F">
        <w:rPr>
          <w:sz w:val="28"/>
          <w:szCs w:val="28"/>
        </w:rPr>
        <w:t xml:space="preserve"> and imposing costs.  Rule 15.7(a).  It is the trial court’s responsibility to enforce these disclosure rules.  See</w:t>
      </w:r>
      <w:r w:rsidR="00A045FB" w:rsidRPr="0023316F">
        <w:rPr>
          <w:i/>
          <w:sz w:val="28"/>
          <w:szCs w:val="28"/>
        </w:rPr>
        <w:t xml:space="preserve"> State v. Tucker</w:t>
      </w:r>
      <w:r w:rsidR="00A045FB" w:rsidRPr="0023316F">
        <w:rPr>
          <w:sz w:val="28"/>
          <w:szCs w:val="28"/>
        </w:rPr>
        <w:t>, 157 Ariz. 433, 441, 759 P.2d 579, 587 (1988).</w:t>
      </w:r>
    </w:p>
    <w:p w:rsidR="00456304" w:rsidRDefault="00272B5C" w:rsidP="00A045FB">
      <w:pPr>
        <w:pStyle w:val="Body"/>
        <w:widowControl w:val="0"/>
        <w:spacing w:line="480" w:lineRule="auto"/>
        <w:ind w:right="144" w:firstLine="720"/>
        <w:jc w:val="both"/>
        <w:rPr>
          <w:sz w:val="28"/>
          <w:szCs w:val="28"/>
        </w:rPr>
      </w:pPr>
      <w:r>
        <w:rPr>
          <w:sz w:val="28"/>
          <w:szCs w:val="28"/>
        </w:rPr>
        <w:t xml:space="preserve">In addition to the due process requirements explained in </w:t>
      </w:r>
      <w:r>
        <w:rPr>
          <w:i/>
          <w:sz w:val="28"/>
          <w:szCs w:val="28"/>
        </w:rPr>
        <w:t xml:space="preserve">Brady </w:t>
      </w:r>
      <w:r>
        <w:rPr>
          <w:sz w:val="28"/>
          <w:szCs w:val="28"/>
        </w:rPr>
        <w:t>and its progeny and the Arizona Rules of Criminal Procedure, Arizona prosecutors are also mandat</w:t>
      </w:r>
      <w:r w:rsidR="00456304">
        <w:rPr>
          <w:sz w:val="28"/>
          <w:szCs w:val="28"/>
        </w:rPr>
        <w:t xml:space="preserve">ed by the ethical rules to disclose </w:t>
      </w:r>
      <w:r w:rsidR="00BD0A3D">
        <w:rPr>
          <w:sz w:val="28"/>
          <w:szCs w:val="28"/>
        </w:rPr>
        <w:t xml:space="preserve">exculpatory and mitigating </w:t>
      </w:r>
      <w:r w:rsidR="00456304">
        <w:rPr>
          <w:sz w:val="28"/>
          <w:szCs w:val="28"/>
        </w:rPr>
        <w:t xml:space="preserve">evidence to the defense.  ER 3.8 broadly provides that a prosecutor shall “make timely disclosure to the defense of all evidence or information know to the prosecutor </w:t>
      </w:r>
      <w:r w:rsidR="00456304">
        <w:rPr>
          <w:sz w:val="28"/>
          <w:szCs w:val="28"/>
        </w:rPr>
        <w:lastRenderedPageBreak/>
        <w:t>that tends to negate the guilt of the accused or mitigates the offense, and, in connection with sentencing, disclose to the defense and to the tribunal all unprivileged mitigating information known to the prosecutor. . .</w:t>
      </w:r>
      <w:r w:rsidR="00A6323B">
        <w:rPr>
          <w:sz w:val="28"/>
          <w:szCs w:val="28"/>
        </w:rPr>
        <w:t>.</w:t>
      </w:r>
      <w:r w:rsidR="00456304">
        <w:rPr>
          <w:sz w:val="28"/>
          <w:szCs w:val="28"/>
        </w:rPr>
        <w:t>”</w:t>
      </w:r>
      <w:r w:rsidR="00A6323B">
        <w:rPr>
          <w:sz w:val="28"/>
          <w:szCs w:val="28"/>
        </w:rPr>
        <w:t xml:space="preserve">  </w:t>
      </w:r>
      <w:r w:rsidR="00456304" w:rsidRPr="0042463A">
        <w:rPr>
          <w:smallCaps/>
          <w:sz w:val="28"/>
          <w:szCs w:val="28"/>
        </w:rPr>
        <w:t>Ariz. R. Sup. Ct</w:t>
      </w:r>
      <w:r w:rsidR="00456304">
        <w:rPr>
          <w:sz w:val="28"/>
          <w:szCs w:val="28"/>
        </w:rPr>
        <w:t xml:space="preserve">. 42, ER 3.8(d).  </w:t>
      </w:r>
    </w:p>
    <w:p w:rsidR="00BD0A3D" w:rsidRDefault="0042463A" w:rsidP="00A045FB">
      <w:pPr>
        <w:pStyle w:val="Body"/>
        <w:widowControl w:val="0"/>
        <w:spacing w:line="480" w:lineRule="auto"/>
        <w:ind w:right="144" w:firstLine="720"/>
        <w:jc w:val="both"/>
        <w:rPr>
          <w:sz w:val="28"/>
          <w:szCs w:val="28"/>
        </w:rPr>
      </w:pPr>
      <w:r>
        <w:rPr>
          <w:sz w:val="28"/>
          <w:szCs w:val="28"/>
        </w:rPr>
        <w:t xml:space="preserve">With this backdrop of discovery obligations stemming from the Constitution, the Arizona Rules of </w:t>
      </w:r>
      <w:r w:rsidR="00BD0A3D">
        <w:rPr>
          <w:sz w:val="28"/>
          <w:szCs w:val="28"/>
        </w:rPr>
        <w:t xml:space="preserve">Criminal </w:t>
      </w:r>
      <w:r>
        <w:rPr>
          <w:sz w:val="28"/>
          <w:szCs w:val="28"/>
        </w:rPr>
        <w:t xml:space="preserve">Procedure, and the Arizona Ethical Rules, </w:t>
      </w:r>
      <w:r w:rsidR="00A045FB" w:rsidRPr="0023316F">
        <w:rPr>
          <w:sz w:val="28"/>
          <w:szCs w:val="28"/>
        </w:rPr>
        <w:t>Petitioner</w:t>
      </w:r>
      <w:r>
        <w:rPr>
          <w:sz w:val="28"/>
          <w:szCs w:val="28"/>
        </w:rPr>
        <w:t xml:space="preserve"> ask</w:t>
      </w:r>
      <w:r w:rsidR="00BD0A3D">
        <w:rPr>
          <w:sz w:val="28"/>
          <w:szCs w:val="28"/>
        </w:rPr>
        <w:t>s</w:t>
      </w:r>
      <w:r>
        <w:rPr>
          <w:sz w:val="28"/>
          <w:szCs w:val="28"/>
        </w:rPr>
        <w:t xml:space="preserve"> this court to add a new rule of criminal procedure to </w:t>
      </w:r>
      <w:r w:rsidR="00A045FB" w:rsidRPr="0023316F">
        <w:rPr>
          <w:sz w:val="28"/>
          <w:szCs w:val="28"/>
        </w:rPr>
        <w:t xml:space="preserve">require courts, at the mandatory prehearing conference under Rule 16.4, to “ensure” that the prosecutor has </w:t>
      </w:r>
      <w:r>
        <w:rPr>
          <w:sz w:val="28"/>
          <w:szCs w:val="28"/>
        </w:rPr>
        <w:t>“</w:t>
      </w:r>
      <w:r w:rsidR="00A045FB" w:rsidRPr="0023316F">
        <w:rPr>
          <w:sz w:val="28"/>
          <w:szCs w:val="28"/>
        </w:rPr>
        <w:t xml:space="preserve">searched its </w:t>
      </w:r>
      <w:r>
        <w:rPr>
          <w:sz w:val="28"/>
          <w:szCs w:val="28"/>
        </w:rPr>
        <w:t>files</w:t>
      </w:r>
      <w:r w:rsidR="00BD0A3D">
        <w:rPr>
          <w:sz w:val="28"/>
          <w:szCs w:val="28"/>
        </w:rPr>
        <w:t>,</w:t>
      </w:r>
      <w:r>
        <w:rPr>
          <w:sz w:val="28"/>
          <w:szCs w:val="28"/>
        </w:rPr>
        <w:t xml:space="preserve">” the “police agency’s files,” </w:t>
      </w:r>
      <w:r w:rsidR="00A045FB" w:rsidRPr="0023316F">
        <w:rPr>
          <w:sz w:val="28"/>
          <w:szCs w:val="28"/>
        </w:rPr>
        <w:t xml:space="preserve">and </w:t>
      </w:r>
      <w:r>
        <w:rPr>
          <w:sz w:val="28"/>
          <w:szCs w:val="28"/>
        </w:rPr>
        <w:t>“</w:t>
      </w:r>
      <w:r w:rsidR="00A045FB" w:rsidRPr="0023316F">
        <w:rPr>
          <w:sz w:val="28"/>
          <w:szCs w:val="28"/>
        </w:rPr>
        <w:t>other app</w:t>
      </w:r>
      <w:r>
        <w:rPr>
          <w:sz w:val="28"/>
          <w:szCs w:val="28"/>
        </w:rPr>
        <w:t xml:space="preserve">ropriate files” for discoverable information.  This broad and undefined proposal </w:t>
      </w:r>
      <w:r w:rsidR="00A045FB" w:rsidRPr="0023316F">
        <w:rPr>
          <w:sz w:val="28"/>
          <w:szCs w:val="28"/>
        </w:rPr>
        <w:t xml:space="preserve">presents a number of </w:t>
      </w:r>
      <w:r w:rsidR="00233B40">
        <w:rPr>
          <w:sz w:val="28"/>
          <w:szCs w:val="28"/>
        </w:rPr>
        <w:t>implementation</w:t>
      </w:r>
      <w:r w:rsidR="00233B40" w:rsidRPr="0023316F">
        <w:rPr>
          <w:sz w:val="28"/>
          <w:szCs w:val="28"/>
        </w:rPr>
        <w:t xml:space="preserve"> </w:t>
      </w:r>
      <w:r w:rsidR="00A045FB" w:rsidRPr="0023316F">
        <w:rPr>
          <w:sz w:val="28"/>
          <w:szCs w:val="28"/>
        </w:rPr>
        <w:t xml:space="preserve">problems.  </w:t>
      </w:r>
      <w:r w:rsidR="00233B40">
        <w:rPr>
          <w:sz w:val="28"/>
          <w:szCs w:val="28"/>
        </w:rPr>
        <w:t xml:space="preserve">Rules of procedure should clearly direct what needs to be done, when it must be done, how it must be done, and who is responsible for it.  Other than the “when,” the proposed </w:t>
      </w:r>
      <w:r w:rsidR="00435ED1">
        <w:rPr>
          <w:sz w:val="28"/>
          <w:szCs w:val="28"/>
        </w:rPr>
        <w:t xml:space="preserve">rule </w:t>
      </w:r>
      <w:r w:rsidR="00233B40">
        <w:rPr>
          <w:sz w:val="28"/>
          <w:szCs w:val="28"/>
        </w:rPr>
        <w:t>lacks clarity in every other aspect.</w:t>
      </w:r>
    </w:p>
    <w:p w:rsidR="009F2A3D" w:rsidRDefault="00A045FB" w:rsidP="00A045FB">
      <w:pPr>
        <w:pStyle w:val="Body"/>
        <w:widowControl w:val="0"/>
        <w:spacing w:line="480" w:lineRule="auto"/>
        <w:ind w:right="144" w:firstLine="720"/>
        <w:jc w:val="both"/>
        <w:rPr>
          <w:sz w:val="28"/>
          <w:szCs w:val="28"/>
        </w:rPr>
      </w:pPr>
      <w:r w:rsidRPr="0023316F">
        <w:rPr>
          <w:sz w:val="28"/>
          <w:szCs w:val="28"/>
        </w:rPr>
        <w:t xml:space="preserve">First, </w:t>
      </w:r>
      <w:r w:rsidR="0042463A">
        <w:rPr>
          <w:sz w:val="28"/>
          <w:szCs w:val="28"/>
        </w:rPr>
        <w:t xml:space="preserve">the rule </w:t>
      </w:r>
      <w:r w:rsidRPr="0023316F">
        <w:rPr>
          <w:sz w:val="28"/>
          <w:szCs w:val="28"/>
        </w:rPr>
        <w:t xml:space="preserve">does not explain </w:t>
      </w:r>
      <w:r w:rsidRPr="0023316F">
        <w:rPr>
          <w:i/>
          <w:sz w:val="28"/>
          <w:szCs w:val="28"/>
        </w:rPr>
        <w:t>how</w:t>
      </w:r>
      <w:r w:rsidRPr="0023316F">
        <w:rPr>
          <w:sz w:val="28"/>
          <w:szCs w:val="28"/>
        </w:rPr>
        <w:t xml:space="preserve"> the courts would </w:t>
      </w:r>
      <w:r w:rsidR="0042463A">
        <w:rPr>
          <w:sz w:val="28"/>
          <w:szCs w:val="28"/>
        </w:rPr>
        <w:t>“</w:t>
      </w:r>
      <w:r w:rsidRPr="0023316F">
        <w:rPr>
          <w:sz w:val="28"/>
          <w:szCs w:val="28"/>
        </w:rPr>
        <w:t>ensure</w:t>
      </w:r>
      <w:r w:rsidR="0042463A">
        <w:rPr>
          <w:sz w:val="28"/>
          <w:szCs w:val="28"/>
        </w:rPr>
        <w:t>”</w:t>
      </w:r>
      <w:r w:rsidRPr="0023316F">
        <w:rPr>
          <w:sz w:val="28"/>
          <w:szCs w:val="28"/>
        </w:rPr>
        <w:t xml:space="preserve"> </w:t>
      </w:r>
      <w:r w:rsidR="0042463A">
        <w:rPr>
          <w:sz w:val="28"/>
          <w:szCs w:val="28"/>
        </w:rPr>
        <w:t xml:space="preserve">what the prosecutor has done.  The Petition suggests </w:t>
      </w:r>
      <w:r w:rsidRPr="0023316F">
        <w:rPr>
          <w:sz w:val="28"/>
          <w:szCs w:val="28"/>
        </w:rPr>
        <w:t xml:space="preserve">a colloquy with the prosecutor, </w:t>
      </w:r>
      <w:r w:rsidR="0042463A">
        <w:rPr>
          <w:sz w:val="28"/>
          <w:szCs w:val="28"/>
        </w:rPr>
        <w:t xml:space="preserve">but that is not what the </w:t>
      </w:r>
      <w:r w:rsidR="00BD0A3D">
        <w:rPr>
          <w:sz w:val="28"/>
          <w:szCs w:val="28"/>
        </w:rPr>
        <w:t xml:space="preserve">proposed </w:t>
      </w:r>
      <w:r w:rsidR="0042463A">
        <w:rPr>
          <w:sz w:val="28"/>
          <w:szCs w:val="28"/>
        </w:rPr>
        <w:t xml:space="preserve">rule requires.  The rule directs that the court must “ensure” that searching has been accomplished.  </w:t>
      </w:r>
      <w:r w:rsidR="00233B40">
        <w:rPr>
          <w:sz w:val="28"/>
          <w:szCs w:val="28"/>
        </w:rPr>
        <w:t xml:space="preserve">How should a court accomplish this duty?  </w:t>
      </w:r>
      <w:r w:rsidR="0042463A">
        <w:rPr>
          <w:sz w:val="28"/>
          <w:szCs w:val="28"/>
        </w:rPr>
        <w:t xml:space="preserve">Would the court require the prosecutor to provide proof of some specific search?  Would the proof requirement vary from courtroom to courtroom </w:t>
      </w:r>
      <w:r w:rsidR="0042463A">
        <w:rPr>
          <w:sz w:val="28"/>
          <w:szCs w:val="28"/>
        </w:rPr>
        <w:lastRenderedPageBreak/>
        <w:t xml:space="preserve">depending on what an individual </w:t>
      </w:r>
      <w:r w:rsidR="009F2A3D">
        <w:rPr>
          <w:sz w:val="28"/>
          <w:szCs w:val="28"/>
        </w:rPr>
        <w:t xml:space="preserve">court </w:t>
      </w:r>
      <w:r w:rsidR="0042463A">
        <w:rPr>
          <w:sz w:val="28"/>
          <w:szCs w:val="28"/>
        </w:rPr>
        <w:t>felt was enough to “ensure” that an appropriate search had been conducted?</w:t>
      </w:r>
      <w:r w:rsidR="00A84FC3">
        <w:rPr>
          <w:sz w:val="28"/>
          <w:szCs w:val="28"/>
        </w:rPr>
        <w:t xml:space="preserve">  </w:t>
      </w:r>
      <w:r w:rsidR="00233B40">
        <w:rPr>
          <w:sz w:val="28"/>
          <w:szCs w:val="28"/>
        </w:rPr>
        <w:t xml:space="preserve"> The proposed rule lends itself to different interpretations in every city and county in Arizona.  Rules of procedure should establish uniformity, not create vague court duties that will vary from judge to judge.  </w:t>
      </w:r>
      <w:r w:rsidR="0042463A">
        <w:rPr>
          <w:sz w:val="28"/>
          <w:szCs w:val="28"/>
        </w:rPr>
        <w:t xml:space="preserve">  </w:t>
      </w:r>
    </w:p>
    <w:p w:rsidR="006D2062" w:rsidRDefault="00A045FB" w:rsidP="00A045FB">
      <w:pPr>
        <w:pStyle w:val="Body"/>
        <w:widowControl w:val="0"/>
        <w:spacing w:line="480" w:lineRule="auto"/>
        <w:ind w:right="144" w:firstLine="720"/>
        <w:jc w:val="both"/>
        <w:rPr>
          <w:sz w:val="28"/>
          <w:szCs w:val="28"/>
        </w:rPr>
      </w:pPr>
      <w:r w:rsidRPr="0023316F">
        <w:rPr>
          <w:sz w:val="28"/>
          <w:szCs w:val="28"/>
        </w:rPr>
        <w:t xml:space="preserve">Second, </w:t>
      </w:r>
      <w:r w:rsidR="009F2A3D">
        <w:rPr>
          <w:sz w:val="28"/>
          <w:szCs w:val="28"/>
        </w:rPr>
        <w:t xml:space="preserve">the </w:t>
      </w:r>
      <w:r w:rsidR="00362A8D">
        <w:rPr>
          <w:sz w:val="28"/>
          <w:szCs w:val="28"/>
        </w:rPr>
        <w:t>proposed rule commands that the court ensure that the prosecutor has “searched</w:t>
      </w:r>
      <w:r w:rsidR="00641AA4">
        <w:rPr>
          <w:sz w:val="28"/>
          <w:szCs w:val="28"/>
        </w:rPr>
        <w:t>”</w:t>
      </w:r>
      <w:r w:rsidR="00362A8D">
        <w:rPr>
          <w:sz w:val="28"/>
          <w:szCs w:val="28"/>
        </w:rPr>
        <w:t xml:space="preserve"> files but </w:t>
      </w:r>
      <w:r w:rsidR="00233B40">
        <w:rPr>
          <w:sz w:val="28"/>
          <w:szCs w:val="28"/>
        </w:rPr>
        <w:t xml:space="preserve">it is unclear </w:t>
      </w:r>
      <w:r w:rsidR="00233B40">
        <w:rPr>
          <w:i/>
          <w:sz w:val="28"/>
          <w:szCs w:val="28"/>
        </w:rPr>
        <w:t>what</w:t>
      </w:r>
      <w:r w:rsidR="00233B40">
        <w:rPr>
          <w:sz w:val="28"/>
          <w:szCs w:val="28"/>
        </w:rPr>
        <w:t xml:space="preserve"> is to be done because </w:t>
      </w:r>
      <w:r w:rsidR="00362A8D">
        <w:rPr>
          <w:sz w:val="28"/>
          <w:szCs w:val="28"/>
        </w:rPr>
        <w:t xml:space="preserve">nothing in the proposed rules defines “files.”  When a prosecutor gets a new case, what must be searched?  Does the rule require the prosecutor to find and cull through </w:t>
      </w:r>
      <w:r w:rsidR="00A75BB0">
        <w:rPr>
          <w:sz w:val="28"/>
          <w:szCs w:val="28"/>
        </w:rPr>
        <w:t xml:space="preserve">all </w:t>
      </w:r>
      <w:r w:rsidR="00362A8D">
        <w:rPr>
          <w:sz w:val="28"/>
          <w:szCs w:val="28"/>
        </w:rPr>
        <w:t xml:space="preserve">previous prosecutions against that </w:t>
      </w:r>
      <w:r w:rsidR="00641AA4">
        <w:rPr>
          <w:sz w:val="28"/>
          <w:szCs w:val="28"/>
        </w:rPr>
        <w:t>defendant</w:t>
      </w:r>
      <w:r w:rsidR="00362A8D">
        <w:rPr>
          <w:sz w:val="28"/>
          <w:szCs w:val="28"/>
        </w:rPr>
        <w:t xml:space="preserve">?  This </w:t>
      </w:r>
      <w:r w:rsidR="00A75BB0">
        <w:rPr>
          <w:sz w:val="28"/>
          <w:szCs w:val="28"/>
        </w:rPr>
        <w:t xml:space="preserve">vague reference to “files” </w:t>
      </w:r>
      <w:r w:rsidR="00362A8D">
        <w:rPr>
          <w:sz w:val="28"/>
          <w:szCs w:val="28"/>
        </w:rPr>
        <w:t xml:space="preserve">is even more problematic for the </w:t>
      </w:r>
      <w:r w:rsidR="006F0DA3">
        <w:rPr>
          <w:sz w:val="28"/>
          <w:szCs w:val="28"/>
        </w:rPr>
        <w:t xml:space="preserve">proposed </w:t>
      </w:r>
      <w:r w:rsidR="00362A8D">
        <w:rPr>
          <w:sz w:val="28"/>
          <w:szCs w:val="28"/>
        </w:rPr>
        <w:t xml:space="preserve">rule’s command that the prosecutor search the “police agency’s files.”  </w:t>
      </w:r>
      <w:r w:rsidR="006F0DA3">
        <w:rPr>
          <w:sz w:val="28"/>
          <w:szCs w:val="28"/>
        </w:rPr>
        <w:t>To exactly w</w:t>
      </w:r>
      <w:r w:rsidR="00362A8D">
        <w:rPr>
          <w:sz w:val="28"/>
          <w:szCs w:val="28"/>
        </w:rPr>
        <w:t xml:space="preserve">hat files </w:t>
      </w:r>
      <w:r w:rsidR="006F0DA3">
        <w:rPr>
          <w:sz w:val="28"/>
          <w:szCs w:val="28"/>
        </w:rPr>
        <w:t xml:space="preserve">does </w:t>
      </w:r>
      <w:r w:rsidR="00362A8D">
        <w:rPr>
          <w:sz w:val="28"/>
          <w:szCs w:val="28"/>
        </w:rPr>
        <w:t xml:space="preserve">the rule refer?  </w:t>
      </w:r>
      <w:r w:rsidR="006D2062">
        <w:rPr>
          <w:sz w:val="28"/>
          <w:szCs w:val="28"/>
        </w:rPr>
        <w:t xml:space="preserve">Police agencies do not maintain central “records rooms” where prosecutors can search through files.  In many police agencies information about investigations are kept in electronic systems that prosecutors have no access to and would not know how to “search” even if they did.   </w:t>
      </w:r>
    </w:p>
    <w:p w:rsidR="00A045FB" w:rsidRPr="0023316F" w:rsidRDefault="00362A8D" w:rsidP="00A045FB">
      <w:pPr>
        <w:pStyle w:val="Body"/>
        <w:widowControl w:val="0"/>
        <w:spacing w:line="480" w:lineRule="auto"/>
        <w:ind w:right="144" w:firstLine="720"/>
        <w:jc w:val="both"/>
        <w:rPr>
          <w:sz w:val="28"/>
          <w:szCs w:val="28"/>
        </w:rPr>
      </w:pPr>
      <w:r>
        <w:rPr>
          <w:sz w:val="28"/>
          <w:szCs w:val="28"/>
        </w:rPr>
        <w:t xml:space="preserve">  </w:t>
      </w:r>
      <w:r w:rsidR="006D2062">
        <w:rPr>
          <w:sz w:val="28"/>
          <w:szCs w:val="28"/>
        </w:rPr>
        <w:t xml:space="preserve">Likewise the proposed rule’s command regarding “other appropriate files” is so broad as to defy any meaningful definition.  Who is to determine what “other appropriate files” are?  Is it the court who is ensuring that the search was done?  Is it the prosecutor?  Is it the defense attorney?  Whoever is making that </w:t>
      </w:r>
      <w:r w:rsidR="006D2062">
        <w:rPr>
          <w:sz w:val="28"/>
          <w:szCs w:val="28"/>
        </w:rPr>
        <w:lastRenderedPageBreak/>
        <w:t>determination</w:t>
      </w:r>
      <w:r w:rsidR="00641AA4">
        <w:rPr>
          <w:sz w:val="28"/>
          <w:szCs w:val="28"/>
        </w:rPr>
        <w:t>,</w:t>
      </w:r>
      <w:r w:rsidR="006D2062">
        <w:rPr>
          <w:sz w:val="28"/>
          <w:szCs w:val="28"/>
        </w:rPr>
        <w:t xml:space="preserve"> what is the basis for their decision that a particular “file” is appropriate for searching in a given case?</w:t>
      </w:r>
      <w:r w:rsidR="00C469D1">
        <w:rPr>
          <w:sz w:val="28"/>
          <w:szCs w:val="28"/>
        </w:rPr>
        <w:t xml:space="preserve">  In sum, the rule proposes completely undefinable duties on the court and prosecutors.</w:t>
      </w:r>
    </w:p>
    <w:p w:rsidR="004B66BD" w:rsidRDefault="00C469D1" w:rsidP="00A045FB">
      <w:pPr>
        <w:pStyle w:val="Body"/>
        <w:widowControl w:val="0"/>
        <w:spacing w:line="480" w:lineRule="auto"/>
        <w:ind w:right="144" w:firstLine="720"/>
        <w:jc w:val="both"/>
        <w:rPr>
          <w:sz w:val="28"/>
          <w:szCs w:val="28"/>
        </w:rPr>
      </w:pPr>
      <w:r>
        <w:rPr>
          <w:sz w:val="28"/>
          <w:szCs w:val="28"/>
        </w:rPr>
        <w:t xml:space="preserve">The </w:t>
      </w:r>
      <w:r w:rsidR="006F0DA3">
        <w:rPr>
          <w:sz w:val="28"/>
          <w:szCs w:val="28"/>
        </w:rPr>
        <w:t xml:space="preserve">proposed </w:t>
      </w:r>
      <w:r>
        <w:rPr>
          <w:sz w:val="28"/>
          <w:szCs w:val="28"/>
        </w:rPr>
        <w:t xml:space="preserve">rule is also unclear as to </w:t>
      </w:r>
      <w:r w:rsidRPr="00686304">
        <w:rPr>
          <w:i/>
          <w:sz w:val="28"/>
          <w:szCs w:val="28"/>
        </w:rPr>
        <w:t>who</w:t>
      </w:r>
      <w:r>
        <w:rPr>
          <w:sz w:val="28"/>
          <w:szCs w:val="28"/>
        </w:rPr>
        <w:t xml:space="preserve"> is required to do the search.  </w:t>
      </w:r>
      <w:r w:rsidR="006F0DA3">
        <w:rPr>
          <w:sz w:val="28"/>
          <w:szCs w:val="28"/>
        </w:rPr>
        <w:t>It</w:t>
      </w:r>
      <w:r>
        <w:rPr>
          <w:sz w:val="28"/>
          <w:szCs w:val="28"/>
        </w:rPr>
        <w:t xml:space="preserve"> does not clarify if the searching must be done by the individual prosecutor handling the case or </w:t>
      </w:r>
      <w:r w:rsidR="00A75BB0">
        <w:rPr>
          <w:sz w:val="28"/>
          <w:szCs w:val="28"/>
        </w:rPr>
        <w:t xml:space="preserve">if it </w:t>
      </w:r>
      <w:r>
        <w:rPr>
          <w:sz w:val="28"/>
          <w:szCs w:val="28"/>
        </w:rPr>
        <w:t xml:space="preserve">must be done on behalf of the prosecutor’s office.  </w:t>
      </w:r>
      <w:r w:rsidR="00C13A15">
        <w:rPr>
          <w:sz w:val="28"/>
          <w:szCs w:val="28"/>
        </w:rPr>
        <w:t xml:space="preserve">While it is true that prosecutors have a duty to know of any material exculpatory </w:t>
      </w:r>
      <w:r w:rsidR="00641AA4">
        <w:rPr>
          <w:sz w:val="28"/>
          <w:szCs w:val="28"/>
        </w:rPr>
        <w:t xml:space="preserve">information </w:t>
      </w:r>
      <w:r w:rsidR="00C13A15">
        <w:rPr>
          <w:sz w:val="28"/>
          <w:szCs w:val="28"/>
        </w:rPr>
        <w:t xml:space="preserve">held by </w:t>
      </w:r>
      <w:r w:rsidR="00A75BB0">
        <w:rPr>
          <w:sz w:val="28"/>
          <w:szCs w:val="28"/>
        </w:rPr>
        <w:t xml:space="preserve">the </w:t>
      </w:r>
      <w:r w:rsidR="00C13A15">
        <w:rPr>
          <w:sz w:val="28"/>
          <w:szCs w:val="28"/>
        </w:rPr>
        <w:t xml:space="preserve">police and others working on the prosecutor’s behalf, that duty is not discharged by a prosecutor personally searching records.  Instead, prosecution offices all over Arizona (and the country) comply with their obligations in the only possible way – they work with their law enforcement partners to ensure that they understand their duty to present all relevant material to the prosecutor and, in individual cases, individual prosecutors work with specific officers to confirm that all information has been provided.  </w:t>
      </w:r>
      <w:r w:rsidR="004B66BD">
        <w:rPr>
          <w:sz w:val="28"/>
          <w:szCs w:val="28"/>
        </w:rPr>
        <w:t xml:space="preserve">Using these procedures is the only realistic way any prosecutor can ensure that they have all discoverable information.  </w:t>
      </w:r>
      <w:r w:rsidR="00C13A15">
        <w:rPr>
          <w:sz w:val="28"/>
          <w:szCs w:val="28"/>
        </w:rPr>
        <w:t>As proposed, the rule could be interpreted to require individual prosecutors to personally search police files or files of “other appropriate” agencies, which is a</w:t>
      </w:r>
      <w:r w:rsidR="009C2D7E">
        <w:rPr>
          <w:sz w:val="28"/>
          <w:szCs w:val="28"/>
        </w:rPr>
        <w:t xml:space="preserve"> completely</w:t>
      </w:r>
      <w:r w:rsidR="00C13A15">
        <w:rPr>
          <w:sz w:val="28"/>
          <w:szCs w:val="28"/>
        </w:rPr>
        <w:t xml:space="preserve"> unrealistic requirement.</w:t>
      </w:r>
    </w:p>
    <w:p w:rsidR="00A045FB" w:rsidRPr="00924EB2" w:rsidRDefault="004B66BD" w:rsidP="00A045FB">
      <w:pPr>
        <w:pStyle w:val="Body"/>
        <w:widowControl w:val="0"/>
        <w:spacing w:line="480" w:lineRule="auto"/>
        <w:ind w:right="144" w:firstLine="720"/>
        <w:jc w:val="both"/>
        <w:rPr>
          <w:sz w:val="28"/>
          <w:szCs w:val="28"/>
        </w:rPr>
      </w:pPr>
      <w:r>
        <w:rPr>
          <w:sz w:val="28"/>
          <w:szCs w:val="28"/>
        </w:rPr>
        <w:t xml:space="preserve">  </w:t>
      </w:r>
      <w:r w:rsidR="00A045FB" w:rsidRPr="0023316F">
        <w:rPr>
          <w:sz w:val="28"/>
          <w:szCs w:val="28"/>
        </w:rPr>
        <w:t xml:space="preserve">In addition to the </w:t>
      </w:r>
      <w:r w:rsidR="00A75BB0">
        <w:rPr>
          <w:sz w:val="28"/>
          <w:szCs w:val="28"/>
        </w:rPr>
        <w:t>implementation</w:t>
      </w:r>
      <w:r w:rsidR="00A75BB0" w:rsidRPr="0023316F">
        <w:rPr>
          <w:sz w:val="28"/>
          <w:szCs w:val="28"/>
        </w:rPr>
        <w:t xml:space="preserve"> </w:t>
      </w:r>
      <w:r w:rsidR="00A045FB" w:rsidRPr="0023316F">
        <w:rPr>
          <w:sz w:val="28"/>
          <w:szCs w:val="28"/>
        </w:rPr>
        <w:t>problem</w:t>
      </w:r>
      <w:r w:rsidR="00C13A15">
        <w:rPr>
          <w:sz w:val="28"/>
          <w:szCs w:val="28"/>
        </w:rPr>
        <w:t xml:space="preserve">s and litigation this vague rule would create, </w:t>
      </w:r>
      <w:r w:rsidR="00A045FB" w:rsidRPr="0023316F">
        <w:rPr>
          <w:sz w:val="28"/>
          <w:szCs w:val="28"/>
        </w:rPr>
        <w:t xml:space="preserve">the proposal </w:t>
      </w:r>
      <w:r w:rsidR="00C13A15">
        <w:rPr>
          <w:sz w:val="28"/>
          <w:szCs w:val="28"/>
        </w:rPr>
        <w:t xml:space="preserve">is also completely </w:t>
      </w:r>
      <w:r w:rsidR="00A045FB" w:rsidRPr="0023316F">
        <w:rPr>
          <w:sz w:val="28"/>
          <w:szCs w:val="28"/>
        </w:rPr>
        <w:t xml:space="preserve">unnecessary.  It seeks to add yet </w:t>
      </w:r>
      <w:r w:rsidR="00A045FB" w:rsidRPr="0023316F">
        <w:rPr>
          <w:sz w:val="28"/>
          <w:szCs w:val="28"/>
        </w:rPr>
        <w:lastRenderedPageBreak/>
        <w:t xml:space="preserve">another rule </w:t>
      </w:r>
      <w:r w:rsidR="00C13A15">
        <w:rPr>
          <w:sz w:val="28"/>
          <w:szCs w:val="28"/>
        </w:rPr>
        <w:t>(</w:t>
      </w:r>
      <w:r w:rsidR="009C2D7E">
        <w:rPr>
          <w:sz w:val="28"/>
          <w:szCs w:val="28"/>
        </w:rPr>
        <w:t>in addition to</w:t>
      </w:r>
      <w:r w:rsidR="00C13A15">
        <w:rPr>
          <w:sz w:val="28"/>
          <w:szCs w:val="28"/>
        </w:rPr>
        <w:t xml:space="preserve"> the three sources of </w:t>
      </w:r>
      <w:r w:rsidR="00641AA4">
        <w:rPr>
          <w:sz w:val="28"/>
          <w:szCs w:val="28"/>
        </w:rPr>
        <w:t>the discovery obligation</w:t>
      </w:r>
      <w:r w:rsidR="009C2D7E">
        <w:rPr>
          <w:sz w:val="28"/>
          <w:szCs w:val="28"/>
        </w:rPr>
        <w:t xml:space="preserve"> discussed above</w:t>
      </w:r>
      <w:r w:rsidR="00C13A15">
        <w:rPr>
          <w:sz w:val="28"/>
          <w:szCs w:val="28"/>
        </w:rPr>
        <w:t xml:space="preserve">) that requires a </w:t>
      </w:r>
      <w:r w:rsidR="00A045FB" w:rsidRPr="0023316F">
        <w:rPr>
          <w:sz w:val="28"/>
          <w:szCs w:val="28"/>
        </w:rPr>
        <w:t xml:space="preserve">court to </w:t>
      </w:r>
      <w:r w:rsidR="00C13A15">
        <w:rPr>
          <w:sz w:val="28"/>
          <w:szCs w:val="28"/>
        </w:rPr>
        <w:t xml:space="preserve">do something undefined to find out </w:t>
      </w:r>
      <w:r w:rsidR="00A045FB" w:rsidRPr="0023316F">
        <w:rPr>
          <w:sz w:val="28"/>
          <w:szCs w:val="28"/>
        </w:rPr>
        <w:t>if the prosecutor is following the rules</w:t>
      </w:r>
      <w:r w:rsidR="00C13A15">
        <w:rPr>
          <w:sz w:val="28"/>
          <w:szCs w:val="28"/>
        </w:rPr>
        <w:t xml:space="preserve">.  </w:t>
      </w:r>
      <w:r w:rsidR="00A75BB0">
        <w:rPr>
          <w:sz w:val="28"/>
          <w:szCs w:val="28"/>
        </w:rPr>
        <w:t xml:space="preserve">Enforcing compliance with the rules is already an obvious court function.  Nevertheless, </w:t>
      </w:r>
      <w:r w:rsidR="00C13A15">
        <w:rPr>
          <w:sz w:val="28"/>
          <w:szCs w:val="28"/>
        </w:rPr>
        <w:t xml:space="preserve">Petitioner asserts that this </w:t>
      </w:r>
      <w:r w:rsidR="00A75BB0">
        <w:rPr>
          <w:sz w:val="28"/>
          <w:szCs w:val="28"/>
        </w:rPr>
        <w:t xml:space="preserve">new rule </w:t>
      </w:r>
      <w:r w:rsidR="00C13A15">
        <w:rPr>
          <w:sz w:val="28"/>
          <w:szCs w:val="28"/>
        </w:rPr>
        <w:t xml:space="preserve">is necessary because, he claims, Arizona has a long history of </w:t>
      </w:r>
      <w:r w:rsidR="00C13A15">
        <w:rPr>
          <w:i/>
          <w:sz w:val="28"/>
          <w:szCs w:val="28"/>
        </w:rPr>
        <w:t>Brady</w:t>
      </w:r>
      <w:r w:rsidR="00C13A15">
        <w:rPr>
          <w:sz w:val="28"/>
          <w:szCs w:val="28"/>
        </w:rPr>
        <w:t xml:space="preserve"> violations.  [Petition at 2-3, 5-7].  In </w:t>
      </w:r>
      <w:r w:rsidR="00014215">
        <w:rPr>
          <w:sz w:val="28"/>
          <w:szCs w:val="28"/>
        </w:rPr>
        <w:t>an effort to support this claim, Petitioner cites fourteen</w:t>
      </w:r>
      <w:r w:rsidR="00641AA4">
        <w:rPr>
          <w:rStyle w:val="FootnoteReference"/>
          <w:sz w:val="28"/>
          <w:szCs w:val="28"/>
        </w:rPr>
        <w:footnoteReference w:id="1"/>
      </w:r>
      <w:r w:rsidR="00014215">
        <w:rPr>
          <w:sz w:val="28"/>
          <w:szCs w:val="28"/>
        </w:rPr>
        <w:t xml:space="preserve"> cases that he claims is a “representative” sample illustrating the problem.  [Petition at 3, fn3].  </w:t>
      </w:r>
      <w:r w:rsidR="00D87918">
        <w:rPr>
          <w:sz w:val="28"/>
          <w:szCs w:val="28"/>
        </w:rPr>
        <w:t xml:space="preserve">Petitioner’s cases </w:t>
      </w:r>
      <w:r w:rsidR="005D0F60">
        <w:rPr>
          <w:sz w:val="28"/>
          <w:szCs w:val="28"/>
        </w:rPr>
        <w:t xml:space="preserve">actually </w:t>
      </w:r>
      <w:r w:rsidR="00D87918">
        <w:rPr>
          <w:sz w:val="28"/>
          <w:szCs w:val="28"/>
        </w:rPr>
        <w:t xml:space="preserve">prove that there is </w:t>
      </w:r>
      <w:r w:rsidR="00D87918" w:rsidRPr="005D0F60">
        <w:rPr>
          <w:sz w:val="28"/>
          <w:szCs w:val="28"/>
          <w:u w:val="single"/>
        </w:rPr>
        <w:t>no</w:t>
      </w:r>
      <w:r w:rsidR="00D87918">
        <w:rPr>
          <w:sz w:val="28"/>
          <w:szCs w:val="28"/>
        </w:rPr>
        <w:t xml:space="preserve"> widespread </w:t>
      </w:r>
      <w:r w:rsidR="00D87918">
        <w:rPr>
          <w:i/>
          <w:sz w:val="28"/>
          <w:szCs w:val="28"/>
        </w:rPr>
        <w:t>Brady</w:t>
      </w:r>
      <w:r w:rsidR="00D87918">
        <w:rPr>
          <w:sz w:val="28"/>
          <w:szCs w:val="28"/>
        </w:rPr>
        <w:t xml:space="preserve"> problem </w:t>
      </w:r>
      <w:r w:rsidR="005D0F60">
        <w:rPr>
          <w:sz w:val="28"/>
          <w:szCs w:val="28"/>
        </w:rPr>
        <w:t xml:space="preserve">in Arizona </w:t>
      </w:r>
      <w:r w:rsidR="00D87918">
        <w:rPr>
          <w:sz w:val="28"/>
          <w:szCs w:val="28"/>
        </w:rPr>
        <w:t xml:space="preserve">that needs to be corrected.  A close review of the cases presented shows that, apart from five trials that were conducted before </w:t>
      </w:r>
      <w:r w:rsidR="00D87918">
        <w:rPr>
          <w:i/>
          <w:sz w:val="28"/>
          <w:szCs w:val="28"/>
        </w:rPr>
        <w:t>Kyles</w:t>
      </w:r>
      <w:r w:rsidR="00D87918">
        <w:rPr>
          <w:sz w:val="28"/>
          <w:szCs w:val="28"/>
        </w:rPr>
        <w:t xml:space="preserve"> was decided, there is not a single case on the list where material exculpatory evidence was withheld from the defense.  Considering the thousands of cases in Arizona that have been tried and resulted in convictions since </w:t>
      </w:r>
      <w:r w:rsidR="00D87918">
        <w:rPr>
          <w:i/>
          <w:sz w:val="28"/>
          <w:szCs w:val="28"/>
        </w:rPr>
        <w:t>Brady</w:t>
      </w:r>
      <w:r w:rsidR="00D87918">
        <w:t xml:space="preserve"> </w:t>
      </w:r>
      <w:r w:rsidR="00D87918" w:rsidRPr="00686304">
        <w:rPr>
          <w:sz w:val="28"/>
          <w:szCs w:val="28"/>
        </w:rPr>
        <w:t>was decided in 1963, the fact that Petitioner’s “representative” list</w:t>
      </w:r>
      <w:r w:rsidR="00D87918">
        <w:t xml:space="preserve"> </w:t>
      </w:r>
      <w:r w:rsidR="00A75BB0" w:rsidRPr="00924EB2">
        <w:rPr>
          <w:sz w:val="28"/>
          <w:szCs w:val="28"/>
        </w:rPr>
        <w:t>only</w:t>
      </w:r>
      <w:r w:rsidR="00A75BB0">
        <w:rPr>
          <w:sz w:val="28"/>
          <w:szCs w:val="28"/>
        </w:rPr>
        <w:t xml:space="preserve"> </w:t>
      </w:r>
      <w:r w:rsidR="00D87918">
        <w:t>inc</w:t>
      </w:r>
      <w:r w:rsidR="00D87918" w:rsidRPr="00924EB2">
        <w:rPr>
          <w:sz w:val="28"/>
          <w:szCs w:val="28"/>
        </w:rPr>
        <w:t xml:space="preserve">ludes  five cases of reversible error – and those all pre-date </w:t>
      </w:r>
      <w:r w:rsidR="00D87918" w:rsidRPr="00924EB2">
        <w:rPr>
          <w:i/>
          <w:sz w:val="28"/>
          <w:szCs w:val="28"/>
        </w:rPr>
        <w:t>Kyles</w:t>
      </w:r>
      <w:r w:rsidR="00D87918" w:rsidRPr="00924EB2">
        <w:rPr>
          <w:sz w:val="28"/>
          <w:szCs w:val="28"/>
        </w:rPr>
        <w:t xml:space="preserve"> </w:t>
      </w:r>
      <w:r w:rsidR="00924EB2" w:rsidRPr="00924EB2">
        <w:rPr>
          <w:sz w:val="28"/>
          <w:szCs w:val="28"/>
        </w:rPr>
        <w:t>–</w:t>
      </w:r>
      <w:r w:rsidR="00D87918" w:rsidRPr="00924EB2">
        <w:rPr>
          <w:sz w:val="28"/>
          <w:szCs w:val="28"/>
        </w:rPr>
        <w:t xml:space="preserve"> </w:t>
      </w:r>
      <w:r w:rsidR="00924EB2" w:rsidRPr="00924EB2">
        <w:rPr>
          <w:sz w:val="28"/>
          <w:szCs w:val="28"/>
        </w:rPr>
        <w:t xml:space="preserve">indicates that Arizona police and prosecutors </w:t>
      </w:r>
      <w:r w:rsidR="00924EB2" w:rsidRPr="00686304">
        <w:rPr>
          <w:sz w:val="28"/>
          <w:szCs w:val="28"/>
          <w:u w:val="single"/>
        </w:rPr>
        <w:t>are</w:t>
      </w:r>
      <w:r w:rsidR="00924EB2" w:rsidRPr="00924EB2">
        <w:rPr>
          <w:sz w:val="28"/>
          <w:szCs w:val="28"/>
        </w:rPr>
        <w:t xml:space="preserve"> complying with their </w:t>
      </w:r>
      <w:r w:rsidR="00924EB2" w:rsidRPr="00924EB2">
        <w:rPr>
          <w:i/>
          <w:sz w:val="28"/>
          <w:szCs w:val="28"/>
        </w:rPr>
        <w:t>Brady</w:t>
      </w:r>
      <w:r w:rsidR="00924EB2" w:rsidRPr="00924EB2">
        <w:rPr>
          <w:sz w:val="28"/>
          <w:szCs w:val="28"/>
        </w:rPr>
        <w:t xml:space="preserve"> obligations</w:t>
      </w:r>
      <w:r w:rsidR="00A75BB0">
        <w:rPr>
          <w:sz w:val="28"/>
          <w:szCs w:val="28"/>
        </w:rPr>
        <w:t>.</w:t>
      </w:r>
      <w:r w:rsidR="005D0F60">
        <w:rPr>
          <w:sz w:val="28"/>
          <w:szCs w:val="28"/>
        </w:rPr>
        <w:t xml:space="preserve"> </w:t>
      </w:r>
      <w:r w:rsidR="009C2D7E">
        <w:rPr>
          <w:sz w:val="28"/>
          <w:szCs w:val="28"/>
        </w:rPr>
        <w:t xml:space="preserve"> </w:t>
      </w:r>
      <w:r w:rsidR="00924EB2" w:rsidRPr="00924EB2">
        <w:rPr>
          <w:sz w:val="28"/>
          <w:szCs w:val="28"/>
        </w:rPr>
        <w:t xml:space="preserve">Furthermore, Petitioner does not explain (and in reviewing the cited cases it is difficult to imagine) how the proposed rule change would have had any impact </w:t>
      </w:r>
      <w:r w:rsidR="00924EB2">
        <w:rPr>
          <w:sz w:val="28"/>
          <w:szCs w:val="28"/>
        </w:rPr>
        <w:t>on any of the errors that</w:t>
      </w:r>
      <w:r w:rsidR="00924EB2" w:rsidRPr="00924EB2">
        <w:rPr>
          <w:sz w:val="28"/>
          <w:szCs w:val="28"/>
        </w:rPr>
        <w:t xml:space="preserve"> </w:t>
      </w:r>
      <w:r w:rsidR="00924EB2" w:rsidRPr="00924EB2">
        <w:rPr>
          <w:sz w:val="28"/>
          <w:szCs w:val="28"/>
        </w:rPr>
        <w:lastRenderedPageBreak/>
        <w:t xml:space="preserve">occurred.  In his proposed Comment to the new rule, Petitioner cites </w:t>
      </w:r>
      <w:r w:rsidR="00924EB2" w:rsidRPr="00924EB2">
        <w:rPr>
          <w:i/>
          <w:sz w:val="28"/>
          <w:szCs w:val="28"/>
        </w:rPr>
        <w:t>Kyles</w:t>
      </w:r>
      <w:r w:rsidR="00924EB2" w:rsidRPr="00924EB2">
        <w:rPr>
          <w:sz w:val="28"/>
          <w:szCs w:val="28"/>
        </w:rPr>
        <w:t xml:space="preserve"> as the </w:t>
      </w:r>
      <w:r w:rsidR="005D0F60">
        <w:rPr>
          <w:sz w:val="28"/>
          <w:szCs w:val="28"/>
        </w:rPr>
        <w:t>support</w:t>
      </w:r>
      <w:r w:rsidR="00924EB2" w:rsidRPr="00924EB2">
        <w:rPr>
          <w:sz w:val="28"/>
          <w:szCs w:val="28"/>
        </w:rPr>
        <w:t xml:space="preserve"> for this rule.  </w:t>
      </w:r>
      <w:r w:rsidR="00924EB2" w:rsidRPr="00924EB2">
        <w:rPr>
          <w:i/>
          <w:sz w:val="28"/>
          <w:szCs w:val="28"/>
        </w:rPr>
        <w:t xml:space="preserve">Kyles </w:t>
      </w:r>
      <w:r w:rsidR="00924EB2" w:rsidRPr="00924EB2">
        <w:rPr>
          <w:sz w:val="28"/>
          <w:szCs w:val="28"/>
        </w:rPr>
        <w:t xml:space="preserve">is more than twenty years old at this point and it contains nothing new to support this unnecessary rule change in an already clearly established area of law.  The proposed rule is a </w:t>
      </w:r>
      <w:r w:rsidR="00924EB2">
        <w:rPr>
          <w:sz w:val="28"/>
          <w:szCs w:val="28"/>
        </w:rPr>
        <w:t xml:space="preserve">poor </w:t>
      </w:r>
      <w:r w:rsidR="00924EB2" w:rsidRPr="00924EB2">
        <w:rPr>
          <w:sz w:val="28"/>
          <w:szCs w:val="28"/>
        </w:rPr>
        <w:t>solution in search of a problem.</w:t>
      </w:r>
    </w:p>
    <w:p w:rsidR="00526087" w:rsidRPr="00104F4E" w:rsidRDefault="00526087" w:rsidP="00526087">
      <w:pPr>
        <w:pStyle w:val="Body"/>
        <w:widowControl w:val="0"/>
        <w:spacing w:line="480" w:lineRule="auto"/>
        <w:ind w:firstLine="720"/>
        <w:jc w:val="both"/>
        <w:rPr>
          <w:b/>
          <w:sz w:val="28"/>
          <w:szCs w:val="28"/>
        </w:rPr>
      </w:pPr>
      <w:r w:rsidRPr="00104F4E">
        <w:rPr>
          <w:b/>
          <w:sz w:val="28"/>
          <w:szCs w:val="28"/>
        </w:rPr>
        <w:t>III.</w:t>
      </w:r>
      <w:r w:rsidRPr="00104F4E">
        <w:rPr>
          <w:b/>
          <w:sz w:val="28"/>
          <w:szCs w:val="28"/>
        </w:rPr>
        <w:tab/>
        <w:t>CONCLUSION</w:t>
      </w:r>
    </w:p>
    <w:p w:rsidR="00526087" w:rsidRPr="00CF58A1" w:rsidRDefault="00A045FB" w:rsidP="00E10319">
      <w:pPr>
        <w:pStyle w:val="Body"/>
        <w:widowControl w:val="0"/>
        <w:spacing w:line="480" w:lineRule="auto"/>
        <w:ind w:right="144" w:firstLine="720"/>
        <w:jc w:val="both"/>
        <w:rPr>
          <w:sz w:val="28"/>
          <w:szCs w:val="28"/>
        </w:rPr>
      </w:pPr>
      <w:r>
        <w:rPr>
          <w:sz w:val="28"/>
          <w:szCs w:val="28"/>
        </w:rPr>
        <w:t xml:space="preserve">The Arizona Prosecuting Attorneys’ Advisory Council respectfully requests that the Arizona Supreme Court </w:t>
      </w:r>
      <w:r w:rsidR="00E10319">
        <w:rPr>
          <w:sz w:val="28"/>
          <w:szCs w:val="28"/>
        </w:rPr>
        <w:t xml:space="preserve">deny the Petition to </w:t>
      </w:r>
      <w:r>
        <w:rPr>
          <w:sz w:val="28"/>
          <w:szCs w:val="28"/>
        </w:rPr>
        <w:t>adopt the amendment to Rule 16.4 as requested in petition R-15-0038.  Current criminal disclosure laws are very clear</w:t>
      </w:r>
      <w:r w:rsidR="00E10319">
        <w:rPr>
          <w:sz w:val="28"/>
          <w:szCs w:val="28"/>
        </w:rPr>
        <w:t xml:space="preserve"> and well established</w:t>
      </w:r>
      <w:r>
        <w:rPr>
          <w:sz w:val="28"/>
          <w:szCs w:val="28"/>
        </w:rPr>
        <w:t xml:space="preserve">.  </w:t>
      </w:r>
      <w:r w:rsidR="00E10319">
        <w:rPr>
          <w:sz w:val="28"/>
          <w:szCs w:val="28"/>
        </w:rPr>
        <w:t>Prosecution offices and police agencies already have p</w:t>
      </w:r>
      <w:r>
        <w:rPr>
          <w:sz w:val="28"/>
          <w:szCs w:val="28"/>
        </w:rPr>
        <w:t xml:space="preserve">rocedures firmly in place </w:t>
      </w:r>
      <w:r w:rsidR="00E10319">
        <w:rPr>
          <w:sz w:val="28"/>
          <w:szCs w:val="28"/>
        </w:rPr>
        <w:t>to</w:t>
      </w:r>
      <w:r>
        <w:rPr>
          <w:sz w:val="28"/>
          <w:szCs w:val="28"/>
        </w:rPr>
        <w:t xml:space="preserve"> ensur</w:t>
      </w:r>
      <w:r w:rsidR="00E10319">
        <w:rPr>
          <w:sz w:val="28"/>
          <w:szCs w:val="28"/>
        </w:rPr>
        <w:t xml:space="preserve">e </w:t>
      </w:r>
      <w:r>
        <w:rPr>
          <w:sz w:val="28"/>
          <w:szCs w:val="28"/>
        </w:rPr>
        <w:t xml:space="preserve">that prosecutors comply with their </w:t>
      </w:r>
      <w:r w:rsidRPr="00DF6163">
        <w:rPr>
          <w:i/>
          <w:sz w:val="28"/>
          <w:szCs w:val="28"/>
        </w:rPr>
        <w:t>Brady</w:t>
      </w:r>
      <w:r>
        <w:rPr>
          <w:sz w:val="28"/>
          <w:szCs w:val="28"/>
        </w:rPr>
        <w:t xml:space="preserve"> and Rule 15.1 obligations.  In addition to </w:t>
      </w:r>
      <w:r w:rsidR="005D0F60">
        <w:rPr>
          <w:sz w:val="28"/>
          <w:szCs w:val="28"/>
        </w:rPr>
        <w:t xml:space="preserve">being </w:t>
      </w:r>
      <w:r w:rsidR="00E10319">
        <w:rPr>
          <w:sz w:val="28"/>
          <w:szCs w:val="28"/>
        </w:rPr>
        <w:t>unclear and poorly defined</w:t>
      </w:r>
      <w:r>
        <w:rPr>
          <w:sz w:val="28"/>
          <w:szCs w:val="28"/>
        </w:rPr>
        <w:t xml:space="preserve">, the </w:t>
      </w:r>
      <w:r w:rsidR="00E10319">
        <w:rPr>
          <w:sz w:val="28"/>
          <w:szCs w:val="28"/>
        </w:rPr>
        <w:t xml:space="preserve">proposed rule </w:t>
      </w:r>
      <w:r>
        <w:rPr>
          <w:sz w:val="28"/>
          <w:szCs w:val="28"/>
        </w:rPr>
        <w:t xml:space="preserve">is unnecessary, </w:t>
      </w:r>
      <w:r w:rsidR="00E10319">
        <w:rPr>
          <w:sz w:val="28"/>
          <w:szCs w:val="28"/>
        </w:rPr>
        <w:t xml:space="preserve">and it imposes a </w:t>
      </w:r>
      <w:r>
        <w:rPr>
          <w:sz w:val="28"/>
          <w:szCs w:val="28"/>
        </w:rPr>
        <w:t xml:space="preserve">new requirement on the courts for something that is already </w:t>
      </w:r>
      <w:r w:rsidR="00E10319">
        <w:rPr>
          <w:sz w:val="28"/>
          <w:szCs w:val="28"/>
        </w:rPr>
        <w:t xml:space="preserve">well covered </w:t>
      </w:r>
      <w:r>
        <w:rPr>
          <w:sz w:val="28"/>
          <w:szCs w:val="28"/>
        </w:rPr>
        <w:t xml:space="preserve">in the rules.  </w:t>
      </w:r>
    </w:p>
    <w:p w:rsidR="00463C28" w:rsidRDefault="00463C28" w:rsidP="00463C28">
      <w:pPr>
        <w:tabs>
          <w:tab w:val="left" w:pos="720"/>
          <w:tab w:val="left" w:pos="4836"/>
        </w:tabs>
        <w:spacing w:line="240" w:lineRule="auto"/>
        <w:ind w:right="180"/>
        <w:rPr>
          <w:sz w:val="28"/>
          <w:szCs w:val="28"/>
        </w:rPr>
      </w:pPr>
      <w:r>
        <w:rPr>
          <w:szCs w:val="26"/>
        </w:rPr>
        <w:t xml:space="preserve">       </w:t>
      </w:r>
      <w:r>
        <w:rPr>
          <w:sz w:val="28"/>
          <w:szCs w:val="28"/>
        </w:rPr>
        <w:tab/>
        <w:t>RESPECTFULLY SUBMITTED this 11</w:t>
      </w:r>
      <w:r>
        <w:rPr>
          <w:sz w:val="28"/>
          <w:szCs w:val="28"/>
          <w:vertAlign w:val="superscript"/>
        </w:rPr>
        <w:t>th</w:t>
      </w:r>
      <w:r>
        <w:rPr>
          <w:sz w:val="28"/>
          <w:szCs w:val="28"/>
        </w:rPr>
        <w:t xml:space="preserve"> day of May, 2016.</w:t>
      </w:r>
    </w:p>
    <w:p w:rsidR="00463C28" w:rsidRDefault="00463C28" w:rsidP="00463C28">
      <w:pPr>
        <w:pStyle w:val="Body"/>
        <w:widowControl w:val="0"/>
        <w:tabs>
          <w:tab w:val="left" w:pos="720"/>
        </w:tabs>
        <w:ind w:right="144" w:firstLine="0"/>
        <w:rPr>
          <w:sz w:val="28"/>
          <w:szCs w:val="28"/>
        </w:rPr>
      </w:pPr>
    </w:p>
    <w:p w:rsidR="00463C28" w:rsidRDefault="00463C28" w:rsidP="00463C28">
      <w:pPr>
        <w:pStyle w:val="Body"/>
        <w:widowControl w:val="0"/>
        <w:tabs>
          <w:tab w:val="left" w:pos="720"/>
        </w:tabs>
        <w:spacing w:line="240" w:lineRule="auto"/>
        <w:ind w:right="144"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u w:val="single"/>
        </w:rPr>
        <w:t xml:space="preserve">/s/  </w:t>
      </w:r>
      <w:r>
        <w:rPr>
          <w:rFonts w:ascii="Lucida Handwriting" w:hAnsi="Lucida Handwriting"/>
          <w:sz w:val="32"/>
          <w:szCs w:val="28"/>
          <w:u w:val="single"/>
        </w:rPr>
        <w:t>Elizabeth Ortiz</w:t>
      </w:r>
      <w:r>
        <w:rPr>
          <w:rFonts w:ascii="Lucida Handwriting" w:hAnsi="Lucida Handwriting"/>
          <w:sz w:val="32"/>
          <w:szCs w:val="28"/>
          <w:u w:val="single"/>
        </w:rPr>
        <w:tab/>
      </w:r>
      <w:r>
        <w:rPr>
          <w:rFonts w:ascii="Lucida Handwriting" w:hAnsi="Lucida Handwriting"/>
          <w:sz w:val="32"/>
          <w:szCs w:val="28"/>
          <w:u w:val="single"/>
        </w:rPr>
        <w:tab/>
        <w:t xml:space="preserve">          .</w:t>
      </w:r>
    </w:p>
    <w:p w:rsidR="00463C28" w:rsidRDefault="00463C28" w:rsidP="00463C28">
      <w:pPr>
        <w:pStyle w:val="Body"/>
        <w:widowControl w:val="0"/>
        <w:tabs>
          <w:tab w:val="left" w:pos="720"/>
        </w:tabs>
        <w:spacing w:line="240" w:lineRule="auto"/>
        <w:ind w:right="144" w:firstLine="0"/>
        <w:rPr>
          <w:sz w:val="28"/>
          <w:szCs w:val="28"/>
        </w:rPr>
      </w:pPr>
      <w:r>
        <w:rPr>
          <w:sz w:val="28"/>
          <w:szCs w:val="28"/>
        </w:rPr>
        <w:tab/>
      </w:r>
      <w:r>
        <w:rPr>
          <w:sz w:val="28"/>
          <w:szCs w:val="28"/>
        </w:rPr>
        <w:tab/>
      </w:r>
      <w:r>
        <w:rPr>
          <w:sz w:val="28"/>
          <w:szCs w:val="28"/>
        </w:rPr>
        <w:tab/>
      </w:r>
      <w:r>
        <w:rPr>
          <w:sz w:val="28"/>
          <w:szCs w:val="28"/>
        </w:rPr>
        <w:tab/>
      </w:r>
      <w:r>
        <w:rPr>
          <w:sz w:val="28"/>
          <w:szCs w:val="28"/>
        </w:rPr>
        <w:tab/>
        <w:t>Elizabeth Ortiz, #012838</w:t>
      </w:r>
    </w:p>
    <w:p w:rsidR="00463C28" w:rsidRDefault="00463C28" w:rsidP="00463C28">
      <w:pPr>
        <w:pStyle w:val="PleadingSignature"/>
        <w:keepNext w:val="0"/>
        <w:keepLines w:val="0"/>
        <w:spacing w:line="240" w:lineRule="auto"/>
        <w:ind w:left="2880" w:firstLine="720"/>
        <w:rPr>
          <w:sz w:val="28"/>
          <w:szCs w:val="28"/>
        </w:rPr>
      </w:pPr>
      <w:r>
        <w:rPr>
          <w:sz w:val="28"/>
          <w:szCs w:val="28"/>
        </w:rPr>
        <w:t>Executive Director</w:t>
      </w:r>
    </w:p>
    <w:p w:rsidR="00463C28" w:rsidRDefault="00463C28" w:rsidP="00463C28">
      <w:pPr>
        <w:pStyle w:val="PleadingSignature"/>
        <w:keepNext w:val="0"/>
        <w:keepLines w:val="0"/>
        <w:spacing w:line="240" w:lineRule="auto"/>
        <w:ind w:left="2880" w:firstLine="720"/>
        <w:rPr>
          <w:sz w:val="28"/>
          <w:szCs w:val="28"/>
        </w:rPr>
      </w:pPr>
      <w:r>
        <w:rPr>
          <w:sz w:val="28"/>
          <w:szCs w:val="28"/>
        </w:rPr>
        <w:t>Arizona Prosecuting Attorneys’ Advisory Council</w:t>
      </w:r>
    </w:p>
    <w:p w:rsidR="00463C28" w:rsidRDefault="00463C28" w:rsidP="00463C28">
      <w:pPr>
        <w:pStyle w:val="PleadingSignature"/>
        <w:keepNext w:val="0"/>
        <w:keepLines w:val="0"/>
        <w:spacing w:line="240" w:lineRule="auto"/>
        <w:rPr>
          <w:szCs w:val="26"/>
        </w:rPr>
      </w:pPr>
      <w:bookmarkStart w:id="2" w:name="_GoBack"/>
      <w:bookmarkEnd w:id="2"/>
    </w:p>
    <w:p w:rsidR="00463C28" w:rsidRDefault="00463C28" w:rsidP="00463C28">
      <w:pPr>
        <w:pStyle w:val="PleadingSignature"/>
        <w:keepNext w:val="0"/>
        <w:keepLines w:val="0"/>
        <w:spacing w:line="240" w:lineRule="auto"/>
        <w:rPr>
          <w:sz w:val="18"/>
          <w:szCs w:val="26"/>
        </w:rPr>
      </w:pPr>
    </w:p>
    <w:p w:rsidR="00463C28" w:rsidRDefault="00463C28" w:rsidP="00463C28">
      <w:pPr>
        <w:widowControl w:val="0"/>
        <w:spacing w:line="240" w:lineRule="auto"/>
        <w:ind w:right="4140"/>
        <w:rPr>
          <w:sz w:val="28"/>
          <w:szCs w:val="28"/>
        </w:rPr>
      </w:pPr>
      <w:r>
        <w:rPr>
          <w:sz w:val="28"/>
          <w:szCs w:val="28"/>
        </w:rPr>
        <w:t>Electronic copy filed with the</w:t>
      </w:r>
    </w:p>
    <w:p w:rsidR="00463C28" w:rsidRDefault="00463C28" w:rsidP="00463C28">
      <w:pPr>
        <w:spacing w:line="240" w:lineRule="auto"/>
        <w:ind w:right="4140"/>
        <w:rPr>
          <w:sz w:val="28"/>
          <w:szCs w:val="28"/>
        </w:rPr>
      </w:pPr>
      <w:r>
        <w:rPr>
          <w:sz w:val="28"/>
          <w:szCs w:val="28"/>
        </w:rPr>
        <w:t>Clerk of the Arizona Supreme Court</w:t>
      </w:r>
    </w:p>
    <w:p w:rsidR="00463C28" w:rsidRDefault="00463C28" w:rsidP="00463C28">
      <w:pPr>
        <w:tabs>
          <w:tab w:val="left" w:pos="4836"/>
        </w:tabs>
        <w:spacing w:line="240" w:lineRule="auto"/>
        <w:ind w:right="3870"/>
        <w:rPr>
          <w:sz w:val="28"/>
          <w:szCs w:val="28"/>
        </w:rPr>
      </w:pPr>
      <w:r>
        <w:rPr>
          <w:sz w:val="28"/>
          <w:szCs w:val="28"/>
        </w:rPr>
        <w:lastRenderedPageBreak/>
        <w:t>this 11</w:t>
      </w:r>
      <w:r>
        <w:rPr>
          <w:sz w:val="28"/>
          <w:szCs w:val="28"/>
          <w:vertAlign w:val="superscript"/>
        </w:rPr>
        <w:t>th</w:t>
      </w:r>
      <w:r>
        <w:rPr>
          <w:sz w:val="28"/>
          <w:szCs w:val="28"/>
        </w:rPr>
        <w:t xml:space="preserve"> day of May, 2016.</w:t>
      </w:r>
    </w:p>
    <w:p w:rsidR="00463C28" w:rsidRDefault="00463C28" w:rsidP="00463C28">
      <w:pPr>
        <w:spacing w:line="240" w:lineRule="auto"/>
        <w:ind w:right="4572"/>
        <w:rPr>
          <w:sz w:val="28"/>
          <w:szCs w:val="28"/>
        </w:rPr>
      </w:pPr>
    </w:p>
    <w:p w:rsidR="00463C28" w:rsidRDefault="00463C28" w:rsidP="00463C28">
      <w:pPr>
        <w:spacing w:line="240" w:lineRule="auto"/>
        <w:ind w:right="4572"/>
        <w:rPr>
          <w:strike/>
          <w:sz w:val="26"/>
          <w:szCs w:val="26"/>
        </w:rPr>
      </w:pPr>
      <w:r>
        <w:rPr>
          <w:sz w:val="28"/>
          <w:szCs w:val="28"/>
        </w:rPr>
        <w:t xml:space="preserve">by: </w:t>
      </w:r>
      <w:r>
        <w:rPr>
          <w:rFonts w:ascii="Lucida Handwriting" w:hAnsi="Lucida Handwriting"/>
          <w:sz w:val="32"/>
          <w:szCs w:val="28"/>
          <w:u w:val="single"/>
        </w:rPr>
        <w:t xml:space="preserve"> </w:t>
      </w:r>
      <w:r>
        <w:rPr>
          <w:sz w:val="28"/>
          <w:szCs w:val="28"/>
          <w:u w:val="single"/>
        </w:rPr>
        <w:t>/s/</w:t>
      </w:r>
      <w:r>
        <w:rPr>
          <w:rFonts w:ascii="Lucida Handwriting" w:hAnsi="Lucida Handwriting"/>
          <w:sz w:val="28"/>
          <w:szCs w:val="28"/>
          <w:u w:val="single"/>
        </w:rPr>
        <w:t xml:space="preserve">   Diana Cooney</w:t>
      </w:r>
      <w:r>
        <w:rPr>
          <w:rFonts w:ascii="Lucida Handwriting" w:hAnsi="Lucida Handwriting"/>
          <w:sz w:val="32"/>
          <w:szCs w:val="28"/>
          <w:u w:val="single"/>
        </w:rPr>
        <w:tab/>
      </w:r>
      <w:r>
        <w:rPr>
          <w:rFonts w:ascii="Lucida Handwriting" w:hAnsi="Lucida Handwriting"/>
          <w:sz w:val="32"/>
          <w:szCs w:val="28"/>
          <w:u w:val="single"/>
        </w:rPr>
        <w:tab/>
        <w:t xml:space="preserve">          </w:t>
      </w: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10"/>
      <w:footerReference w:type="even" r:id="rId11"/>
      <w:footerReference w:type="default" r:id="rId12"/>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361" w:rsidRDefault="003A3361">
      <w:r>
        <w:separator/>
      </w:r>
    </w:p>
  </w:endnote>
  <w:endnote w:type="continuationSeparator" w:id="0">
    <w:p w:rsidR="003A3361" w:rsidRDefault="003A3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463C28">
          <w:rPr>
            <w:noProof/>
            <w:sz w:val="26"/>
            <w:szCs w:val="26"/>
          </w:rPr>
          <w:t>9</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361" w:rsidRDefault="003A3361">
      <w:r>
        <w:separator/>
      </w:r>
    </w:p>
  </w:footnote>
  <w:footnote w:type="continuationSeparator" w:id="0">
    <w:p w:rsidR="003A3361" w:rsidRDefault="003A3361">
      <w:r>
        <w:continuationSeparator/>
      </w:r>
    </w:p>
  </w:footnote>
  <w:footnote w:id="1">
    <w:p w:rsidR="00641AA4" w:rsidRPr="00641AA4" w:rsidRDefault="00641AA4">
      <w:pPr>
        <w:pStyle w:val="FootnoteText"/>
        <w:rPr>
          <w:sz w:val="28"/>
          <w:szCs w:val="28"/>
        </w:rPr>
      </w:pPr>
      <w:r w:rsidRPr="00641AA4">
        <w:rPr>
          <w:rStyle w:val="FootnoteReference"/>
          <w:sz w:val="28"/>
          <w:szCs w:val="28"/>
        </w:rPr>
        <w:footnoteRef/>
      </w:r>
      <w:r w:rsidRPr="00641AA4">
        <w:rPr>
          <w:sz w:val="28"/>
          <w:szCs w:val="28"/>
        </w:rPr>
        <w:t xml:space="preserve"> </w:t>
      </w:r>
      <w:r>
        <w:rPr>
          <w:sz w:val="28"/>
          <w:szCs w:val="28"/>
        </w:rPr>
        <w:t xml:space="preserve">  There are fifteen cases cited in the Petition, but two of them are co-defendants presenting the same factual claims.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2D4B80"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05BF68"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423484"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036D17"/>
    <w:multiLevelType w:val="hybridMultilevel"/>
    <w:tmpl w:val="3D40430E"/>
    <w:lvl w:ilvl="0" w:tplc="ED709C2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0"/>
  </w:num>
  <w:num w:numId="4">
    <w:abstractNumId w:val="5"/>
  </w:num>
  <w:num w:numId="5">
    <w:abstractNumId w:val="7"/>
  </w:num>
  <w:num w:numId="6">
    <w:abstractNumId w:val="8"/>
  </w:num>
  <w:num w:numId="7">
    <w:abstractNumId w:val="1"/>
  </w:num>
  <w:num w:numId="8">
    <w:abstractNumId w:val="14"/>
  </w:num>
  <w:num w:numId="9">
    <w:abstractNumId w:val="9"/>
  </w:num>
  <w:num w:numId="10">
    <w:abstractNumId w:val="11"/>
  </w:num>
  <w:num w:numId="11">
    <w:abstractNumId w:val="10"/>
  </w:num>
  <w:num w:numId="12">
    <w:abstractNumId w:val="6"/>
  </w:num>
  <w:num w:numId="13">
    <w:abstractNumId w:val="2"/>
  </w:num>
  <w:num w:numId="14">
    <w:abstractNumId w:val="4"/>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Belatti">
    <w15:presenceInfo w15:providerId="AD" w15:userId="S-1-5-21-1634484427-1029912340-8547516-586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14215"/>
    <w:rsid w:val="000410B3"/>
    <w:rsid w:val="00043D4D"/>
    <w:rsid w:val="00052372"/>
    <w:rsid w:val="000666D1"/>
    <w:rsid w:val="000868BC"/>
    <w:rsid w:val="000917C0"/>
    <w:rsid w:val="000A1D6B"/>
    <w:rsid w:val="000C48A9"/>
    <w:rsid w:val="000F7A7F"/>
    <w:rsid w:val="000F7C13"/>
    <w:rsid w:val="00116D61"/>
    <w:rsid w:val="0012408C"/>
    <w:rsid w:val="00135326"/>
    <w:rsid w:val="001A19A5"/>
    <w:rsid w:val="001A2520"/>
    <w:rsid w:val="001F591C"/>
    <w:rsid w:val="00233B40"/>
    <w:rsid w:val="00272B5C"/>
    <w:rsid w:val="00274D6A"/>
    <w:rsid w:val="00291F2D"/>
    <w:rsid w:val="00307F49"/>
    <w:rsid w:val="00352347"/>
    <w:rsid w:val="003566D6"/>
    <w:rsid w:val="00357F4D"/>
    <w:rsid w:val="003617D1"/>
    <w:rsid w:val="00362A8D"/>
    <w:rsid w:val="00377199"/>
    <w:rsid w:val="003A28AC"/>
    <w:rsid w:val="003A3361"/>
    <w:rsid w:val="003E594C"/>
    <w:rsid w:val="00407E2D"/>
    <w:rsid w:val="0042463A"/>
    <w:rsid w:val="004331B2"/>
    <w:rsid w:val="00435ED1"/>
    <w:rsid w:val="00440E4C"/>
    <w:rsid w:val="00445BAE"/>
    <w:rsid w:val="00456304"/>
    <w:rsid w:val="00463734"/>
    <w:rsid w:val="00463C28"/>
    <w:rsid w:val="00494BDF"/>
    <w:rsid w:val="004B66BD"/>
    <w:rsid w:val="004C3AE3"/>
    <w:rsid w:val="00504E1E"/>
    <w:rsid w:val="00506859"/>
    <w:rsid w:val="00520F93"/>
    <w:rsid w:val="00526087"/>
    <w:rsid w:val="00566856"/>
    <w:rsid w:val="00585CA2"/>
    <w:rsid w:val="005A21B0"/>
    <w:rsid w:val="005B5161"/>
    <w:rsid w:val="005D0F60"/>
    <w:rsid w:val="005D6AD4"/>
    <w:rsid w:val="0062695B"/>
    <w:rsid w:val="006338C1"/>
    <w:rsid w:val="00636F5E"/>
    <w:rsid w:val="00641AA4"/>
    <w:rsid w:val="00665CCF"/>
    <w:rsid w:val="006666D1"/>
    <w:rsid w:val="006721EC"/>
    <w:rsid w:val="00674FFD"/>
    <w:rsid w:val="00682EA7"/>
    <w:rsid w:val="00686304"/>
    <w:rsid w:val="006932BA"/>
    <w:rsid w:val="006B4F9A"/>
    <w:rsid w:val="006D2062"/>
    <w:rsid w:val="006F0DA3"/>
    <w:rsid w:val="006F63FD"/>
    <w:rsid w:val="00703AE1"/>
    <w:rsid w:val="00732169"/>
    <w:rsid w:val="00735659"/>
    <w:rsid w:val="0077110E"/>
    <w:rsid w:val="00781644"/>
    <w:rsid w:val="007870CB"/>
    <w:rsid w:val="00797883"/>
    <w:rsid w:val="007A3F0F"/>
    <w:rsid w:val="007D5C49"/>
    <w:rsid w:val="007D73FF"/>
    <w:rsid w:val="008006ED"/>
    <w:rsid w:val="00822598"/>
    <w:rsid w:val="008360A1"/>
    <w:rsid w:val="00861563"/>
    <w:rsid w:val="00867E74"/>
    <w:rsid w:val="00871AAA"/>
    <w:rsid w:val="00891AAA"/>
    <w:rsid w:val="008A7E5E"/>
    <w:rsid w:val="008B4CEE"/>
    <w:rsid w:val="00924EB2"/>
    <w:rsid w:val="00933EA1"/>
    <w:rsid w:val="009432F4"/>
    <w:rsid w:val="00951416"/>
    <w:rsid w:val="009550F7"/>
    <w:rsid w:val="00960D21"/>
    <w:rsid w:val="00981D29"/>
    <w:rsid w:val="00981E11"/>
    <w:rsid w:val="009C2D7E"/>
    <w:rsid w:val="009F2A3D"/>
    <w:rsid w:val="00A045FB"/>
    <w:rsid w:val="00A1564B"/>
    <w:rsid w:val="00A5194F"/>
    <w:rsid w:val="00A6323B"/>
    <w:rsid w:val="00A75BB0"/>
    <w:rsid w:val="00A84FC3"/>
    <w:rsid w:val="00A871D6"/>
    <w:rsid w:val="00AF005F"/>
    <w:rsid w:val="00AF282C"/>
    <w:rsid w:val="00AF3FF7"/>
    <w:rsid w:val="00B02AF3"/>
    <w:rsid w:val="00B11617"/>
    <w:rsid w:val="00B1491D"/>
    <w:rsid w:val="00B3627A"/>
    <w:rsid w:val="00B47B7D"/>
    <w:rsid w:val="00B87B69"/>
    <w:rsid w:val="00BD0A3D"/>
    <w:rsid w:val="00C03E0F"/>
    <w:rsid w:val="00C13A15"/>
    <w:rsid w:val="00C3772F"/>
    <w:rsid w:val="00C469D1"/>
    <w:rsid w:val="00C52E56"/>
    <w:rsid w:val="00C5407A"/>
    <w:rsid w:val="00C662B0"/>
    <w:rsid w:val="00C84FD4"/>
    <w:rsid w:val="00C958EE"/>
    <w:rsid w:val="00CA55D2"/>
    <w:rsid w:val="00CD21FB"/>
    <w:rsid w:val="00D423FE"/>
    <w:rsid w:val="00D442E4"/>
    <w:rsid w:val="00D72D57"/>
    <w:rsid w:val="00D80EDC"/>
    <w:rsid w:val="00D87918"/>
    <w:rsid w:val="00DF4F15"/>
    <w:rsid w:val="00E047D3"/>
    <w:rsid w:val="00E10319"/>
    <w:rsid w:val="00E10CF8"/>
    <w:rsid w:val="00E266B7"/>
    <w:rsid w:val="00E321C5"/>
    <w:rsid w:val="00E5772B"/>
    <w:rsid w:val="00E67511"/>
    <w:rsid w:val="00E82D0F"/>
    <w:rsid w:val="00E950B5"/>
    <w:rsid w:val="00F05879"/>
    <w:rsid w:val="00F06F5B"/>
    <w:rsid w:val="00F2485D"/>
    <w:rsid w:val="00F33926"/>
    <w:rsid w:val="00F60C61"/>
    <w:rsid w:val="00F64B52"/>
    <w:rsid w:val="00F869AE"/>
    <w:rsid w:val="00FB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03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lizabeth.Ortiz@apaac.az.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8B229-CE9A-43C0-B6A8-84B77FD59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0</TotalTime>
  <Pages>9</Pages>
  <Words>1691</Words>
  <Characters>9644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Superior Court</dc:creator>
  <cp:lastModifiedBy>Diana</cp:lastModifiedBy>
  <cp:revision>2</cp:revision>
  <cp:lastPrinted>2016-04-25T16:06:00Z</cp:lastPrinted>
  <dcterms:created xsi:type="dcterms:W3CDTF">2016-04-26T18:06:00Z</dcterms:created>
  <dcterms:modified xsi:type="dcterms:W3CDTF">2016-04-26T18:06:00Z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