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2" w:type="dxa"/>
        <w:tblLayout w:type="fixed"/>
        <w:tblLook w:val="0000" w:firstRow="0" w:lastRow="0" w:firstColumn="0" w:lastColumn="0" w:noHBand="0" w:noVBand="0"/>
      </w:tblPr>
      <w:tblGrid>
        <w:gridCol w:w="5472"/>
        <w:gridCol w:w="4200"/>
      </w:tblGrid>
      <w:tr w:rsidR="00CE4A0D" w:rsidRPr="00CE4A0D" w:rsidTr="00E95FB4">
        <w:trPr>
          <w:cantSplit/>
          <w:trHeight w:val="2167"/>
        </w:trPr>
        <w:tc>
          <w:tcPr>
            <w:tcW w:w="5472" w:type="dxa"/>
          </w:tcPr>
          <w:p w:rsidR="00CE4A0D" w:rsidRPr="00CE4A0D" w:rsidRDefault="00CE4A0D" w:rsidP="00CE4A0D">
            <w:pPr>
              <w:overflowPunct/>
              <w:autoSpaceDE/>
              <w:autoSpaceDN/>
              <w:adjustRightInd/>
              <w:spacing w:after="200"/>
              <w:contextualSpacing/>
              <w:textAlignment w:val="auto"/>
              <w:rPr>
                <w:rFonts w:eastAsia="Calibri"/>
                <w:sz w:val="26"/>
                <w:szCs w:val="26"/>
              </w:rPr>
            </w:pPr>
            <w:bookmarkStart w:id="0" w:name="_zzmpFIXED_CounselTable"/>
            <w:bookmarkStart w:id="1" w:name="_GoBack"/>
            <w:bookmarkEnd w:id="1"/>
            <w:r w:rsidRPr="00CE4A0D">
              <w:rPr>
                <w:rFonts w:eastAsia="Calibri"/>
                <w:sz w:val="26"/>
                <w:szCs w:val="26"/>
              </w:rPr>
              <w:t xml:space="preserve">Christina M. Phillis, </w:t>
            </w:r>
          </w:p>
          <w:p w:rsidR="00CE4A0D" w:rsidRPr="00CE4A0D" w:rsidRDefault="00CE4A0D" w:rsidP="00CE4A0D">
            <w:pPr>
              <w:overflowPunct/>
              <w:autoSpaceDE/>
              <w:autoSpaceDN/>
              <w:adjustRightInd/>
              <w:spacing w:after="200"/>
              <w:contextualSpacing/>
              <w:textAlignment w:val="auto"/>
              <w:rPr>
                <w:rFonts w:eastAsia="Calibri"/>
                <w:sz w:val="26"/>
                <w:szCs w:val="26"/>
              </w:rPr>
            </w:pPr>
            <w:r w:rsidRPr="00CE4A0D">
              <w:rPr>
                <w:rFonts w:eastAsia="Calibri"/>
                <w:sz w:val="26"/>
                <w:szCs w:val="26"/>
              </w:rPr>
              <w:t>Arizona Bar Membership No. 014871</w:t>
            </w:r>
          </w:p>
          <w:p w:rsidR="00CE4A0D" w:rsidRPr="00CE4A0D" w:rsidRDefault="00CE4A0D" w:rsidP="00CE4A0D">
            <w:pPr>
              <w:overflowPunct/>
              <w:autoSpaceDE/>
              <w:autoSpaceDN/>
              <w:adjustRightInd/>
              <w:spacing w:after="200"/>
              <w:contextualSpacing/>
              <w:textAlignment w:val="auto"/>
              <w:rPr>
                <w:rFonts w:eastAsia="Calibri"/>
                <w:sz w:val="26"/>
                <w:szCs w:val="26"/>
              </w:rPr>
            </w:pPr>
            <w:r w:rsidRPr="00CE4A0D">
              <w:rPr>
                <w:rFonts w:eastAsia="Calibri"/>
                <w:sz w:val="26"/>
                <w:szCs w:val="26"/>
              </w:rPr>
              <w:t>106 E. Baseline</w:t>
            </w:r>
          </w:p>
          <w:p w:rsidR="00CE4A0D" w:rsidRPr="00CE4A0D" w:rsidRDefault="00CE4A0D" w:rsidP="00CE4A0D">
            <w:pPr>
              <w:overflowPunct/>
              <w:autoSpaceDE/>
              <w:autoSpaceDN/>
              <w:adjustRightInd/>
              <w:spacing w:after="200"/>
              <w:contextualSpacing/>
              <w:textAlignment w:val="auto"/>
              <w:rPr>
                <w:rFonts w:eastAsia="Calibri"/>
                <w:sz w:val="26"/>
                <w:szCs w:val="26"/>
              </w:rPr>
            </w:pPr>
            <w:r w:rsidRPr="00CE4A0D">
              <w:rPr>
                <w:rFonts w:eastAsia="Calibri"/>
                <w:sz w:val="26"/>
                <w:szCs w:val="26"/>
              </w:rPr>
              <w:t>Mesa, Arizona 85210</w:t>
            </w:r>
          </w:p>
          <w:p w:rsidR="00CE4A0D" w:rsidRPr="00CE4A0D" w:rsidRDefault="00CE4A0D" w:rsidP="00CE4A0D">
            <w:pPr>
              <w:overflowPunct/>
              <w:autoSpaceDE/>
              <w:autoSpaceDN/>
              <w:adjustRightInd/>
              <w:spacing w:after="200"/>
              <w:contextualSpacing/>
              <w:textAlignment w:val="auto"/>
              <w:rPr>
                <w:rFonts w:eastAsia="Calibri"/>
                <w:sz w:val="26"/>
                <w:szCs w:val="26"/>
              </w:rPr>
            </w:pPr>
            <w:r w:rsidRPr="00CE4A0D">
              <w:rPr>
                <w:rFonts w:eastAsia="Calibri"/>
                <w:sz w:val="26"/>
                <w:szCs w:val="26"/>
              </w:rPr>
              <w:t>Telephone (602) 372-2815</w:t>
            </w:r>
          </w:p>
          <w:p w:rsidR="00CE4A0D" w:rsidRPr="00CE4A0D" w:rsidRDefault="00CE4A0D" w:rsidP="00CE4A0D">
            <w:pPr>
              <w:overflowPunct/>
              <w:autoSpaceDE/>
              <w:autoSpaceDN/>
              <w:adjustRightInd/>
              <w:spacing w:after="200"/>
              <w:contextualSpacing/>
              <w:textAlignment w:val="auto"/>
              <w:rPr>
                <w:rFonts w:eastAsia="Calibri"/>
                <w:sz w:val="26"/>
                <w:szCs w:val="26"/>
              </w:rPr>
            </w:pPr>
            <w:r w:rsidRPr="00CE4A0D">
              <w:rPr>
                <w:rFonts w:eastAsia="Calibri"/>
                <w:sz w:val="26"/>
                <w:szCs w:val="26"/>
              </w:rPr>
              <w:t>Fax (602) 372-8919</w:t>
            </w:r>
          </w:p>
          <w:p w:rsidR="00CE4A0D" w:rsidRPr="00CE4A0D" w:rsidRDefault="00CE4A0D" w:rsidP="00CE4A0D">
            <w:pPr>
              <w:overflowPunct/>
              <w:autoSpaceDE/>
              <w:autoSpaceDN/>
              <w:adjustRightInd/>
              <w:spacing w:after="200"/>
              <w:contextualSpacing/>
              <w:textAlignment w:val="auto"/>
              <w:rPr>
                <w:rFonts w:eastAsia="Calibri"/>
                <w:sz w:val="26"/>
                <w:szCs w:val="26"/>
              </w:rPr>
            </w:pPr>
            <w:r w:rsidRPr="00CE4A0D">
              <w:rPr>
                <w:rFonts w:eastAsia="Calibri"/>
                <w:sz w:val="26"/>
                <w:szCs w:val="26"/>
              </w:rPr>
              <w:t>Email Juv-SE@mail.maricopa.gov</w:t>
            </w:r>
          </w:p>
          <w:p w:rsidR="00CE4A0D" w:rsidRPr="00CE4A0D" w:rsidRDefault="00CE4A0D" w:rsidP="00CE4A0D">
            <w:pPr>
              <w:overflowPunct/>
              <w:autoSpaceDE/>
              <w:autoSpaceDN/>
              <w:adjustRightInd/>
              <w:spacing w:after="200"/>
              <w:ind w:left="-90" w:right="-288"/>
              <w:contextualSpacing/>
              <w:textAlignment w:val="auto"/>
              <w:rPr>
                <w:rFonts w:eastAsia="Calibri"/>
                <w:sz w:val="26"/>
                <w:szCs w:val="26"/>
              </w:rPr>
            </w:pPr>
          </w:p>
          <w:p w:rsidR="00CE4A0D" w:rsidRPr="00CE4A0D" w:rsidRDefault="00CE4A0D" w:rsidP="00CE4A0D">
            <w:pPr>
              <w:overflowPunct/>
              <w:autoSpaceDE/>
              <w:autoSpaceDN/>
              <w:adjustRightInd/>
              <w:ind w:left="-90" w:right="-288"/>
              <w:contextualSpacing/>
              <w:textAlignment w:val="auto"/>
              <w:rPr>
                <w:sz w:val="26"/>
                <w:szCs w:val="26"/>
              </w:rPr>
            </w:pPr>
          </w:p>
        </w:tc>
        <w:tc>
          <w:tcPr>
            <w:tcW w:w="4200" w:type="dxa"/>
          </w:tcPr>
          <w:p w:rsidR="00CE4A0D" w:rsidRPr="00CE4A0D" w:rsidRDefault="00CE4A0D" w:rsidP="00CE4A0D">
            <w:pPr>
              <w:overflowPunct/>
              <w:autoSpaceDE/>
              <w:autoSpaceDN/>
              <w:adjustRightInd/>
              <w:spacing w:after="200"/>
              <w:ind w:left="-90" w:right="-288"/>
              <w:textAlignment w:val="auto"/>
              <w:rPr>
                <w:rFonts w:eastAsia="Calibri"/>
                <w:sz w:val="26"/>
                <w:szCs w:val="26"/>
              </w:rPr>
            </w:pPr>
          </w:p>
        </w:tc>
      </w:tr>
    </w:tbl>
    <w:bookmarkEnd w:id="0"/>
    <w:p w:rsidR="00CE4A0D" w:rsidRPr="00CE4A0D" w:rsidRDefault="00CE4A0D" w:rsidP="00CE4A0D">
      <w:pPr>
        <w:overflowPunct/>
        <w:autoSpaceDE/>
        <w:autoSpaceDN/>
        <w:adjustRightInd/>
        <w:spacing w:after="200"/>
        <w:ind w:left="-90" w:right="-288"/>
        <w:jc w:val="center"/>
        <w:textAlignment w:val="auto"/>
        <w:rPr>
          <w:rFonts w:eastAsia="Calibri"/>
          <w:b/>
          <w:sz w:val="26"/>
          <w:szCs w:val="26"/>
        </w:rPr>
      </w:pPr>
      <w:r w:rsidRPr="00CE4A0D">
        <w:rPr>
          <w:rFonts w:eastAsia="Calibri"/>
          <w:b/>
          <w:sz w:val="26"/>
          <w:szCs w:val="26"/>
        </w:rPr>
        <w:t>IN THE SUPREME COURT</w:t>
      </w:r>
    </w:p>
    <w:p w:rsidR="00CE4A0D" w:rsidRPr="00CE4A0D" w:rsidRDefault="00CE4A0D" w:rsidP="00CE4A0D">
      <w:pPr>
        <w:overflowPunct/>
        <w:autoSpaceDE/>
        <w:autoSpaceDN/>
        <w:adjustRightInd/>
        <w:spacing w:after="360"/>
        <w:ind w:left="-90" w:right="-288"/>
        <w:jc w:val="center"/>
        <w:textAlignment w:val="auto"/>
        <w:rPr>
          <w:caps/>
          <w:sz w:val="26"/>
          <w:szCs w:val="26"/>
        </w:rPr>
      </w:pPr>
      <w:r w:rsidRPr="00CE4A0D">
        <w:rPr>
          <w:b/>
          <w:caps/>
          <w:sz w:val="26"/>
          <w:szCs w:val="26"/>
        </w:rPr>
        <w:t>STATE OF ARIZONA</w:t>
      </w:r>
    </w:p>
    <w:tbl>
      <w:tblPr>
        <w:tblW w:w="9504" w:type="dxa"/>
        <w:tblInd w:w="-22" w:type="dxa"/>
        <w:tblLayout w:type="fixed"/>
        <w:tblLook w:val="0000" w:firstRow="0" w:lastRow="0" w:firstColumn="0" w:lastColumn="0" w:noHBand="0" w:noVBand="0"/>
      </w:tblPr>
      <w:tblGrid>
        <w:gridCol w:w="4450"/>
        <w:gridCol w:w="5054"/>
      </w:tblGrid>
      <w:tr w:rsidR="00CE4A0D" w:rsidRPr="00CE4A0D" w:rsidTr="00E95FB4">
        <w:trPr>
          <w:trHeight w:val="1440"/>
        </w:trPr>
        <w:tc>
          <w:tcPr>
            <w:tcW w:w="4450" w:type="dxa"/>
            <w:tcBorders>
              <w:bottom w:val="single" w:sz="4" w:space="0" w:color="auto"/>
              <w:right w:val="single" w:sz="4" w:space="0" w:color="auto"/>
            </w:tcBorders>
          </w:tcPr>
          <w:p w:rsidR="00CE4A0D" w:rsidRPr="00CE4A0D" w:rsidRDefault="00CE4A0D" w:rsidP="00CE4A0D">
            <w:pPr>
              <w:spacing w:before="240"/>
              <w:ind w:left="-86" w:right="-288"/>
              <w:rPr>
                <w:sz w:val="26"/>
                <w:szCs w:val="26"/>
              </w:rPr>
            </w:pPr>
            <w:r w:rsidRPr="00CE4A0D">
              <w:rPr>
                <w:sz w:val="26"/>
                <w:szCs w:val="26"/>
              </w:rPr>
              <w:t xml:space="preserve">PETITION TO </w:t>
            </w:r>
            <w:bookmarkStart w:id="2" w:name="DefendantInfo"/>
            <w:bookmarkStart w:id="3" w:name="MultipleDefendant"/>
            <w:bookmarkEnd w:id="2"/>
            <w:bookmarkEnd w:id="3"/>
            <w:r w:rsidRPr="00CE4A0D">
              <w:rPr>
                <w:sz w:val="26"/>
                <w:szCs w:val="26"/>
              </w:rPr>
              <w:t>AMEND RULE 39, ARIZONA RULES OF PROCEDURE FOR THE JUVENILE COURT</w:t>
            </w:r>
          </w:p>
        </w:tc>
        <w:tc>
          <w:tcPr>
            <w:tcW w:w="5054" w:type="dxa"/>
            <w:tcBorders>
              <w:left w:val="single" w:sz="4" w:space="0" w:color="auto"/>
            </w:tcBorders>
            <w:tcMar>
              <w:left w:w="115" w:type="dxa"/>
              <w:right w:w="115" w:type="dxa"/>
            </w:tcMar>
          </w:tcPr>
          <w:p w:rsidR="00CE4A0D" w:rsidRPr="00CE4A0D" w:rsidRDefault="00CE4A0D" w:rsidP="00CE4A0D">
            <w:pPr>
              <w:spacing w:before="240" w:after="240"/>
              <w:ind w:left="14" w:right="-288"/>
              <w:rPr>
                <w:sz w:val="26"/>
                <w:szCs w:val="26"/>
              </w:rPr>
            </w:pPr>
            <w:r w:rsidRPr="00CE4A0D">
              <w:rPr>
                <w:sz w:val="26"/>
                <w:szCs w:val="26"/>
              </w:rPr>
              <w:t>Supreme Court No. R-16-0009</w:t>
            </w:r>
          </w:p>
          <w:p w:rsidR="00CE4A0D" w:rsidRPr="00CE4A0D" w:rsidRDefault="00CE4A0D" w:rsidP="00CE4A0D">
            <w:pPr>
              <w:ind w:left="15" w:right="-11"/>
              <w:rPr>
                <w:b/>
                <w:sz w:val="26"/>
                <w:szCs w:val="26"/>
              </w:rPr>
            </w:pPr>
            <w:r w:rsidRPr="00CE4A0D">
              <w:rPr>
                <w:b/>
                <w:sz w:val="26"/>
                <w:szCs w:val="26"/>
              </w:rPr>
              <w:t xml:space="preserve">Comment of the Arizona </w:t>
            </w:r>
            <w:bookmarkStart w:id="4" w:name="CaseNumber"/>
            <w:bookmarkEnd w:id="4"/>
            <w:r w:rsidRPr="00CE4A0D">
              <w:rPr>
                <w:b/>
                <w:sz w:val="26"/>
                <w:szCs w:val="26"/>
              </w:rPr>
              <w:t>Public Defender Association in Response to the Request Amend Rule 39, Arizona Rules of Juvenile Procedure</w:t>
            </w:r>
          </w:p>
          <w:p w:rsidR="00CE4A0D" w:rsidRPr="00CE4A0D" w:rsidRDefault="00CE4A0D" w:rsidP="00CE4A0D">
            <w:pPr>
              <w:ind w:left="15" w:right="-11"/>
              <w:rPr>
                <w:sz w:val="26"/>
                <w:szCs w:val="26"/>
              </w:rPr>
            </w:pPr>
          </w:p>
        </w:tc>
      </w:tr>
    </w:tbl>
    <w:p w:rsidR="00CE4A0D" w:rsidRPr="00CE4A0D" w:rsidRDefault="00CE4A0D" w:rsidP="00CE4A0D">
      <w:pPr>
        <w:overflowPunct/>
        <w:autoSpaceDE/>
        <w:autoSpaceDN/>
        <w:adjustRightInd/>
        <w:spacing w:after="200" w:line="480" w:lineRule="auto"/>
        <w:ind w:firstLine="720"/>
        <w:jc w:val="both"/>
        <w:textAlignment w:val="auto"/>
        <w:rPr>
          <w:rFonts w:eastAsia="Calibri"/>
          <w:sz w:val="26"/>
          <w:szCs w:val="26"/>
        </w:rPr>
      </w:pPr>
      <w:bookmarkStart w:id="5" w:name="PlaintiffInfo"/>
      <w:bookmarkStart w:id="6" w:name="MultiplePlaintiff"/>
      <w:bookmarkEnd w:id="5"/>
      <w:bookmarkEnd w:id="6"/>
    </w:p>
    <w:p w:rsidR="00CE4A0D" w:rsidRPr="00CE4A0D" w:rsidRDefault="00CE4A0D" w:rsidP="00CE4A0D">
      <w:pPr>
        <w:overflowPunct/>
        <w:autoSpaceDE/>
        <w:autoSpaceDN/>
        <w:adjustRightInd/>
        <w:spacing w:after="200" w:line="480" w:lineRule="auto"/>
        <w:ind w:firstLine="720"/>
        <w:jc w:val="both"/>
        <w:textAlignment w:val="auto"/>
        <w:rPr>
          <w:rFonts w:eastAsia="Calibri"/>
          <w:sz w:val="26"/>
          <w:szCs w:val="26"/>
        </w:rPr>
      </w:pPr>
      <w:r w:rsidRPr="00CE4A0D">
        <w:rPr>
          <w:rFonts w:eastAsia="Calibri"/>
          <w:sz w:val="26"/>
          <w:szCs w:val="26"/>
        </w:rPr>
        <w:t xml:space="preserve">Pursuant to Rule 28, Arizona Rules of the Supreme Court, the Arizona Public Defender Association (APDA) submits its Comment regarding the Petition to Amend Rule 39 of the Arizona Rules of Procedure for Juvenile Court filed by Judge Colleen McNally, R-16-0009.  The APDA is an Arizona non-profit corporation comprised of public defense offices and programs throughout the State of Arizona.  The primary purposes of our organization include improving the quality of legal representation of indigent people who face the loss of liberty or the right to parent, and ensuring a just legal system.  Our offices defend the overwhelming majority of individuals who are involved in a Title 8 dependency or severance. </w:t>
      </w:r>
    </w:p>
    <w:p w:rsidR="00CE4A0D" w:rsidRPr="00CE4A0D" w:rsidRDefault="00CE4A0D" w:rsidP="00CE4A0D">
      <w:pPr>
        <w:overflowPunct/>
        <w:autoSpaceDE/>
        <w:autoSpaceDN/>
        <w:adjustRightInd/>
        <w:spacing w:after="200" w:line="480" w:lineRule="auto"/>
        <w:ind w:firstLine="720"/>
        <w:jc w:val="both"/>
        <w:textAlignment w:val="auto"/>
        <w:rPr>
          <w:rFonts w:eastAsia="Calibri"/>
          <w:sz w:val="26"/>
          <w:szCs w:val="26"/>
        </w:rPr>
      </w:pPr>
      <w:r w:rsidRPr="00CE4A0D">
        <w:rPr>
          <w:rFonts w:eastAsia="Calibri"/>
          <w:sz w:val="26"/>
          <w:szCs w:val="26"/>
        </w:rPr>
        <w:lastRenderedPageBreak/>
        <w:t>The proposed amendment to Rule 39 submitted by Judge McNally should be denied.  Judge McNally is requesting that Rule 39, of the Rules of Procedure for Juvenile Court, the process by which counsel may withdraw from representation of clients in dependency proceedings, be amended to mirror the Rules of Civil Procedure and the Rules of Family Law.  However, the process for retaining an attorney in dependency matters is significantly different from privately hiring an attorney in a civil or family law matter.  Most dependency clients, whether parents or children, are indigent.  Arizona Revised Statute (A.R.S.) §8-824(D)(1), entitles a parent to counsel, including appointed counsel if the parent is indigent.  Parties in civil and family court matters are not entitled to court appointed counsel.  Counsel in civil and family court matters are retained by the parties.</w:t>
      </w:r>
    </w:p>
    <w:p w:rsidR="00CE4A0D" w:rsidRPr="00CE4A0D" w:rsidRDefault="00CE4A0D" w:rsidP="00CE4A0D">
      <w:pPr>
        <w:widowControl w:val="0"/>
        <w:overflowPunct/>
        <w:spacing w:line="480" w:lineRule="auto"/>
        <w:ind w:firstLine="720"/>
        <w:jc w:val="both"/>
        <w:textAlignment w:val="auto"/>
        <w:rPr>
          <w:rFonts w:eastAsia="Calibri"/>
          <w:sz w:val="26"/>
          <w:szCs w:val="26"/>
        </w:rPr>
      </w:pPr>
      <w:r w:rsidRPr="00CE4A0D">
        <w:rPr>
          <w:rFonts w:eastAsia="Calibri"/>
          <w:sz w:val="26"/>
          <w:szCs w:val="26"/>
        </w:rPr>
        <w:t xml:space="preserve">Appointment of counsel in a dependency matter is akin to appointment of counsel in a criminal matter.  Counsel is not selected and retained by the client, but rather assigned to the client.  Prior to appointment, the attorney and client have not met.  On occasion, the demands and expectations of the client make ethical representation of the client impossible.  When an attorney feels they are unable to ethically represent a client, they have a duty to move to withdraw.   </w:t>
      </w:r>
    </w:p>
    <w:p w:rsidR="00CE4A0D" w:rsidRPr="00CE4A0D" w:rsidRDefault="00CE4A0D" w:rsidP="00CE4A0D">
      <w:pPr>
        <w:widowControl w:val="0"/>
        <w:overflowPunct/>
        <w:spacing w:line="480" w:lineRule="auto"/>
        <w:ind w:firstLine="720"/>
        <w:jc w:val="both"/>
        <w:textAlignment w:val="auto"/>
        <w:rPr>
          <w:rFonts w:eastAsia="Calibri"/>
          <w:color w:val="000000"/>
          <w:sz w:val="26"/>
          <w:szCs w:val="26"/>
        </w:rPr>
      </w:pPr>
      <w:r w:rsidRPr="00CE4A0D">
        <w:rPr>
          <w:rFonts w:eastAsia="Calibri"/>
          <w:sz w:val="26"/>
          <w:szCs w:val="26"/>
        </w:rPr>
        <w:t xml:space="preserve">In </w:t>
      </w:r>
      <w:r w:rsidRPr="00CE4A0D">
        <w:rPr>
          <w:rFonts w:eastAsia="Calibri"/>
          <w:i/>
          <w:sz w:val="26"/>
          <w:szCs w:val="26"/>
        </w:rPr>
        <w:t xml:space="preserve">Maricopa County Public Defender's Office v. Superior Court in and for County of Maricopa, </w:t>
      </w:r>
      <w:r w:rsidRPr="00CE4A0D">
        <w:rPr>
          <w:rFonts w:eastAsia="Calibri"/>
          <w:sz w:val="26"/>
          <w:szCs w:val="26"/>
        </w:rPr>
        <w:t>the Arizona Court of Appeals</w:t>
      </w:r>
      <w:r w:rsidRPr="00CE4A0D">
        <w:rPr>
          <w:rFonts w:eastAsia="Calibri"/>
          <w:color w:val="000000"/>
          <w:sz w:val="26"/>
          <w:szCs w:val="26"/>
        </w:rPr>
        <w:t>,</w:t>
      </w:r>
      <w:r w:rsidRPr="00CE4A0D">
        <w:rPr>
          <w:rFonts w:eastAsia="Calibri"/>
          <w:sz w:val="26"/>
          <w:szCs w:val="26"/>
        </w:rPr>
        <w:t xml:space="preserve"> stated, “</w:t>
      </w:r>
      <w:r w:rsidRPr="00CE4A0D">
        <w:rPr>
          <w:rFonts w:eastAsia="Calibri"/>
          <w:color w:val="000000"/>
          <w:sz w:val="26"/>
          <w:szCs w:val="26"/>
        </w:rPr>
        <w:t xml:space="preserve">counsel’s avowal of an ethical conflict requiring withdrawal is entitled to great weight despite the concern that some might abuse this trust: ‘[A]ttorneys are officers of the court, and when they address the judge solemnly upon a matter before the court, their declarations are virtually made under oath.”’ </w:t>
      </w:r>
      <w:r w:rsidRPr="00CE4A0D">
        <w:rPr>
          <w:rFonts w:eastAsia="Calibri"/>
          <w:sz w:val="26"/>
          <w:szCs w:val="26"/>
        </w:rPr>
        <w:t>187 Ariz. 162, 166, 927 P.2d 822, 826</w:t>
      </w:r>
      <w:r w:rsidRPr="00CE4A0D">
        <w:rPr>
          <w:rFonts w:eastAsia="Calibri"/>
          <w:i/>
          <w:sz w:val="26"/>
          <w:szCs w:val="26"/>
        </w:rPr>
        <w:t xml:space="preserve"> </w:t>
      </w:r>
      <w:r w:rsidRPr="00CE4A0D">
        <w:rPr>
          <w:rFonts w:eastAsia="Calibri"/>
          <w:sz w:val="26"/>
          <w:szCs w:val="26"/>
        </w:rPr>
        <w:t>(App. 1996)</w:t>
      </w:r>
      <w:r w:rsidRPr="00CE4A0D">
        <w:rPr>
          <w:rFonts w:eastAsia="Calibri"/>
          <w:color w:val="000000"/>
          <w:sz w:val="26"/>
          <w:szCs w:val="26"/>
        </w:rPr>
        <w:t xml:space="preserve">  (</w:t>
      </w:r>
      <w:r w:rsidRPr="00CE4A0D">
        <w:rPr>
          <w:rFonts w:eastAsia="Calibri"/>
          <w:sz w:val="26"/>
          <w:szCs w:val="26"/>
        </w:rPr>
        <w:t xml:space="preserve">citing </w:t>
      </w:r>
      <w:hyperlink r:id="rId8" w:anchor="co_pp_sp_708_1177" w:history="1">
        <w:r w:rsidRPr="00CE4A0D">
          <w:rPr>
            <w:rFonts w:eastAsia="Calibri"/>
            <w:i/>
            <w:iCs/>
            <w:sz w:val="26"/>
            <w:szCs w:val="26"/>
          </w:rPr>
          <w:t>Holloway v. Arkansas,</w:t>
        </w:r>
        <w:r w:rsidRPr="00CE4A0D">
          <w:rPr>
            <w:rFonts w:eastAsia="Calibri"/>
            <w:sz w:val="26"/>
            <w:szCs w:val="26"/>
          </w:rPr>
          <w:t xml:space="preserve"> 435 U.S. </w:t>
        </w:r>
        <w:r w:rsidRPr="00CE4A0D">
          <w:rPr>
            <w:rFonts w:eastAsia="Calibri"/>
            <w:sz w:val="26"/>
            <w:szCs w:val="26"/>
          </w:rPr>
          <w:lastRenderedPageBreak/>
          <w:t>475, 486-87 (1978</w:t>
        </w:r>
        <w:r w:rsidRPr="00CE4A0D">
          <w:rPr>
            <w:rFonts w:eastAsia="Calibri"/>
            <w:color w:val="0000FF"/>
            <w:sz w:val="26"/>
            <w:szCs w:val="26"/>
          </w:rPr>
          <w:t>)</w:t>
        </w:r>
      </w:hyperlink>
      <w:r w:rsidRPr="00CE4A0D">
        <w:rPr>
          <w:rFonts w:eastAsia="Calibri"/>
          <w:color w:val="0000FF"/>
          <w:sz w:val="26"/>
          <w:szCs w:val="26"/>
        </w:rPr>
        <w:t xml:space="preserve">). </w:t>
      </w:r>
      <w:r w:rsidRPr="00CE4A0D">
        <w:rPr>
          <w:rFonts w:eastAsia="Calibri"/>
          <w:color w:val="000000"/>
          <w:sz w:val="26"/>
          <w:szCs w:val="26"/>
        </w:rPr>
        <w:t xml:space="preserve">The Court of Appeals further stated that a court may inquire into the reason for withdraw, but the court may not require the attorney to disclose confidential information in order to be relieved from representation. </w:t>
      </w:r>
      <w:r w:rsidRPr="00CE4A0D">
        <w:rPr>
          <w:rFonts w:eastAsia="Calibri"/>
          <w:i/>
          <w:color w:val="000000"/>
          <w:sz w:val="26"/>
          <w:szCs w:val="26"/>
        </w:rPr>
        <w:t>Id</w:t>
      </w:r>
      <w:r w:rsidRPr="00CE4A0D">
        <w:rPr>
          <w:rFonts w:eastAsia="Calibri"/>
          <w:color w:val="000000"/>
          <w:sz w:val="26"/>
          <w:szCs w:val="26"/>
        </w:rPr>
        <w:t xml:space="preserve">. at </w:t>
      </w:r>
      <w:r w:rsidRPr="00CE4A0D">
        <w:rPr>
          <w:rFonts w:eastAsia="Calibri"/>
          <w:sz w:val="26"/>
          <w:szCs w:val="26"/>
        </w:rPr>
        <w:t>167, 927 P.2d at 827.</w:t>
      </w:r>
    </w:p>
    <w:p w:rsidR="00CE4A0D" w:rsidRPr="00CE4A0D" w:rsidRDefault="00CE4A0D" w:rsidP="00CE4A0D">
      <w:pPr>
        <w:widowControl w:val="0"/>
        <w:overflowPunct/>
        <w:spacing w:line="480" w:lineRule="auto"/>
        <w:ind w:firstLine="720"/>
        <w:jc w:val="both"/>
        <w:textAlignment w:val="auto"/>
        <w:rPr>
          <w:rFonts w:eastAsia="Calibri"/>
          <w:color w:val="000000"/>
          <w:sz w:val="26"/>
          <w:szCs w:val="26"/>
        </w:rPr>
      </w:pPr>
      <w:r w:rsidRPr="00CE4A0D">
        <w:rPr>
          <w:rFonts w:eastAsia="Calibri"/>
          <w:color w:val="000000"/>
          <w:sz w:val="26"/>
          <w:szCs w:val="26"/>
        </w:rPr>
        <w:t xml:space="preserve">An attorney must request to withdraw from representation as a result of a conflict of interest with a witness, current client, or former client ER 1.7 and ER 1.16, Rules of Professional Conduct.  Counsel also must request to withdraw when a client is insisting that the attorney engage in unethical conduct ER 1.2 and 1.16(b)(3), Rules of Professional Conduct.   Whether the client agrees with the request to withdraw or not, the attorney ethically must request to be relieved from representation.  </w:t>
      </w:r>
    </w:p>
    <w:p w:rsidR="00CE4A0D" w:rsidRPr="00CE4A0D" w:rsidRDefault="00CE4A0D" w:rsidP="00CE4A0D">
      <w:pPr>
        <w:widowControl w:val="0"/>
        <w:overflowPunct/>
        <w:spacing w:line="480" w:lineRule="auto"/>
        <w:ind w:firstLine="720"/>
        <w:jc w:val="both"/>
        <w:textAlignment w:val="auto"/>
        <w:rPr>
          <w:rFonts w:eastAsia="Calibri"/>
          <w:sz w:val="26"/>
          <w:szCs w:val="26"/>
        </w:rPr>
      </w:pPr>
      <w:r w:rsidRPr="00CE4A0D">
        <w:rPr>
          <w:rFonts w:eastAsia="Calibri"/>
          <w:sz w:val="26"/>
          <w:szCs w:val="26"/>
        </w:rPr>
        <w:t xml:space="preserve">The proposed addition to Rule 39 (C)(2), requiring that the motion to withdraw be served upon the client, is unnecessary.  Ethical Rule 1.4, Rules of Professional Conduct, requires an attorney to keep the client informed.  Counsel is ethically obligated to provide their client with all documents and disclosure created or obtained during representation.  Presumably, counsel will discuss with the client the request to withdraw prior to filing the request.  Once the motion is filed, counsel will mail a copy of the motion to the client.  A copy of the order granting or denying the request to withdraw also will be provided to the client.  Further, attorneys are prohibited from failing to act, or acting contrary to the client’s interest, thus damaging the client’s case. </w:t>
      </w:r>
    </w:p>
    <w:p w:rsidR="00CE4A0D" w:rsidRPr="00CE4A0D" w:rsidRDefault="00CE4A0D" w:rsidP="00CE4A0D">
      <w:pPr>
        <w:widowControl w:val="0"/>
        <w:overflowPunct/>
        <w:spacing w:line="480" w:lineRule="auto"/>
        <w:ind w:firstLine="720"/>
        <w:jc w:val="both"/>
        <w:textAlignment w:val="auto"/>
        <w:rPr>
          <w:rFonts w:eastAsia="Calibri"/>
          <w:sz w:val="26"/>
          <w:szCs w:val="26"/>
        </w:rPr>
      </w:pPr>
      <w:r w:rsidRPr="00CE4A0D">
        <w:rPr>
          <w:rFonts w:eastAsia="Calibri"/>
          <w:sz w:val="26"/>
          <w:szCs w:val="26"/>
        </w:rPr>
        <w:t>The proposed addition to Rule 39, section (C)(3), violates ER 1.16, Rule of Professional Conduct. As previously discussed, an attorney is ethically obligated to move to withdraw in certain situations.  Proposed addition (C)(3)’s prohibition against withdrawing after a matter has been set for trial places an attorney in an unethical position.  Attorneys do not take lightly their obligations to their clients and only request to withdraw when necessary.</w:t>
      </w:r>
    </w:p>
    <w:p w:rsidR="00CE4A0D" w:rsidRPr="00CE4A0D" w:rsidRDefault="00CE4A0D" w:rsidP="00CE4A0D">
      <w:pPr>
        <w:widowControl w:val="0"/>
        <w:overflowPunct/>
        <w:spacing w:line="480" w:lineRule="auto"/>
        <w:ind w:firstLine="720"/>
        <w:jc w:val="both"/>
        <w:textAlignment w:val="auto"/>
        <w:rPr>
          <w:rFonts w:eastAsia="Calibri"/>
          <w:sz w:val="26"/>
          <w:szCs w:val="26"/>
        </w:rPr>
      </w:pPr>
      <w:r w:rsidRPr="00CE4A0D">
        <w:rPr>
          <w:rFonts w:eastAsia="Calibri"/>
          <w:sz w:val="26"/>
          <w:szCs w:val="26"/>
        </w:rPr>
        <w:t xml:space="preserve">The proposed addition to Rule 39 (C)(2)(i), requiring counsel to avow that “the client has been notified in writing of the status of the case including dates and times of any court hearings or trial settings, pending compliance with any existing court orders, and the possibility of sanctions is not necessary in dependency matter” is unnecessary.  Parties in a dependency are required to appear in court alongside their attorneys.  Clients’ appearances are waived only under extraordinary circumstances.  Forms 1, 2 and 3, provided to the parents by the court, require parents to be present for all court hearings and participate in services.  Further the forms warn parents that if they fail to attend the court proceedings, they may proceed without them and their legal rights to their children could be terminated. </w:t>
      </w:r>
    </w:p>
    <w:p w:rsidR="00CE4A0D" w:rsidRPr="00CE4A0D" w:rsidRDefault="00CE4A0D" w:rsidP="00CE4A0D">
      <w:pPr>
        <w:widowControl w:val="0"/>
        <w:overflowPunct/>
        <w:spacing w:line="480" w:lineRule="auto"/>
        <w:ind w:firstLine="720"/>
        <w:jc w:val="both"/>
        <w:textAlignment w:val="auto"/>
        <w:rPr>
          <w:rFonts w:eastAsia="Calibri"/>
          <w:sz w:val="26"/>
          <w:szCs w:val="26"/>
        </w:rPr>
      </w:pPr>
      <w:r w:rsidRPr="00CE4A0D">
        <w:rPr>
          <w:rFonts w:eastAsia="Calibri"/>
          <w:sz w:val="26"/>
          <w:szCs w:val="26"/>
        </w:rPr>
        <w:t>Proposed addition (C)(3)(i) is not feasible in dependency matters.  Almost all parents in dependency cases are indigent.  The parents are entitled to court appointed counsel because their constitutional right to parent is being challenged.  Every county in Arizona has a process for appointing counsel.  When an attorney must withdraw from a case, the appointing authority will assign the parent new counsel.  The name of the new counsel will not be known until after the motion to withdraw has been granted.  Once appointed, the new attorney will quickly and competently prepare the case for the up-coming trial.</w:t>
      </w:r>
    </w:p>
    <w:p w:rsidR="00CE4A0D" w:rsidRPr="00CE4A0D" w:rsidRDefault="00CE4A0D" w:rsidP="00CE4A0D">
      <w:pPr>
        <w:overflowPunct/>
        <w:autoSpaceDE/>
        <w:autoSpaceDN/>
        <w:adjustRightInd/>
        <w:spacing w:after="200" w:line="480" w:lineRule="auto"/>
        <w:ind w:firstLine="720"/>
        <w:jc w:val="both"/>
        <w:textAlignment w:val="auto"/>
        <w:rPr>
          <w:rFonts w:eastAsia="Calibri"/>
          <w:sz w:val="26"/>
          <w:szCs w:val="26"/>
        </w:rPr>
      </w:pPr>
      <w:r w:rsidRPr="00CE4A0D">
        <w:rPr>
          <w:rFonts w:eastAsia="Calibri"/>
          <w:sz w:val="26"/>
          <w:szCs w:val="26"/>
        </w:rPr>
        <w:t xml:space="preserve">The portion of proposed Rule 39 (C)(3)(i) that permits a client to sign a request avowing the client is aware of the court date and will be prepared for trial places the indigent parent at a disadvantage.  The right to raise one’s own children is a constitutionally protected fundamental right.  </w:t>
      </w:r>
      <w:r w:rsidRPr="00CE4A0D">
        <w:rPr>
          <w:rFonts w:eastAsia="Calibri"/>
          <w:i/>
          <w:sz w:val="26"/>
          <w:szCs w:val="26"/>
        </w:rPr>
        <w:t>Santosky v. Kramer</w:t>
      </w:r>
      <w:r w:rsidRPr="00CE4A0D">
        <w:rPr>
          <w:rFonts w:eastAsia="Calibri"/>
          <w:sz w:val="26"/>
          <w:szCs w:val="26"/>
        </w:rPr>
        <w:t xml:space="preserve">, 455 U.S. 745, 747-48(1982); </w:t>
      </w:r>
      <w:r w:rsidRPr="00CE4A0D">
        <w:rPr>
          <w:rFonts w:eastAsia="Calibri"/>
          <w:i/>
          <w:sz w:val="26"/>
          <w:szCs w:val="26"/>
        </w:rPr>
        <w:t xml:space="preserve">Maricopa County Juv. Action No. JS-6520, </w:t>
      </w:r>
      <w:r w:rsidRPr="00CE4A0D">
        <w:rPr>
          <w:rFonts w:eastAsia="Calibri"/>
          <w:sz w:val="26"/>
          <w:szCs w:val="26"/>
        </w:rPr>
        <w:t xml:space="preserve">157 Ariz. 238, 241, 756 P.2d 335,338 (App 1988).  However, most of the parents do not possess the legal knowledge to adequately comply with the Rules of Juvenile Court Procedure, competently challenge the state, and present their case to the court.  Parents therefore have the due process right to court appointed counsel.  </w:t>
      </w:r>
      <w:r w:rsidRPr="00CE4A0D">
        <w:rPr>
          <w:rFonts w:eastAsia="Calibri"/>
          <w:i/>
          <w:sz w:val="26"/>
          <w:szCs w:val="26"/>
        </w:rPr>
        <w:t xml:space="preserve">Daniel Y.  v. Ariz. Dept. of Economic Sec. </w:t>
      </w:r>
      <w:r w:rsidRPr="00CE4A0D">
        <w:rPr>
          <w:rFonts w:eastAsia="Calibri"/>
          <w:sz w:val="26"/>
          <w:szCs w:val="26"/>
        </w:rPr>
        <w:t xml:space="preserve">206 Ariz. 257, 260, ¶¶ 14, 15, 77 P.3d 55, 58 (App. 2003).  Unless a parent specifically requests to represent themselves, a parent always should be provided counsel.  The legal presumption is against waiver of counsel.  </w:t>
      </w:r>
      <w:r w:rsidRPr="00CE4A0D">
        <w:rPr>
          <w:rFonts w:eastAsia="Calibri"/>
          <w:i/>
          <w:sz w:val="26"/>
          <w:szCs w:val="26"/>
        </w:rPr>
        <w:t xml:space="preserve">Id. </w:t>
      </w:r>
      <w:r w:rsidRPr="00CE4A0D">
        <w:rPr>
          <w:rFonts w:eastAsia="Calibri"/>
          <w:sz w:val="26"/>
          <w:szCs w:val="26"/>
        </w:rPr>
        <w:t xml:space="preserve">At 261, ¶ 15, 77 P.3d at 59.  The stakes are too high at a severance trial, termination of the parent child relationship, to allow the parent to avow that they will be prepared to trial if the their attorney withdraws from representation unless the parent is warned about the risks inherent in self representation.  </w:t>
      </w:r>
      <w:r w:rsidRPr="00CE4A0D">
        <w:rPr>
          <w:rFonts w:eastAsia="Calibri"/>
          <w:i/>
          <w:sz w:val="26"/>
          <w:szCs w:val="26"/>
        </w:rPr>
        <w:t xml:space="preserve">Id. </w:t>
      </w:r>
      <w:r w:rsidRPr="00CE4A0D">
        <w:rPr>
          <w:rFonts w:eastAsia="Calibri"/>
          <w:sz w:val="26"/>
          <w:szCs w:val="26"/>
        </w:rPr>
        <w:t xml:space="preserve">At 262, ¶ 23, 77 P.3d at 60.  </w:t>
      </w:r>
    </w:p>
    <w:p w:rsidR="00CE4A0D" w:rsidRPr="00CE4A0D" w:rsidRDefault="00CE4A0D" w:rsidP="00CE4A0D">
      <w:pPr>
        <w:overflowPunct/>
        <w:autoSpaceDE/>
        <w:autoSpaceDN/>
        <w:adjustRightInd/>
        <w:spacing w:after="200" w:line="480" w:lineRule="auto"/>
        <w:ind w:firstLine="720"/>
        <w:jc w:val="both"/>
        <w:textAlignment w:val="auto"/>
        <w:rPr>
          <w:rFonts w:eastAsia="Calibri"/>
          <w:sz w:val="26"/>
          <w:szCs w:val="26"/>
        </w:rPr>
      </w:pPr>
      <w:r w:rsidRPr="00CE4A0D">
        <w:rPr>
          <w:rFonts w:eastAsia="Calibri"/>
          <w:sz w:val="26"/>
          <w:szCs w:val="26"/>
        </w:rPr>
        <w:t xml:space="preserve">The Petition to Amend Rule 39, Rules of Juvenile Procedure, does not state what impact, if any, this Rule change would have on the Attorney General’s and county staffed offices which represent parents.  Attorney General’s and Indigent Representation Offices have frequently have attorneys who leave the Child Welfare/Dependency divisions.  Would the assigned attorney on a case set for trial be required to continue representation even after terminating employment?  How would they be compensated?  Adopting a Rule from civil and family court, where the attorneys are privately retained creates complications in a system where the attorneys are from government agencies and court appointed.   </w:t>
      </w:r>
    </w:p>
    <w:p w:rsidR="00CE4A0D" w:rsidRPr="00CE4A0D" w:rsidRDefault="00CE4A0D" w:rsidP="00CE4A0D">
      <w:pPr>
        <w:overflowPunct/>
        <w:autoSpaceDE/>
        <w:autoSpaceDN/>
        <w:adjustRightInd/>
        <w:spacing w:after="200" w:line="480" w:lineRule="auto"/>
        <w:ind w:firstLine="720"/>
        <w:jc w:val="both"/>
        <w:textAlignment w:val="auto"/>
        <w:rPr>
          <w:rFonts w:eastAsia="Calibri"/>
          <w:b/>
          <w:sz w:val="26"/>
          <w:szCs w:val="26"/>
        </w:rPr>
      </w:pPr>
      <w:r w:rsidRPr="00CE4A0D">
        <w:rPr>
          <w:rFonts w:eastAsia="Calibri"/>
          <w:b/>
          <w:sz w:val="26"/>
          <w:szCs w:val="26"/>
        </w:rPr>
        <w:t>Conclusion:</w:t>
      </w:r>
    </w:p>
    <w:p w:rsidR="00CE4A0D" w:rsidRPr="00CE4A0D" w:rsidRDefault="00CE4A0D" w:rsidP="00CE4A0D">
      <w:pPr>
        <w:overflowPunct/>
        <w:autoSpaceDE/>
        <w:autoSpaceDN/>
        <w:adjustRightInd/>
        <w:spacing w:after="200" w:line="480" w:lineRule="auto"/>
        <w:ind w:firstLine="720"/>
        <w:jc w:val="both"/>
        <w:textAlignment w:val="auto"/>
        <w:rPr>
          <w:rFonts w:eastAsia="Calibri"/>
          <w:sz w:val="26"/>
          <w:szCs w:val="26"/>
        </w:rPr>
      </w:pPr>
      <w:r w:rsidRPr="00CE4A0D">
        <w:rPr>
          <w:rFonts w:eastAsia="Calibri"/>
          <w:sz w:val="26"/>
          <w:szCs w:val="26"/>
        </w:rPr>
        <w:t xml:space="preserve">The petition to amend Rule 39 of the Rules of Juvenile Procedure should be denied.  As outlined in this comment, the procedure in Family and Civil court regarding withdrawal of privately retained counsel is not feasible in dependency matters where counsel is court appointed, and a fundamental constitutional right is at stake.   </w:t>
      </w:r>
    </w:p>
    <w:p w:rsidR="00CE4A0D" w:rsidRPr="00CE4A0D" w:rsidRDefault="00CE4A0D" w:rsidP="00CE4A0D">
      <w:pPr>
        <w:overflowPunct/>
        <w:spacing w:line="480" w:lineRule="auto"/>
        <w:ind w:firstLine="274"/>
        <w:contextualSpacing/>
        <w:jc w:val="both"/>
        <w:textAlignment w:val="auto"/>
        <w:rPr>
          <w:color w:val="000000"/>
          <w:sz w:val="26"/>
          <w:szCs w:val="26"/>
        </w:rPr>
      </w:pPr>
      <w:r w:rsidRPr="00CE4A0D">
        <w:rPr>
          <w:color w:val="000000"/>
          <w:sz w:val="26"/>
          <w:szCs w:val="26"/>
        </w:rPr>
        <w:t>RESPECTFULLY SUBMITTED this 3</w:t>
      </w:r>
      <w:r w:rsidRPr="00CE4A0D">
        <w:rPr>
          <w:color w:val="000000"/>
          <w:sz w:val="26"/>
          <w:szCs w:val="26"/>
          <w:vertAlign w:val="superscript"/>
        </w:rPr>
        <w:t>rd</w:t>
      </w:r>
      <w:r w:rsidRPr="00CE4A0D">
        <w:rPr>
          <w:color w:val="000000"/>
          <w:sz w:val="26"/>
          <w:szCs w:val="26"/>
        </w:rPr>
        <w:t xml:space="preserve"> May 2016.</w:t>
      </w:r>
    </w:p>
    <w:p w:rsidR="00CE4A0D" w:rsidRPr="00CE4A0D" w:rsidRDefault="00CE4A0D" w:rsidP="00CE4A0D">
      <w:pPr>
        <w:keepNext/>
        <w:keepLines/>
        <w:tabs>
          <w:tab w:val="left" w:pos="9180"/>
        </w:tabs>
        <w:overflowPunct/>
        <w:autoSpaceDE/>
        <w:autoSpaceDN/>
        <w:adjustRightInd/>
        <w:spacing w:before="240" w:after="120"/>
        <w:ind w:left="4291" w:right="-288"/>
        <w:textAlignment w:val="auto"/>
        <w:rPr>
          <w:sz w:val="26"/>
          <w:szCs w:val="26"/>
        </w:rPr>
      </w:pPr>
      <w:r w:rsidRPr="00CE4A0D">
        <w:rPr>
          <w:sz w:val="26"/>
          <w:szCs w:val="26"/>
          <w:u w:val="single"/>
        </w:rPr>
        <w:t>/s/ Christina Phillis</w:t>
      </w:r>
      <w:r w:rsidRPr="00CE4A0D">
        <w:rPr>
          <w:sz w:val="26"/>
          <w:szCs w:val="26"/>
          <w:u w:val="single"/>
        </w:rPr>
        <w:tab/>
      </w:r>
    </w:p>
    <w:p w:rsidR="00CE4A0D" w:rsidRPr="00CE4A0D" w:rsidRDefault="00CE4A0D" w:rsidP="00CE4A0D">
      <w:pPr>
        <w:keepNext/>
        <w:keepLines/>
        <w:tabs>
          <w:tab w:val="left" w:pos="485"/>
        </w:tabs>
        <w:overflowPunct/>
        <w:autoSpaceDE/>
        <w:autoSpaceDN/>
        <w:adjustRightInd/>
        <w:spacing w:after="120"/>
        <w:ind w:left="4290" w:right="-288"/>
        <w:textAlignment w:val="auto"/>
        <w:rPr>
          <w:sz w:val="26"/>
          <w:szCs w:val="26"/>
        </w:rPr>
      </w:pPr>
      <w:r w:rsidRPr="00CE4A0D">
        <w:rPr>
          <w:sz w:val="26"/>
          <w:szCs w:val="26"/>
        </w:rPr>
        <w:t>Christina Phillis</w:t>
      </w:r>
    </w:p>
    <w:p w:rsidR="00CE4A0D" w:rsidRPr="00CE4A0D" w:rsidRDefault="00CE4A0D" w:rsidP="00CE4A0D">
      <w:pPr>
        <w:keepNext/>
        <w:keepLines/>
        <w:tabs>
          <w:tab w:val="left" w:pos="485"/>
        </w:tabs>
        <w:overflowPunct/>
        <w:autoSpaceDE/>
        <w:autoSpaceDN/>
        <w:adjustRightInd/>
        <w:spacing w:after="120"/>
        <w:ind w:left="4290" w:right="-288"/>
        <w:textAlignment w:val="auto"/>
        <w:rPr>
          <w:sz w:val="26"/>
          <w:szCs w:val="26"/>
        </w:rPr>
      </w:pPr>
      <w:r w:rsidRPr="00CE4A0D">
        <w:rPr>
          <w:sz w:val="26"/>
          <w:szCs w:val="26"/>
        </w:rPr>
        <w:t>On behalf of APDA</w:t>
      </w:r>
    </w:p>
    <w:p w:rsidR="00CE4A0D" w:rsidRPr="00CE4A0D" w:rsidRDefault="00CE4A0D" w:rsidP="00CE4A0D">
      <w:pPr>
        <w:overflowPunct/>
        <w:spacing w:line="480" w:lineRule="auto"/>
        <w:ind w:firstLine="274"/>
        <w:contextualSpacing/>
        <w:jc w:val="both"/>
        <w:textAlignment w:val="auto"/>
        <w:rPr>
          <w:color w:val="000000"/>
          <w:sz w:val="26"/>
          <w:szCs w:val="26"/>
        </w:rPr>
      </w:pPr>
    </w:p>
    <w:p w:rsidR="00CE4A0D" w:rsidRPr="00CE4A0D" w:rsidRDefault="00CE4A0D" w:rsidP="00CE4A0D">
      <w:pPr>
        <w:keepNext/>
        <w:keepLines/>
        <w:tabs>
          <w:tab w:val="left" w:pos="485"/>
        </w:tabs>
        <w:overflowPunct/>
        <w:autoSpaceDE/>
        <w:autoSpaceDN/>
        <w:adjustRightInd/>
        <w:spacing w:after="120"/>
        <w:ind w:right="4752"/>
        <w:textAlignment w:val="auto"/>
        <w:rPr>
          <w:sz w:val="26"/>
          <w:szCs w:val="26"/>
        </w:rPr>
      </w:pPr>
      <w:r w:rsidRPr="00CE4A0D">
        <w:rPr>
          <w:sz w:val="26"/>
          <w:szCs w:val="26"/>
        </w:rPr>
        <w:t>Electronic copy filed with the Clerk of the Supreme Court of Arizona this 3</w:t>
      </w:r>
      <w:r w:rsidRPr="00CE4A0D">
        <w:rPr>
          <w:sz w:val="26"/>
          <w:szCs w:val="26"/>
          <w:vertAlign w:val="superscript"/>
        </w:rPr>
        <w:t>rd</w:t>
      </w:r>
      <w:r w:rsidRPr="00CE4A0D">
        <w:rPr>
          <w:sz w:val="26"/>
          <w:szCs w:val="26"/>
        </w:rPr>
        <w:t xml:space="preserve"> day of May, 2016.</w:t>
      </w:r>
    </w:p>
    <w:p w:rsidR="00CE4A0D" w:rsidRPr="00CE4A0D" w:rsidRDefault="00CE4A0D" w:rsidP="00CE4A0D">
      <w:pPr>
        <w:keepNext/>
        <w:keepLines/>
        <w:tabs>
          <w:tab w:val="left" w:pos="485"/>
        </w:tabs>
        <w:overflowPunct/>
        <w:autoSpaceDE/>
        <w:autoSpaceDN/>
        <w:adjustRightInd/>
        <w:spacing w:after="120"/>
        <w:ind w:right="4752"/>
        <w:textAlignment w:val="auto"/>
        <w:rPr>
          <w:sz w:val="26"/>
          <w:szCs w:val="26"/>
        </w:rPr>
      </w:pPr>
    </w:p>
    <w:p w:rsidR="00CE4A0D" w:rsidRPr="00CE4A0D" w:rsidRDefault="00CE4A0D" w:rsidP="00CE4A0D">
      <w:pPr>
        <w:keepNext/>
        <w:keepLines/>
        <w:tabs>
          <w:tab w:val="left" w:pos="485"/>
        </w:tabs>
        <w:overflowPunct/>
        <w:autoSpaceDE/>
        <w:autoSpaceDN/>
        <w:adjustRightInd/>
        <w:spacing w:after="120"/>
        <w:ind w:right="4752"/>
        <w:textAlignment w:val="auto"/>
        <w:rPr>
          <w:sz w:val="26"/>
          <w:szCs w:val="26"/>
        </w:rPr>
      </w:pPr>
    </w:p>
    <w:p w:rsidR="00CE4A0D" w:rsidRPr="00CE4A0D" w:rsidRDefault="00CE4A0D" w:rsidP="00CE4A0D">
      <w:pPr>
        <w:keepNext/>
        <w:keepLines/>
        <w:tabs>
          <w:tab w:val="left" w:pos="485"/>
        </w:tabs>
        <w:overflowPunct/>
        <w:autoSpaceDE/>
        <w:autoSpaceDN/>
        <w:adjustRightInd/>
        <w:spacing w:after="120"/>
        <w:ind w:right="4752"/>
        <w:textAlignment w:val="auto"/>
        <w:rPr>
          <w:sz w:val="26"/>
          <w:szCs w:val="26"/>
        </w:rPr>
      </w:pPr>
    </w:p>
    <w:p w:rsidR="00433EAE" w:rsidRPr="00CE4A0D" w:rsidRDefault="00433EAE" w:rsidP="00CE4A0D"/>
    <w:sectPr w:rsidR="00433EAE" w:rsidRPr="00CE4A0D" w:rsidSect="006C245B">
      <w:headerReference w:type="even" r:id="rId9"/>
      <w:headerReference w:type="default" r:id="rId10"/>
      <w:footerReference w:type="default" r:id="rId11"/>
      <w:pgSz w:w="12240" w:h="15840"/>
      <w:pgMar w:top="1296" w:right="720" w:bottom="1296" w:left="2016" w:header="720"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3F4" w:rsidRDefault="00B523F4">
      <w:r>
        <w:separator/>
      </w:r>
    </w:p>
  </w:endnote>
  <w:endnote w:type="continuationSeparator" w:id="0">
    <w:p w:rsidR="00B523F4" w:rsidRDefault="00B5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F4" w:rsidRDefault="00B523F4">
    <w:pPr>
      <w:pStyle w:val="Footer"/>
      <w:rPr>
        <w:rFonts w:ascii="Arial" w:hAnsi="Arial" w:cs="Arial"/>
        <w:sz w:val="26"/>
        <w:szCs w:val="26"/>
      </w:rPr>
    </w:pPr>
    <w:r>
      <w:tab/>
    </w:r>
    <w:r>
      <w:rPr>
        <w:rFonts w:ascii="Arial" w:hAnsi="Arial" w:cs="Arial"/>
        <w:sz w:val="26"/>
        <w:szCs w:val="26"/>
      </w:rPr>
      <w:t xml:space="preserve"> </w:t>
    </w:r>
    <w:r w:rsidR="00286493">
      <w:rPr>
        <w:rFonts w:ascii="Arial" w:hAnsi="Arial" w:cs="Arial"/>
        <w:sz w:val="26"/>
        <w:szCs w:val="26"/>
      </w:rPr>
      <w:fldChar w:fldCharType="begin"/>
    </w:r>
    <w:r>
      <w:rPr>
        <w:rFonts w:ascii="Arial" w:hAnsi="Arial" w:cs="Arial"/>
        <w:sz w:val="26"/>
        <w:szCs w:val="26"/>
      </w:rPr>
      <w:instrText xml:space="preserve"> PAGE </w:instrText>
    </w:r>
    <w:r w:rsidR="00286493">
      <w:rPr>
        <w:rFonts w:ascii="Arial" w:hAnsi="Arial" w:cs="Arial"/>
        <w:sz w:val="26"/>
        <w:szCs w:val="26"/>
      </w:rPr>
      <w:fldChar w:fldCharType="separate"/>
    </w:r>
    <w:r w:rsidR="002B0575">
      <w:rPr>
        <w:rFonts w:ascii="Arial" w:hAnsi="Arial" w:cs="Arial"/>
        <w:noProof/>
        <w:sz w:val="26"/>
        <w:szCs w:val="26"/>
      </w:rPr>
      <w:t>2</w:t>
    </w:r>
    <w:r w:rsidR="00286493">
      <w:rPr>
        <w:rFonts w:ascii="Arial" w:hAnsi="Arial" w:cs="Arial"/>
        <w:sz w:val="26"/>
        <w:szCs w:val="26"/>
      </w:rPr>
      <w:fldChar w:fldCharType="end"/>
    </w:r>
    <w:r>
      <w:rPr>
        <w:rFonts w:ascii="Arial" w:hAnsi="Arial" w:cs="Arial"/>
        <w:sz w:val="26"/>
        <w:szCs w:val="2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3F4" w:rsidRDefault="00B523F4">
      <w:r>
        <w:separator/>
      </w:r>
    </w:p>
  </w:footnote>
  <w:footnote w:type="continuationSeparator" w:id="0">
    <w:p w:rsidR="00B523F4" w:rsidRDefault="00B52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F4" w:rsidRDefault="00B523F4">
    <w:pPr>
      <w:framePr w:w="720" w:wrap="auto" w:hAnchor="page"/>
      <w:pBdr>
        <w:right w:val="double" w:sz="6" w:space="0" w:color="000000"/>
      </w:pBdr>
      <w:tabs>
        <w:tab w:val="right" w:pos="432"/>
      </w:tabs>
      <w:spacing w:line="240" w:lineRule="exact"/>
      <w:ind w:right="144"/>
      <w:rPr>
        <w:rFonts w:ascii="Courier" w:hAnsi="Courier"/>
      </w:rPr>
    </w:pPr>
  </w:p>
  <w:p w:rsidR="00B523F4" w:rsidRDefault="00B523F4">
    <w:pPr>
      <w:framePr w:w="720" w:wrap="auto" w:hAnchor="page"/>
      <w:pBdr>
        <w:right w:val="double" w:sz="6" w:space="0" w:color="000000"/>
      </w:pBdr>
      <w:tabs>
        <w:tab w:val="right" w:pos="432"/>
      </w:tabs>
      <w:spacing w:line="240" w:lineRule="exact"/>
      <w:ind w:right="144"/>
      <w:rPr>
        <w:rFonts w:ascii="Courier" w:hAnsi="Courier"/>
      </w:rPr>
    </w:pPr>
  </w:p>
  <w:p w:rsidR="00B523F4" w:rsidRDefault="00B523F4">
    <w:pPr>
      <w:framePr w:w="720" w:wrap="auto" w:hAnchor="page"/>
      <w:pBdr>
        <w:right w:val="double" w:sz="6" w:space="0" w:color="000000"/>
      </w:pBdr>
      <w:tabs>
        <w:tab w:val="right" w:pos="432"/>
      </w:tabs>
      <w:spacing w:line="240" w:lineRule="exact"/>
      <w:ind w:right="144"/>
      <w:rPr>
        <w:rFonts w:ascii="Courier" w:hAnsi="Courier"/>
      </w:rPr>
    </w:pPr>
  </w:p>
  <w:p w:rsidR="00B523F4" w:rsidRDefault="00B523F4">
    <w:pPr>
      <w:framePr w:w="720" w:wrap="auto" w:hAnchor="page"/>
      <w:pBdr>
        <w:right w:val="double" w:sz="6" w:space="0" w:color="000000"/>
      </w:pBdr>
      <w:tabs>
        <w:tab w:val="right" w:pos="432"/>
      </w:tabs>
      <w:spacing w:line="240" w:lineRule="exact"/>
      <w:ind w:right="144"/>
      <w:rPr>
        <w:rFonts w:ascii="Courier" w:hAnsi="Courier"/>
      </w:rPr>
    </w:pPr>
    <w:r>
      <w:rPr>
        <w:rFonts w:ascii="Courier" w:hAnsi="Courier"/>
      </w:rPr>
      <w:tab/>
      <w:t>1</w:t>
    </w:r>
  </w:p>
  <w:p w:rsidR="00B523F4" w:rsidRDefault="00B523F4">
    <w:pPr>
      <w:framePr w:w="720" w:wrap="auto" w:hAnchor="page"/>
      <w:pBdr>
        <w:right w:val="double" w:sz="6" w:space="0" w:color="000000"/>
      </w:pBdr>
      <w:tabs>
        <w:tab w:val="right" w:pos="432"/>
      </w:tabs>
      <w:spacing w:line="480" w:lineRule="exact"/>
      <w:ind w:right="144"/>
      <w:rPr>
        <w:rFonts w:ascii="Courier" w:hAnsi="Courier"/>
      </w:rPr>
    </w:pPr>
    <w:r>
      <w:rPr>
        <w:rFonts w:ascii="Courier" w:hAnsi="Courier"/>
      </w:rPr>
      <w:tab/>
      <w:t>2</w:t>
    </w:r>
    <w:r>
      <w:rPr>
        <w:rFonts w:ascii="Courier" w:hAnsi="Courier"/>
      </w:rPr>
      <w:br/>
    </w:r>
    <w:r>
      <w:rPr>
        <w:rFonts w:ascii="Courier" w:hAnsi="Courier"/>
      </w:rPr>
      <w:tab/>
      <w:t>3</w:t>
    </w:r>
    <w:r>
      <w:rPr>
        <w:rFonts w:ascii="Courier" w:hAnsi="Courier"/>
      </w:rPr>
      <w:br/>
    </w:r>
    <w:r>
      <w:rPr>
        <w:rFonts w:ascii="Courier" w:hAnsi="Courier"/>
      </w:rPr>
      <w:tab/>
      <w:t>4</w:t>
    </w:r>
    <w:r>
      <w:rPr>
        <w:rFonts w:ascii="Courier" w:hAnsi="Courier"/>
      </w:rPr>
      <w:br/>
    </w:r>
    <w:r>
      <w:rPr>
        <w:rFonts w:ascii="Courier" w:hAnsi="Courier"/>
      </w:rPr>
      <w:tab/>
      <w:t>5</w:t>
    </w:r>
    <w:r>
      <w:rPr>
        <w:rFonts w:ascii="Courier" w:hAnsi="Courier"/>
      </w:rPr>
      <w:br/>
    </w:r>
    <w:r>
      <w:rPr>
        <w:rFonts w:ascii="Courier" w:hAnsi="Courier"/>
      </w:rPr>
      <w:tab/>
      <w:t>6</w:t>
    </w:r>
    <w:r>
      <w:rPr>
        <w:rFonts w:ascii="Courier" w:hAnsi="Courier"/>
      </w:rPr>
      <w:br/>
    </w:r>
    <w:r>
      <w:rPr>
        <w:rFonts w:ascii="Courier" w:hAnsi="Courier"/>
      </w:rPr>
      <w:tab/>
      <w:t>7</w:t>
    </w:r>
    <w:r>
      <w:rPr>
        <w:rFonts w:ascii="Courier" w:hAnsi="Courier"/>
      </w:rPr>
      <w:br/>
    </w:r>
    <w:r>
      <w:rPr>
        <w:rFonts w:ascii="Courier" w:hAnsi="Courier"/>
      </w:rPr>
      <w:tab/>
      <w:t>8</w:t>
    </w:r>
    <w:r>
      <w:rPr>
        <w:rFonts w:ascii="Courier" w:hAnsi="Courier"/>
      </w:rPr>
      <w:br/>
    </w:r>
    <w:r>
      <w:rPr>
        <w:rFonts w:ascii="Courier" w:hAnsi="Courier"/>
      </w:rPr>
      <w:tab/>
      <w:t>9</w:t>
    </w:r>
    <w:r>
      <w:rPr>
        <w:rFonts w:ascii="Courier" w:hAnsi="Courier"/>
      </w:rPr>
      <w:br/>
    </w:r>
    <w:r>
      <w:rPr>
        <w:rFonts w:ascii="Courier" w:hAnsi="Courier"/>
      </w:rPr>
      <w:tab/>
      <w:t>10</w:t>
    </w:r>
    <w:r>
      <w:rPr>
        <w:rFonts w:ascii="Courier" w:hAnsi="Courier"/>
      </w:rPr>
      <w:br/>
    </w:r>
    <w:r>
      <w:rPr>
        <w:rFonts w:ascii="Courier" w:hAnsi="Courier"/>
      </w:rPr>
      <w:tab/>
      <w:t>11</w:t>
    </w:r>
    <w:r>
      <w:rPr>
        <w:rFonts w:ascii="Courier" w:hAnsi="Courier"/>
      </w:rPr>
      <w:br/>
    </w:r>
    <w:r>
      <w:rPr>
        <w:rFonts w:ascii="Courier" w:hAnsi="Courier"/>
      </w:rPr>
      <w:tab/>
      <w:t>12</w:t>
    </w:r>
    <w:r>
      <w:rPr>
        <w:rFonts w:ascii="Courier" w:hAnsi="Courier"/>
      </w:rPr>
      <w:br/>
    </w:r>
    <w:r>
      <w:rPr>
        <w:rFonts w:ascii="Courier" w:hAnsi="Courier"/>
      </w:rPr>
      <w:tab/>
      <w:t>13</w:t>
    </w:r>
    <w:r>
      <w:rPr>
        <w:rFonts w:ascii="Courier" w:hAnsi="Courier"/>
      </w:rPr>
      <w:br/>
    </w:r>
    <w:r>
      <w:rPr>
        <w:rFonts w:ascii="Courier" w:hAnsi="Courier"/>
      </w:rPr>
      <w:tab/>
      <w:t>14</w:t>
    </w:r>
    <w:r>
      <w:rPr>
        <w:rFonts w:ascii="Courier" w:hAnsi="Courier"/>
      </w:rPr>
      <w:br/>
    </w:r>
    <w:r>
      <w:rPr>
        <w:rFonts w:ascii="Courier" w:hAnsi="Courier"/>
      </w:rPr>
      <w:tab/>
      <w:t>15</w:t>
    </w:r>
    <w:r>
      <w:rPr>
        <w:rFonts w:ascii="Courier" w:hAnsi="Courier"/>
      </w:rPr>
      <w:br/>
    </w:r>
    <w:r>
      <w:rPr>
        <w:rFonts w:ascii="Courier" w:hAnsi="Courier"/>
      </w:rPr>
      <w:tab/>
      <w:t>16</w:t>
    </w:r>
    <w:r>
      <w:rPr>
        <w:rFonts w:ascii="Courier" w:hAnsi="Courier"/>
      </w:rPr>
      <w:br/>
    </w:r>
    <w:r>
      <w:rPr>
        <w:rFonts w:ascii="Courier" w:hAnsi="Courier"/>
      </w:rPr>
      <w:tab/>
      <w:t>17</w:t>
    </w:r>
    <w:r>
      <w:rPr>
        <w:rFonts w:ascii="Courier" w:hAnsi="Courier"/>
      </w:rPr>
      <w:br/>
    </w:r>
    <w:r>
      <w:rPr>
        <w:rFonts w:ascii="Courier" w:hAnsi="Courier"/>
      </w:rPr>
      <w:tab/>
      <w:t>18</w:t>
    </w:r>
    <w:r>
      <w:rPr>
        <w:rFonts w:ascii="Courier" w:hAnsi="Courier"/>
      </w:rPr>
      <w:br/>
    </w:r>
    <w:r>
      <w:rPr>
        <w:rFonts w:ascii="Courier" w:hAnsi="Courier"/>
      </w:rPr>
      <w:tab/>
      <w:t>19</w:t>
    </w:r>
    <w:r>
      <w:rPr>
        <w:rFonts w:ascii="Courier" w:hAnsi="Courier"/>
      </w:rPr>
      <w:br/>
    </w:r>
    <w:r>
      <w:rPr>
        <w:rFonts w:ascii="Courier" w:hAnsi="Courier"/>
      </w:rPr>
      <w:tab/>
      <w:t>20</w:t>
    </w:r>
    <w:r>
      <w:rPr>
        <w:rFonts w:ascii="Courier" w:hAnsi="Courier"/>
      </w:rPr>
      <w:br/>
    </w:r>
    <w:r>
      <w:rPr>
        <w:rFonts w:ascii="Courier" w:hAnsi="Courier"/>
      </w:rPr>
      <w:tab/>
      <w:t>21</w:t>
    </w:r>
    <w:r>
      <w:rPr>
        <w:rFonts w:ascii="Courier" w:hAnsi="Courier"/>
      </w:rPr>
      <w:br/>
    </w:r>
    <w:r>
      <w:rPr>
        <w:rFonts w:ascii="Courier" w:hAnsi="Courier"/>
      </w:rPr>
      <w:tab/>
      <w:t>22</w:t>
    </w:r>
    <w:r>
      <w:rPr>
        <w:rFonts w:ascii="Courier" w:hAnsi="Courier"/>
      </w:rPr>
      <w:br/>
    </w:r>
    <w:r>
      <w:rPr>
        <w:rFonts w:ascii="Courier" w:hAnsi="Courier"/>
      </w:rPr>
      <w:tab/>
      <w:t>23</w:t>
    </w:r>
    <w:r>
      <w:rPr>
        <w:rFonts w:ascii="Courier" w:hAnsi="Courier"/>
      </w:rPr>
      <w:br/>
    </w:r>
    <w:r>
      <w:rPr>
        <w:rFonts w:ascii="Courier" w:hAnsi="Courier"/>
      </w:rPr>
      <w:tab/>
      <w:t>24</w:t>
    </w:r>
    <w:r>
      <w:rPr>
        <w:rFonts w:ascii="Courier" w:hAnsi="Courier"/>
      </w:rPr>
      <w:br/>
    </w:r>
    <w:r>
      <w:rPr>
        <w:rFonts w:ascii="Courier" w:hAnsi="Courier"/>
      </w:rPr>
      <w:tab/>
      <w:t>25</w:t>
    </w:r>
    <w:r>
      <w:rPr>
        <w:rFonts w:ascii="Courier" w:hAnsi="Courier"/>
      </w:rPr>
      <w:br/>
    </w:r>
    <w:r>
      <w:rPr>
        <w:rFonts w:ascii="Courier" w:hAnsi="Courier"/>
      </w:rPr>
      <w:tab/>
      <w:t>26</w:t>
    </w:r>
    <w:r>
      <w:rPr>
        <w:rFonts w:ascii="Courier" w:hAnsi="Courier"/>
      </w:rPr>
      <w:br/>
    </w:r>
    <w:r>
      <w:rPr>
        <w:rFonts w:ascii="Courier" w:hAnsi="Courier"/>
      </w:rPr>
      <w:tab/>
      <w:t>27</w:t>
    </w:r>
    <w:r>
      <w:rPr>
        <w:rFonts w:ascii="Courier" w:hAnsi="Courier"/>
      </w:rPr>
      <w:br/>
    </w:r>
    <w:r>
      <w:rPr>
        <w:rFonts w:ascii="Courier" w:hAnsi="Courier"/>
      </w:rPr>
      <w:tab/>
      <w:t>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F4" w:rsidRDefault="00B523F4">
    <w:pPr>
      <w:framePr w:w="720" w:wrap="auto" w:vAnchor="text" w:hAnchor="page" w:x="1153" w:y="-579"/>
      <w:pBdr>
        <w:right w:val="double" w:sz="12" w:space="0" w:color="00FFFF"/>
      </w:pBdr>
      <w:tabs>
        <w:tab w:val="right" w:pos="450"/>
      </w:tabs>
      <w:spacing w:line="240" w:lineRule="exact"/>
      <w:ind w:right="144"/>
      <w:rPr>
        <w:color w:val="000080"/>
        <w:sz w:val="16"/>
      </w:rPr>
    </w:pPr>
  </w:p>
  <w:p w:rsidR="00B523F4" w:rsidRDefault="00B523F4">
    <w:pPr>
      <w:framePr w:w="720" w:wrap="auto" w:vAnchor="text" w:hAnchor="page" w:x="1153" w:y="-579"/>
      <w:pBdr>
        <w:right w:val="double" w:sz="12" w:space="0" w:color="00FFFF"/>
      </w:pBdr>
      <w:tabs>
        <w:tab w:val="right" w:pos="450"/>
      </w:tabs>
      <w:spacing w:line="240" w:lineRule="exact"/>
      <w:ind w:right="144"/>
      <w:rPr>
        <w:color w:val="000080"/>
        <w:sz w:val="16"/>
      </w:rPr>
    </w:pPr>
  </w:p>
  <w:p w:rsidR="00B523F4" w:rsidRDefault="00B523F4">
    <w:pPr>
      <w:framePr w:w="720" w:wrap="auto" w:vAnchor="text" w:hAnchor="page" w:x="1153" w:y="-579"/>
      <w:pBdr>
        <w:right w:val="double" w:sz="12" w:space="0" w:color="00FFFF"/>
      </w:pBdr>
      <w:tabs>
        <w:tab w:val="right" w:pos="450"/>
      </w:tabs>
      <w:spacing w:line="240" w:lineRule="exact"/>
      <w:ind w:right="144"/>
      <w:rPr>
        <w:color w:val="000080"/>
        <w:sz w:val="16"/>
      </w:rPr>
    </w:pPr>
  </w:p>
  <w:p w:rsidR="00B523F4" w:rsidRDefault="00B523F4">
    <w:pPr>
      <w:framePr w:w="720" w:wrap="auto" w:vAnchor="text" w:hAnchor="page" w:x="1153" w:y="-579"/>
      <w:pBdr>
        <w:right w:val="double" w:sz="12" w:space="0" w:color="00FFFF"/>
      </w:pBdr>
      <w:tabs>
        <w:tab w:val="right" w:pos="450"/>
      </w:tabs>
      <w:spacing w:line="240" w:lineRule="exact"/>
      <w:ind w:right="144"/>
      <w:rPr>
        <w:color w:val="000080"/>
        <w:sz w:val="16"/>
      </w:rPr>
    </w:pPr>
    <w:r>
      <w:rPr>
        <w:color w:val="000080"/>
        <w:sz w:val="16"/>
      </w:rPr>
      <w:t xml:space="preserve">                 </w:t>
    </w:r>
  </w:p>
  <w:p w:rsidR="00B523F4" w:rsidRDefault="00B523F4">
    <w:pPr>
      <w:framePr w:w="720" w:wrap="auto" w:vAnchor="text" w:hAnchor="page" w:x="1153" w:y="-579"/>
      <w:pBdr>
        <w:right w:val="double" w:sz="12" w:space="0" w:color="00FFFF"/>
      </w:pBdr>
      <w:tabs>
        <w:tab w:val="right" w:pos="450"/>
      </w:tabs>
      <w:spacing w:line="240" w:lineRule="exact"/>
      <w:ind w:right="144"/>
      <w:rPr>
        <w:color w:val="000080"/>
        <w:sz w:val="16"/>
      </w:rPr>
    </w:pPr>
    <w:r>
      <w:rPr>
        <w:color w:val="000080"/>
        <w:sz w:val="16"/>
      </w:rPr>
      <w:t xml:space="preserve">                 </w:t>
    </w:r>
  </w:p>
  <w:p w:rsidR="00B523F4" w:rsidRDefault="00B523F4">
    <w:pPr>
      <w:framePr w:w="720" w:wrap="auto" w:vAnchor="text" w:hAnchor="page" w:x="1153" w:y="-579"/>
      <w:pBdr>
        <w:right w:val="double" w:sz="12" w:space="0" w:color="00FFFF"/>
      </w:pBdr>
      <w:tabs>
        <w:tab w:val="right" w:pos="450"/>
      </w:tabs>
      <w:spacing w:line="240" w:lineRule="exact"/>
      <w:ind w:right="144"/>
      <w:rPr>
        <w:color w:val="000080"/>
        <w:sz w:val="22"/>
      </w:rPr>
    </w:pPr>
    <w:r>
      <w:rPr>
        <w:color w:val="000000"/>
        <w:sz w:val="22"/>
      </w:rPr>
      <w:tab/>
      <w:t xml:space="preserve">1 </w:t>
    </w:r>
    <w:r>
      <w:rPr>
        <w:color w:val="000080"/>
        <w:sz w:val="22"/>
      </w:rPr>
      <w:t xml:space="preserve">  </w:t>
    </w:r>
  </w:p>
  <w:p w:rsidR="00B523F4" w:rsidRDefault="00B523F4">
    <w:pPr>
      <w:framePr w:w="720" w:wrap="auto" w:vAnchor="text" w:hAnchor="page" w:x="1153" w:y="-579"/>
      <w:pBdr>
        <w:right w:val="double" w:sz="12" w:space="0" w:color="00FFFF"/>
      </w:pBdr>
      <w:tabs>
        <w:tab w:val="right" w:pos="450"/>
      </w:tabs>
      <w:spacing w:line="480" w:lineRule="exact"/>
      <w:ind w:right="144"/>
      <w:rPr>
        <w:sz w:val="16"/>
      </w:rPr>
    </w:pPr>
    <w:r>
      <w:rPr>
        <w:sz w:val="22"/>
      </w:rPr>
      <w:tab/>
      <w:t>2</w:t>
    </w:r>
    <w:r>
      <w:rPr>
        <w:color w:val="800080"/>
        <w:sz w:val="22"/>
      </w:rPr>
      <w:br/>
    </w:r>
    <w:r>
      <w:rPr>
        <w:color w:val="800080"/>
        <w:sz w:val="22"/>
      </w:rPr>
      <w:tab/>
    </w:r>
    <w:r>
      <w:rPr>
        <w:sz w:val="22"/>
      </w:rPr>
      <w:t>3</w:t>
    </w:r>
    <w:r>
      <w:rPr>
        <w:sz w:val="22"/>
      </w:rPr>
      <w:br/>
    </w:r>
    <w:r>
      <w:rPr>
        <w:sz w:val="22"/>
      </w:rPr>
      <w:tab/>
      <w:t>4</w:t>
    </w:r>
    <w:r>
      <w:rPr>
        <w:sz w:val="22"/>
      </w:rPr>
      <w:br/>
    </w:r>
    <w:r>
      <w:rPr>
        <w:sz w:val="22"/>
      </w:rPr>
      <w:tab/>
      <w:t>5</w:t>
    </w:r>
    <w:r>
      <w:rPr>
        <w:sz w:val="22"/>
      </w:rPr>
      <w:br/>
    </w:r>
    <w:r>
      <w:rPr>
        <w:sz w:val="22"/>
      </w:rPr>
      <w:tab/>
      <w:t>6</w:t>
    </w:r>
    <w:r>
      <w:rPr>
        <w:sz w:val="22"/>
      </w:rPr>
      <w:br/>
    </w:r>
    <w:r>
      <w:rPr>
        <w:sz w:val="22"/>
      </w:rPr>
      <w:tab/>
      <w:t>7</w:t>
    </w:r>
    <w:r>
      <w:rPr>
        <w:sz w:val="22"/>
      </w:rPr>
      <w:br/>
    </w:r>
    <w:r>
      <w:rPr>
        <w:sz w:val="22"/>
      </w:rPr>
      <w:tab/>
      <w:t>8</w:t>
    </w:r>
    <w:r>
      <w:rPr>
        <w:sz w:val="22"/>
      </w:rPr>
      <w:br/>
    </w:r>
    <w:r>
      <w:rPr>
        <w:sz w:val="22"/>
      </w:rPr>
      <w:tab/>
      <w:t>9</w:t>
    </w:r>
    <w:r>
      <w:rPr>
        <w:sz w:val="22"/>
      </w:rPr>
      <w:br/>
    </w:r>
    <w:r>
      <w:rPr>
        <w:sz w:val="22"/>
      </w:rPr>
      <w:tab/>
      <w:t>10</w:t>
    </w:r>
    <w:r>
      <w:rPr>
        <w:sz w:val="22"/>
      </w:rPr>
      <w:br/>
    </w:r>
    <w:r>
      <w:rPr>
        <w:sz w:val="22"/>
      </w:rPr>
      <w:tab/>
      <w:t>11</w:t>
    </w:r>
    <w:r>
      <w:rPr>
        <w:sz w:val="22"/>
      </w:rPr>
      <w:br/>
    </w:r>
    <w:r>
      <w:rPr>
        <w:sz w:val="22"/>
      </w:rPr>
      <w:tab/>
      <w:t>12</w:t>
    </w:r>
    <w:r>
      <w:rPr>
        <w:sz w:val="22"/>
      </w:rPr>
      <w:br/>
    </w:r>
    <w:r>
      <w:rPr>
        <w:sz w:val="22"/>
      </w:rPr>
      <w:tab/>
      <w:t>13</w:t>
    </w:r>
    <w:r>
      <w:rPr>
        <w:sz w:val="22"/>
      </w:rPr>
      <w:br/>
    </w:r>
    <w:r>
      <w:rPr>
        <w:sz w:val="22"/>
      </w:rPr>
      <w:tab/>
      <w:t>14</w:t>
    </w:r>
    <w:r>
      <w:rPr>
        <w:sz w:val="22"/>
      </w:rPr>
      <w:br/>
    </w:r>
    <w:r>
      <w:rPr>
        <w:sz w:val="22"/>
      </w:rPr>
      <w:tab/>
      <w:t>15</w:t>
    </w:r>
    <w:r>
      <w:rPr>
        <w:sz w:val="22"/>
      </w:rPr>
      <w:br/>
    </w:r>
    <w:r>
      <w:rPr>
        <w:sz w:val="22"/>
      </w:rPr>
      <w:tab/>
      <w:t>16</w:t>
    </w:r>
    <w:r>
      <w:rPr>
        <w:sz w:val="22"/>
      </w:rPr>
      <w:br/>
    </w:r>
    <w:r>
      <w:rPr>
        <w:sz w:val="22"/>
      </w:rPr>
      <w:tab/>
      <w:t>17</w:t>
    </w:r>
    <w:r>
      <w:rPr>
        <w:sz w:val="22"/>
      </w:rPr>
      <w:br/>
    </w:r>
    <w:r>
      <w:rPr>
        <w:sz w:val="22"/>
      </w:rPr>
      <w:tab/>
      <w:t>18</w:t>
    </w:r>
    <w:r>
      <w:rPr>
        <w:sz w:val="22"/>
      </w:rPr>
      <w:br/>
    </w:r>
    <w:r>
      <w:rPr>
        <w:sz w:val="22"/>
      </w:rPr>
      <w:tab/>
      <w:t>19</w:t>
    </w:r>
    <w:r>
      <w:rPr>
        <w:sz w:val="22"/>
      </w:rPr>
      <w:br/>
    </w:r>
    <w:r>
      <w:rPr>
        <w:sz w:val="22"/>
      </w:rPr>
      <w:tab/>
      <w:t>20</w:t>
    </w:r>
    <w:r>
      <w:rPr>
        <w:sz w:val="22"/>
      </w:rPr>
      <w:br/>
    </w:r>
    <w:r>
      <w:rPr>
        <w:sz w:val="22"/>
      </w:rPr>
      <w:tab/>
      <w:t>21</w:t>
    </w:r>
    <w:r>
      <w:rPr>
        <w:sz w:val="22"/>
      </w:rPr>
      <w:br/>
    </w:r>
    <w:r>
      <w:rPr>
        <w:sz w:val="22"/>
      </w:rPr>
      <w:tab/>
      <w:t>22</w:t>
    </w:r>
    <w:r>
      <w:rPr>
        <w:sz w:val="22"/>
      </w:rPr>
      <w:br/>
    </w:r>
    <w:r>
      <w:rPr>
        <w:sz w:val="22"/>
      </w:rPr>
      <w:tab/>
      <w:t>23</w:t>
    </w:r>
    <w:r>
      <w:rPr>
        <w:sz w:val="22"/>
      </w:rPr>
      <w:br/>
    </w:r>
    <w:r>
      <w:rPr>
        <w:sz w:val="22"/>
      </w:rPr>
      <w:tab/>
      <w:t>24</w:t>
    </w:r>
    <w:r>
      <w:rPr>
        <w:sz w:val="22"/>
      </w:rPr>
      <w:br/>
    </w:r>
    <w:r>
      <w:rPr>
        <w:sz w:val="22"/>
      </w:rPr>
      <w:tab/>
      <w:t>25</w:t>
    </w:r>
    <w:r>
      <w:rPr>
        <w:sz w:val="22"/>
      </w:rPr>
      <w:br/>
    </w:r>
    <w:r>
      <w:rPr>
        <w:sz w:val="22"/>
      </w:rPr>
      <w:tab/>
      <w:t>26</w:t>
    </w:r>
    <w:r>
      <w:rPr>
        <w:sz w:val="22"/>
      </w:rPr>
      <w:br/>
    </w:r>
    <w:r>
      <w:rPr>
        <w:sz w:val="22"/>
      </w:rPr>
      <w:tab/>
      <w:t>27</w:t>
    </w:r>
    <w:r>
      <w:rPr>
        <w:sz w:val="22"/>
      </w:rPr>
      <w:br/>
    </w:r>
    <w:r>
      <w:rPr>
        <w:sz w:val="22"/>
      </w:rPr>
      <w:tab/>
      <w:t>28</w:t>
    </w:r>
    <w:r>
      <w:rPr>
        <w:sz w:val="16"/>
      </w:rPr>
      <w:b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725"/>
    <w:rsid w:val="000004D6"/>
    <w:rsid w:val="00022192"/>
    <w:rsid w:val="00073B89"/>
    <w:rsid w:val="000B0268"/>
    <w:rsid w:val="000C0C81"/>
    <w:rsid w:val="000D644D"/>
    <w:rsid w:val="000E0849"/>
    <w:rsid w:val="000F33B2"/>
    <w:rsid w:val="000F3855"/>
    <w:rsid w:val="000F3F4C"/>
    <w:rsid w:val="001005B4"/>
    <w:rsid w:val="00103CDB"/>
    <w:rsid w:val="001122DA"/>
    <w:rsid w:val="00116A79"/>
    <w:rsid w:val="00141F25"/>
    <w:rsid w:val="001472FB"/>
    <w:rsid w:val="00157157"/>
    <w:rsid w:val="001616F7"/>
    <w:rsid w:val="0017278C"/>
    <w:rsid w:val="001812C4"/>
    <w:rsid w:val="001A0239"/>
    <w:rsid w:val="001A1C5D"/>
    <w:rsid w:val="001A2F03"/>
    <w:rsid w:val="001C4D62"/>
    <w:rsid w:val="001E0B9E"/>
    <w:rsid w:val="0020069D"/>
    <w:rsid w:val="00205E84"/>
    <w:rsid w:val="00214896"/>
    <w:rsid w:val="0021578F"/>
    <w:rsid w:val="00216AEB"/>
    <w:rsid w:val="00216FED"/>
    <w:rsid w:val="00220631"/>
    <w:rsid w:val="0022777B"/>
    <w:rsid w:val="00227E88"/>
    <w:rsid w:val="00231B3B"/>
    <w:rsid w:val="002527C8"/>
    <w:rsid w:val="00253844"/>
    <w:rsid w:val="0025417F"/>
    <w:rsid w:val="00277B99"/>
    <w:rsid w:val="00284D25"/>
    <w:rsid w:val="00286493"/>
    <w:rsid w:val="0029210F"/>
    <w:rsid w:val="00295542"/>
    <w:rsid w:val="0029741C"/>
    <w:rsid w:val="002B0575"/>
    <w:rsid w:val="002B080E"/>
    <w:rsid w:val="002C4315"/>
    <w:rsid w:val="002D6651"/>
    <w:rsid w:val="002E0A61"/>
    <w:rsid w:val="002F127F"/>
    <w:rsid w:val="00314496"/>
    <w:rsid w:val="00317704"/>
    <w:rsid w:val="003248C3"/>
    <w:rsid w:val="003317A0"/>
    <w:rsid w:val="00333242"/>
    <w:rsid w:val="0033605E"/>
    <w:rsid w:val="00343068"/>
    <w:rsid w:val="00345EF0"/>
    <w:rsid w:val="003607D2"/>
    <w:rsid w:val="0037586B"/>
    <w:rsid w:val="00392944"/>
    <w:rsid w:val="0039764D"/>
    <w:rsid w:val="003A65FB"/>
    <w:rsid w:val="003C69D4"/>
    <w:rsid w:val="003E0311"/>
    <w:rsid w:val="003E5E76"/>
    <w:rsid w:val="003F25E7"/>
    <w:rsid w:val="003F6F82"/>
    <w:rsid w:val="0040411A"/>
    <w:rsid w:val="00417462"/>
    <w:rsid w:val="004219AD"/>
    <w:rsid w:val="004250EA"/>
    <w:rsid w:val="00433EAE"/>
    <w:rsid w:val="004376F3"/>
    <w:rsid w:val="00461EF2"/>
    <w:rsid w:val="00467BD8"/>
    <w:rsid w:val="004707E2"/>
    <w:rsid w:val="0047315E"/>
    <w:rsid w:val="0047362B"/>
    <w:rsid w:val="004B36B7"/>
    <w:rsid w:val="004C7992"/>
    <w:rsid w:val="004E5507"/>
    <w:rsid w:val="004E761E"/>
    <w:rsid w:val="004E7EEC"/>
    <w:rsid w:val="00507467"/>
    <w:rsid w:val="00533531"/>
    <w:rsid w:val="00544B97"/>
    <w:rsid w:val="005478C5"/>
    <w:rsid w:val="00550E8E"/>
    <w:rsid w:val="005555E7"/>
    <w:rsid w:val="005635B3"/>
    <w:rsid w:val="00567ABB"/>
    <w:rsid w:val="00567ADF"/>
    <w:rsid w:val="0059779D"/>
    <w:rsid w:val="005A69EF"/>
    <w:rsid w:val="005E48D9"/>
    <w:rsid w:val="005E6109"/>
    <w:rsid w:val="00622BCF"/>
    <w:rsid w:val="0063464A"/>
    <w:rsid w:val="00640969"/>
    <w:rsid w:val="006427E6"/>
    <w:rsid w:val="006533E6"/>
    <w:rsid w:val="006641D7"/>
    <w:rsid w:val="00677987"/>
    <w:rsid w:val="006868D9"/>
    <w:rsid w:val="00691C26"/>
    <w:rsid w:val="006B0076"/>
    <w:rsid w:val="006B73B0"/>
    <w:rsid w:val="006B7D2A"/>
    <w:rsid w:val="006C245B"/>
    <w:rsid w:val="006D4ED1"/>
    <w:rsid w:val="006E46C3"/>
    <w:rsid w:val="006F51F3"/>
    <w:rsid w:val="00702799"/>
    <w:rsid w:val="00702C61"/>
    <w:rsid w:val="0070735E"/>
    <w:rsid w:val="00711ADC"/>
    <w:rsid w:val="007123B7"/>
    <w:rsid w:val="00722F4C"/>
    <w:rsid w:val="00734EC9"/>
    <w:rsid w:val="00740E9D"/>
    <w:rsid w:val="00743E8F"/>
    <w:rsid w:val="0074650C"/>
    <w:rsid w:val="00766473"/>
    <w:rsid w:val="00771B75"/>
    <w:rsid w:val="00775233"/>
    <w:rsid w:val="00796ED6"/>
    <w:rsid w:val="007A7B59"/>
    <w:rsid w:val="007B0B05"/>
    <w:rsid w:val="007B1F67"/>
    <w:rsid w:val="007B7476"/>
    <w:rsid w:val="007C4BD8"/>
    <w:rsid w:val="007C523B"/>
    <w:rsid w:val="007E2F96"/>
    <w:rsid w:val="007E3433"/>
    <w:rsid w:val="007E683B"/>
    <w:rsid w:val="007E747A"/>
    <w:rsid w:val="007F1755"/>
    <w:rsid w:val="007F40D0"/>
    <w:rsid w:val="00801B64"/>
    <w:rsid w:val="00803D75"/>
    <w:rsid w:val="0081117B"/>
    <w:rsid w:val="008235C5"/>
    <w:rsid w:val="00833523"/>
    <w:rsid w:val="008615A6"/>
    <w:rsid w:val="0087144A"/>
    <w:rsid w:val="00871736"/>
    <w:rsid w:val="0089431C"/>
    <w:rsid w:val="008A157E"/>
    <w:rsid w:val="008A249C"/>
    <w:rsid w:val="008A7C14"/>
    <w:rsid w:val="008B23E9"/>
    <w:rsid w:val="008C7808"/>
    <w:rsid w:val="008D29C9"/>
    <w:rsid w:val="008D5F23"/>
    <w:rsid w:val="008D612F"/>
    <w:rsid w:val="008D7808"/>
    <w:rsid w:val="008E0A26"/>
    <w:rsid w:val="009048BD"/>
    <w:rsid w:val="00911800"/>
    <w:rsid w:val="0091365D"/>
    <w:rsid w:val="0091758A"/>
    <w:rsid w:val="009312B7"/>
    <w:rsid w:val="0093523E"/>
    <w:rsid w:val="009369F4"/>
    <w:rsid w:val="0094340A"/>
    <w:rsid w:val="00955CF7"/>
    <w:rsid w:val="0095727A"/>
    <w:rsid w:val="00976663"/>
    <w:rsid w:val="00981184"/>
    <w:rsid w:val="00982A09"/>
    <w:rsid w:val="00984031"/>
    <w:rsid w:val="00985655"/>
    <w:rsid w:val="009A0EE1"/>
    <w:rsid w:val="009C07DC"/>
    <w:rsid w:val="009C23A5"/>
    <w:rsid w:val="009C7AA0"/>
    <w:rsid w:val="009E04BD"/>
    <w:rsid w:val="009E3E81"/>
    <w:rsid w:val="00A047B9"/>
    <w:rsid w:val="00A57734"/>
    <w:rsid w:val="00A6743D"/>
    <w:rsid w:val="00A7379E"/>
    <w:rsid w:val="00A807BC"/>
    <w:rsid w:val="00A825D1"/>
    <w:rsid w:val="00A841E5"/>
    <w:rsid w:val="00A966EF"/>
    <w:rsid w:val="00AE431F"/>
    <w:rsid w:val="00B00117"/>
    <w:rsid w:val="00B31406"/>
    <w:rsid w:val="00B32066"/>
    <w:rsid w:val="00B41455"/>
    <w:rsid w:val="00B516FC"/>
    <w:rsid w:val="00B523F4"/>
    <w:rsid w:val="00B55408"/>
    <w:rsid w:val="00B5602A"/>
    <w:rsid w:val="00B57CD0"/>
    <w:rsid w:val="00B70CB1"/>
    <w:rsid w:val="00B727BE"/>
    <w:rsid w:val="00B73FD1"/>
    <w:rsid w:val="00B80E7E"/>
    <w:rsid w:val="00B83379"/>
    <w:rsid w:val="00B83BFB"/>
    <w:rsid w:val="00B85FCA"/>
    <w:rsid w:val="00B87351"/>
    <w:rsid w:val="00B92E09"/>
    <w:rsid w:val="00BA48B1"/>
    <w:rsid w:val="00BD5447"/>
    <w:rsid w:val="00BE0F50"/>
    <w:rsid w:val="00C12989"/>
    <w:rsid w:val="00C311C9"/>
    <w:rsid w:val="00C3339C"/>
    <w:rsid w:val="00C33B83"/>
    <w:rsid w:val="00C4469A"/>
    <w:rsid w:val="00C523C8"/>
    <w:rsid w:val="00C61092"/>
    <w:rsid w:val="00C64215"/>
    <w:rsid w:val="00C70725"/>
    <w:rsid w:val="00C75BEC"/>
    <w:rsid w:val="00CA7D10"/>
    <w:rsid w:val="00CB1771"/>
    <w:rsid w:val="00CC04DE"/>
    <w:rsid w:val="00CC55FA"/>
    <w:rsid w:val="00CD7217"/>
    <w:rsid w:val="00CE0D61"/>
    <w:rsid w:val="00CE4A0D"/>
    <w:rsid w:val="00CF26E5"/>
    <w:rsid w:val="00CF3512"/>
    <w:rsid w:val="00D176D2"/>
    <w:rsid w:val="00D4662A"/>
    <w:rsid w:val="00D7557E"/>
    <w:rsid w:val="00D9012B"/>
    <w:rsid w:val="00D91465"/>
    <w:rsid w:val="00D975A6"/>
    <w:rsid w:val="00DA778D"/>
    <w:rsid w:val="00DB315C"/>
    <w:rsid w:val="00DB4E10"/>
    <w:rsid w:val="00DC7C91"/>
    <w:rsid w:val="00DD2FFD"/>
    <w:rsid w:val="00DD71BC"/>
    <w:rsid w:val="00DF6A11"/>
    <w:rsid w:val="00E13E0B"/>
    <w:rsid w:val="00E20F73"/>
    <w:rsid w:val="00E24AE0"/>
    <w:rsid w:val="00E34344"/>
    <w:rsid w:val="00E421B2"/>
    <w:rsid w:val="00E45254"/>
    <w:rsid w:val="00E4550D"/>
    <w:rsid w:val="00E540C0"/>
    <w:rsid w:val="00E613DE"/>
    <w:rsid w:val="00E65656"/>
    <w:rsid w:val="00E8040E"/>
    <w:rsid w:val="00E97563"/>
    <w:rsid w:val="00EA76C0"/>
    <w:rsid w:val="00EB3C0D"/>
    <w:rsid w:val="00EC0A92"/>
    <w:rsid w:val="00EC66CB"/>
    <w:rsid w:val="00ED162B"/>
    <w:rsid w:val="00EF0BAC"/>
    <w:rsid w:val="00F27428"/>
    <w:rsid w:val="00F304FC"/>
    <w:rsid w:val="00F32FAA"/>
    <w:rsid w:val="00F4495C"/>
    <w:rsid w:val="00F5332B"/>
    <w:rsid w:val="00F5734D"/>
    <w:rsid w:val="00F63371"/>
    <w:rsid w:val="00F66A0A"/>
    <w:rsid w:val="00F81CB7"/>
    <w:rsid w:val="00F81F86"/>
    <w:rsid w:val="00FB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AE0"/>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4E7E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955CF7"/>
    <w:pPr>
      <w:keepNext/>
      <w:overflowPunct/>
      <w:autoSpaceDE/>
      <w:autoSpaceDN/>
      <w:adjustRightInd/>
      <w:spacing w:line="508" w:lineRule="exact"/>
      <w:ind w:firstLine="450"/>
      <w:textAlignment w:val="auto"/>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AE0"/>
    <w:pPr>
      <w:tabs>
        <w:tab w:val="center" w:pos="4320"/>
        <w:tab w:val="right" w:pos="8640"/>
      </w:tabs>
    </w:pPr>
  </w:style>
  <w:style w:type="paragraph" w:styleId="BalloonText">
    <w:name w:val="Balloon Text"/>
    <w:basedOn w:val="Normal"/>
    <w:semiHidden/>
    <w:rsid w:val="006C245B"/>
    <w:rPr>
      <w:rFonts w:ascii="Tahoma" w:hAnsi="Tahoma" w:cs="Tahoma"/>
      <w:sz w:val="16"/>
      <w:szCs w:val="16"/>
    </w:rPr>
  </w:style>
  <w:style w:type="character" w:customStyle="1" w:styleId="FooterChar">
    <w:name w:val="Footer Char"/>
    <w:basedOn w:val="DefaultParagraphFont"/>
    <w:link w:val="Footer"/>
    <w:rsid w:val="00022192"/>
    <w:rPr>
      <w:sz w:val="24"/>
    </w:rPr>
  </w:style>
  <w:style w:type="character" w:styleId="Strong">
    <w:name w:val="Strong"/>
    <w:basedOn w:val="DefaultParagraphFont"/>
    <w:uiPriority w:val="22"/>
    <w:qFormat/>
    <w:rsid w:val="001812C4"/>
    <w:rPr>
      <w:b/>
      <w:bCs/>
    </w:rPr>
  </w:style>
  <w:style w:type="paragraph" w:styleId="BodyText">
    <w:name w:val="Body Text"/>
    <w:basedOn w:val="Normal"/>
    <w:link w:val="BodyTextChar"/>
    <w:rsid w:val="00803D75"/>
    <w:pPr>
      <w:overflowPunct/>
      <w:autoSpaceDE/>
      <w:autoSpaceDN/>
      <w:adjustRightInd/>
      <w:spacing w:after="120" w:line="508" w:lineRule="exact"/>
      <w:textAlignment w:val="auto"/>
    </w:pPr>
    <w:rPr>
      <w:rFonts w:ascii="Courier New" w:hAnsi="Courier New"/>
      <w:sz w:val="20"/>
    </w:rPr>
  </w:style>
  <w:style w:type="character" w:customStyle="1" w:styleId="BodyTextChar">
    <w:name w:val="Body Text Char"/>
    <w:basedOn w:val="DefaultParagraphFont"/>
    <w:link w:val="BodyText"/>
    <w:rsid w:val="00803D75"/>
    <w:rPr>
      <w:rFonts w:ascii="Courier New" w:hAnsi="Courier New"/>
    </w:rPr>
  </w:style>
  <w:style w:type="character" w:customStyle="1" w:styleId="Heading5Char">
    <w:name w:val="Heading 5 Char"/>
    <w:basedOn w:val="DefaultParagraphFont"/>
    <w:link w:val="Heading5"/>
    <w:rsid w:val="00955CF7"/>
    <w:rPr>
      <w:sz w:val="26"/>
    </w:rPr>
  </w:style>
  <w:style w:type="character" w:styleId="Hyperlink">
    <w:name w:val="Hyperlink"/>
    <w:basedOn w:val="DefaultParagraphFont"/>
    <w:rsid w:val="004E7EEC"/>
    <w:rPr>
      <w:color w:val="0000FF" w:themeColor="hyperlink"/>
      <w:u w:val="single"/>
    </w:rPr>
  </w:style>
  <w:style w:type="character" w:customStyle="1" w:styleId="Heading1Char">
    <w:name w:val="Heading 1 Char"/>
    <w:basedOn w:val="DefaultParagraphFont"/>
    <w:link w:val="Heading1"/>
    <w:rsid w:val="004E7EEC"/>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461EF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AE0"/>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4E7E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955CF7"/>
    <w:pPr>
      <w:keepNext/>
      <w:overflowPunct/>
      <w:autoSpaceDE/>
      <w:autoSpaceDN/>
      <w:adjustRightInd/>
      <w:spacing w:line="508" w:lineRule="exact"/>
      <w:ind w:firstLine="450"/>
      <w:textAlignment w:val="auto"/>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AE0"/>
    <w:pPr>
      <w:tabs>
        <w:tab w:val="center" w:pos="4320"/>
        <w:tab w:val="right" w:pos="8640"/>
      </w:tabs>
    </w:pPr>
  </w:style>
  <w:style w:type="paragraph" w:styleId="BalloonText">
    <w:name w:val="Balloon Text"/>
    <w:basedOn w:val="Normal"/>
    <w:semiHidden/>
    <w:rsid w:val="006C245B"/>
    <w:rPr>
      <w:rFonts w:ascii="Tahoma" w:hAnsi="Tahoma" w:cs="Tahoma"/>
      <w:sz w:val="16"/>
      <w:szCs w:val="16"/>
    </w:rPr>
  </w:style>
  <w:style w:type="character" w:customStyle="1" w:styleId="FooterChar">
    <w:name w:val="Footer Char"/>
    <w:basedOn w:val="DefaultParagraphFont"/>
    <w:link w:val="Footer"/>
    <w:rsid w:val="00022192"/>
    <w:rPr>
      <w:sz w:val="24"/>
    </w:rPr>
  </w:style>
  <w:style w:type="character" w:styleId="Strong">
    <w:name w:val="Strong"/>
    <w:basedOn w:val="DefaultParagraphFont"/>
    <w:uiPriority w:val="22"/>
    <w:qFormat/>
    <w:rsid w:val="001812C4"/>
    <w:rPr>
      <w:b/>
      <w:bCs/>
    </w:rPr>
  </w:style>
  <w:style w:type="paragraph" w:styleId="BodyText">
    <w:name w:val="Body Text"/>
    <w:basedOn w:val="Normal"/>
    <w:link w:val="BodyTextChar"/>
    <w:rsid w:val="00803D75"/>
    <w:pPr>
      <w:overflowPunct/>
      <w:autoSpaceDE/>
      <w:autoSpaceDN/>
      <w:adjustRightInd/>
      <w:spacing w:after="120" w:line="508" w:lineRule="exact"/>
      <w:textAlignment w:val="auto"/>
    </w:pPr>
    <w:rPr>
      <w:rFonts w:ascii="Courier New" w:hAnsi="Courier New"/>
      <w:sz w:val="20"/>
    </w:rPr>
  </w:style>
  <w:style w:type="character" w:customStyle="1" w:styleId="BodyTextChar">
    <w:name w:val="Body Text Char"/>
    <w:basedOn w:val="DefaultParagraphFont"/>
    <w:link w:val="BodyText"/>
    <w:rsid w:val="00803D75"/>
    <w:rPr>
      <w:rFonts w:ascii="Courier New" w:hAnsi="Courier New"/>
    </w:rPr>
  </w:style>
  <w:style w:type="character" w:customStyle="1" w:styleId="Heading5Char">
    <w:name w:val="Heading 5 Char"/>
    <w:basedOn w:val="DefaultParagraphFont"/>
    <w:link w:val="Heading5"/>
    <w:rsid w:val="00955CF7"/>
    <w:rPr>
      <w:sz w:val="26"/>
    </w:rPr>
  </w:style>
  <w:style w:type="character" w:styleId="Hyperlink">
    <w:name w:val="Hyperlink"/>
    <w:basedOn w:val="DefaultParagraphFont"/>
    <w:rsid w:val="004E7EEC"/>
    <w:rPr>
      <w:color w:val="0000FF" w:themeColor="hyperlink"/>
      <w:u w:val="single"/>
    </w:rPr>
  </w:style>
  <w:style w:type="character" w:customStyle="1" w:styleId="Heading1Char">
    <w:name w:val="Heading 1 Char"/>
    <w:basedOn w:val="DefaultParagraphFont"/>
    <w:link w:val="Heading1"/>
    <w:rsid w:val="004E7EEC"/>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461E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1024">
      <w:bodyDiv w:val="1"/>
      <w:marLeft w:val="0"/>
      <w:marRight w:val="0"/>
      <w:marTop w:val="0"/>
      <w:marBottom w:val="0"/>
      <w:divBdr>
        <w:top w:val="none" w:sz="0" w:space="0" w:color="auto"/>
        <w:left w:val="none" w:sz="0" w:space="0" w:color="auto"/>
        <w:bottom w:val="none" w:sz="0" w:space="0" w:color="auto"/>
        <w:right w:val="none" w:sz="0" w:space="0" w:color="auto"/>
      </w:divBdr>
    </w:div>
    <w:div w:id="391999405">
      <w:bodyDiv w:val="1"/>
      <w:marLeft w:val="0"/>
      <w:marRight w:val="0"/>
      <w:marTop w:val="0"/>
      <w:marBottom w:val="0"/>
      <w:divBdr>
        <w:top w:val="none" w:sz="0" w:space="0" w:color="auto"/>
        <w:left w:val="none" w:sz="0" w:space="0" w:color="auto"/>
        <w:bottom w:val="none" w:sz="0" w:space="0" w:color="auto"/>
        <w:right w:val="none" w:sz="0" w:space="0" w:color="auto"/>
      </w:divBdr>
    </w:div>
    <w:div w:id="457995908">
      <w:bodyDiv w:val="1"/>
      <w:marLeft w:val="0"/>
      <w:marRight w:val="0"/>
      <w:marTop w:val="0"/>
      <w:marBottom w:val="0"/>
      <w:divBdr>
        <w:top w:val="none" w:sz="0" w:space="0" w:color="auto"/>
        <w:left w:val="none" w:sz="0" w:space="0" w:color="auto"/>
        <w:bottom w:val="none" w:sz="0" w:space="0" w:color="auto"/>
        <w:right w:val="none" w:sz="0" w:space="0" w:color="auto"/>
      </w:divBdr>
    </w:div>
    <w:div w:id="500001986">
      <w:bodyDiv w:val="1"/>
      <w:marLeft w:val="0"/>
      <w:marRight w:val="0"/>
      <w:marTop w:val="0"/>
      <w:marBottom w:val="0"/>
      <w:divBdr>
        <w:top w:val="none" w:sz="0" w:space="0" w:color="auto"/>
        <w:left w:val="none" w:sz="0" w:space="0" w:color="auto"/>
        <w:bottom w:val="none" w:sz="0" w:space="0" w:color="auto"/>
        <w:right w:val="none" w:sz="0" w:space="0" w:color="auto"/>
      </w:divBdr>
    </w:div>
    <w:div w:id="653293835">
      <w:bodyDiv w:val="1"/>
      <w:marLeft w:val="0"/>
      <w:marRight w:val="0"/>
      <w:marTop w:val="0"/>
      <w:marBottom w:val="0"/>
      <w:divBdr>
        <w:top w:val="none" w:sz="0" w:space="0" w:color="auto"/>
        <w:left w:val="none" w:sz="0" w:space="0" w:color="auto"/>
        <w:bottom w:val="none" w:sz="0" w:space="0" w:color="auto"/>
        <w:right w:val="none" w:sz="0" w:space="0" w:color="auto"/>
      </w:divBdr>
    </w:div>
    <w:div w:id="804273025">
      <w:bodyDiv w:val="1"/>
      <w:marLeft w:val="0"/>
      <w:marRight w:val="0"/>
      <w:marTop w:val="0"/>
      <w:marBottom w:val="0"/>
      <w:divBdr>
        <w:top w:val="none" w:sz="0" w:space="0" w:color="auto"/>
        <w:left w:val="none" w:sz="0" w:space="0" w:color="auto"/>
        <w:bottom w:val="none" w:sz="0" w:space="0" w:color="auto"/>
        <w:right w:val="none" w:sz="0" w:space="0" w:color="auto"/>
      </w:divBdr>
    </w:div>
    <w:div w:id="931427782">
      <w:bodyDiv w:val="1"/>
      <w:marLeft w:val="0"/>
      <w:marRight w:val="0"/>
      <w:marTop w:val="0"/>
      <w:marBottom w:val="0"/>
      <w:divBdr>
        <w:top w:val="none" w:sz="0" w:space="0" w:color="auto"/>
        <w:left w:val="none" w:sz="0" w:space="0" w:color="auto"/>
        <w:bottom w:val="none" w:sz="0" w:space="0" w:color="auto"/>
        <w:right w:val="none" w:sz="0" w:space="0" w:color="auto"/>
      </w:divBdr>
    </w:div>
    <w:div w:id="989672485">
      <w:bodyDiv w:val="1"/>
      <w:marLeft w:val="0"/>
      <w:marRight w:val="0"/>
      <w:marTop w:val="0"/>
      <w:marBottom w:val="0"/>
      <w:divBdr>
        <w:top w:val="none" w:sz="0" w:space="0" w:color="auto"/>
        <w:left w:val="none" w:sz="0" w:space="0" w:color="auto"/>
        <w:bottom w:val="none" w:sz="0" w:space="0" w:color="auto"/>
        <w:right w:val="none" w:sz="0" w:space="0" w:color="auto"/>
      </w:divBdr>
    </w:div>
    <w:div w:id="1115905614">
      <w:bodyDiv w:val="1"/>
      <w:marLeft w:val="0"/>
      <w:marRight w:val="0"/>
      <w:marTop w:val="0"/>
      <w:marBottom w:val="0"/>
      <w:divBdr>
        <w:top w:val="none" w:sz="0" w:space="0" w:color="auto"/>
        <w:left w:val="none" w:sz="0" w:space="0" w:color="auto"/>
        <w:bottom w:val="none" w:sz="0" w:space="0" w:color="auto"/>
        <w:right w:val="none" w:sz="0" w:space="0" w:color="auto"/>
      </w:divBdr>
    </w:div>
    <w:div w:id="1278635092">
      <w:bodyDiv w:val="1"/>
      <w:marLeft w:val="0"/>
      <w:marRight w:val="0"/>
      <w:marTop w:val="0"/>
      <w:marBottom w:val="0"/>
      <w:divBdr>
        <w:top w:val="none" w:sz="0" w:space="0" w:color="auto"/>
        <w:left w:val="none" w:sz="0" w:space="0" w:color="auto"/>
        <w:bottom w:val="none" w:sz="0" w:space="0" w:color="auto"/>
        <w:right w:val="none" w:sz="0" w:space="0" w:color="auto"/>
      </w:divBdr>
    </w:div>
    <w:div w:id="1320883739">
      <w:bodyDiv w:val="1"/>
      <w:marLeft w:val="0"/>
      <w:marRight w:val="0"/>
      <w:marTop w:val="0"/>
      <w:marBottom w:val="0"/>
      <w:divBdr>
        <w:top w:val="none" w:sz="0" w:space="0" w:color="auto"/>
        <w:left w:val="none" w:sz="0" w:space="0" w:color="auto"/>
        <w:bottom w:val="none" w:sz="0" w:space="0" w:color="auto"/>
        <w:right w:val="none" w:sz="0" w:space="0" w:color="auto"/>
      </w:divBdr>
    </w:div>
    <w:div w:id="1422215612">
      <w:bodyDiv w:val="1"/>
      <w:marLeft w:val="0"/>
      <w:marRight w:val="0"/>
      <w:marTop w:val="0"/>
      <w:marBottom w:val="0"/>
      <w:divBdr>
        <w:top w:val="none" w:sz="0" w:space="0" w:color="auto"/>
        <w:left w:val="none" w:sz="0" w:space="0" w:color="auto"/>
        <w:bottom w:val="none" w:sz="0" w:space="0" w:color="auto"/>
        <w:right w:val="none" w:sz="0" w:space="0" w:color="auto"/>
      </w:divBdr>
    </w:div>
    <w:div w:id="1846088819">
      <w:bodyDiv w:val="1"/>
      <w:marLeft w:val="0"/>
      <w:marRight w:val="0"/>
      <w:marTop w:val="0"/>
      <w:marBottom w:val="0"/>
      <w:divBdr>
        <w:top w:val="none" w:sz="0" w:space="0" w:color="auto"/>
        <w:left w:val="none" w:sz="0" w:space="0" w:color="auto"/>
        <w:bottom w:val="none" w:sz="0" w:space="0" w:color="auto"/>
        <w:right w:val="none" w:sz="0" w:space="0" w:color="auto"/>
      </w:divBdr>
    </w:div>
    <w:div w:id="202867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FullText?findType=Y&amp;serNum=1978114212&amp;pubNum=708&amp;originatingDoc=Ibeee5dbaf57d11d9b386b232635db992&amp;refType=RP&amp;fi=co_pp_sp_708_1177&amp;originationContext=document&amp;vr=3.0&amp;rs=cblt1.0&amp;transitionType=DocumentItem&amp;contextData=(sc.Searc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CF489-FBA7-4B17-8BB8-4709E6C7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7905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Public Advocate</vt:lpstr>
    </vt:vector>
  </TitlesOfParts>
  <Company>Maricopa County</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Advocate</dc:title>
  <dc:creator>phillis@mail.maricopa.gov</dc:creator>
  <cp:lastModifiedBy>Christina Phillis</cp:lastModifiedBy>
  <cp:revision>2</cp:revision>
  <cp:lastPrinted>2016-05-03T21:44:00Z</cp:lastPrinted>
  <dcterms:created xsi:type="dcterms:W3CDTF">2016-05-03T21:47:00Z</dcterms:created>
  <dcterms:modified xsi:type="dcterms:W3CDTF">2016-05-03T21:47:00Z</dcterms:modified>
</cp:coreProperties>
</file>