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7154B" w:rsidRPr="00A33B04" w:rsidRDefault="008E365C" w:rsidP="001738A7">
      <w:pPr>
        <w:spacing w:line="240" w:lineRule="auto"/>
        <w:jc w:val="center"/>
        <w:rPr>
          <w:color w:val="auto"/>
          <w:sz w:val="24"/>
          <w:szCs w:val="24"/>
        </w:rPr>
      </w:pPr>
      <w:r w:rsidRPr="00A33B04">
        <w:rPr>
          <w:b/>
          <w:color w:val="auto"/>
          <w:sz w:val="24"/>
          <w:szCs w:val="24"/>
        </w:rPr>
        <w:t>COMMENTS ON THE NEW PROPOSED RULE CHANGES BY THE ARIZONA ASSOCIATION FOR JUSTICE</w:t>
      </w:r>
    </w:p>
    <w:p w:rsidR="0057154B" w:rsidRPr="00A33B04" w:rsidRDefault="0057154B" w:rsidP="001738A7">
      <w:pPr>
        <w:spacing w:line="240" w:lineRule="auto"/>
        <w:jc w:val="center"/>
        <w:rPr>
          <w:color w:val="auto"/>
          <w:sz w:val="24"/>
          <w:szCs w:val="24"/>
        </w:rPr>
      </w:pPr>
    </w:p>
    <w:p w:rsidR="00D839D6" w:rsidRDefault="00D839D6" w:rsidP="001738A7">
      <w:pPr>
        <w:spacing w:line="240" w:lineRule="auto"/>
        <w:ind w:firstLine="720"/>
        <w:jc w:val="both"/>
        <w:rPr>
          <w:color w:val="auto"/>
          <w:sz w:val="24"/>
          <w:szCs w:val="24"/>
        </w:rPr>
      </w:pPr>
      <w:r w:rsidRPr="00A33B04">
        <w:rPr>
          <w:color w:val="auto"/>
          <w:sz w:val="24"/>
          <w:szCs w:val="24"/>
        </w:rPr>
        <w:t>AzAJ applauds the Task Force for its initial efforts to streamline the Arizona Rules of Civil Procedure making them mo</w:t>
      </w:r>
      <w:r w:rsidR="00A22C48" w:rsidRPr="00A33B04">
        <w:rPr>
          <w:color w:val="auto"/>
          <w:sz w:val="24"/>
          <w:szCs w:val="24"/>
        </w:rPr>
        <w:t>re user-friendly and concise.</w:t>
      </w:r>
    </w:p>
    <w:p w:rsidR="001738A7" w:rsidRPr="00A33B04" w:rsidRDefault="001738A7" w:rsidP="001738A7">
      <w:pPr>
        <w:spacing w:line="240" w:lineRule="auto"/>
        <w:ind w:firstLine="720"/>
        <w:jc w:val="both"/>
        <w:rPr>
          <w:color w:val="auto"/>
          <w:sz w:val="24"/>
          <w:szCs w:val="24"/>
        </w:rPr>
      </w:pPr>
    </w:p>
    <w:p w:rsidR="00D839D6" w:rsidRDefault="00D839D6" w:rsidP="001738A7">
      <w:pPr>
        <w:spacing w:line="240" w:lineRule="auto"/>
        <w:ind w:firstLine="720"/>
        <w:jc w:val="both"/>
        <w:rPr>
          <w:color w:val="auto"/>
          <w:sz w:val="24"/>
          <w:szCs w:val="24"/>
        </w:rPr>
      </w:pPr>
      <w:r w:rsidRPr="00A33B04">
        <w:rPr>
          <w:color w:val="auto"/>
          <w:sz w:val="24"/>
          <w:szCs w:val="24"/>
        </w:rPr>
        <w:t>In particular, trial lawyers are particularly receptive to the changes proposed with respect to Rules 11, 26.1</w:t>
      </w:r>
      <w:r w:rsidR="00F27467" w:rsidRPr="00A33B04">
        <w:rPr>
          <w:color w:val="auto"/>
          <w:sz w:val="24"/>
          <w:szCs w:val="24"/>
        </w:rPr>
        <w:t xml:space="preserve">, </w:t>
      </w:r>
      <w:r w:rsidRPr="00A33B04">
        <w:rPr>
          <w:color w:val="auto"/>
          <w:sz w:val="24"/>
          <w:szCs w:val="24"/>
        </w:rPr>
        <w:t>37</w:t>
      </w:r>
      <w:r w:rsidR="00F27467" w:rsidRPr="00A33B04">
        <w:rPr>
          <w:color w:val="auto"/>
          <w:sz w:val="24"/>
          <w:szCs w:val="24"/>
        </w:rPr>
        <w:t>, and 47(c)(3)(A)</w:t>
      </w:r>
      <w:r w:rsidRPr="00A33B04">
        <w:rPr>
          <w:color w:val="auto"/>
          <w:sz w:val="24"/>
          <w:szCs w:val="24"/>
        </w:rPr>
        <w:t>.  AzAJ applauds the Task Force’s draftsmanship</w:t>
      </w:r>
      <w:r w:rsidR="00A22C48" w:rsidRPr="00A33B04">
        <w:rPr>
          <w:color w:val="auto"/>
          <w:sz w:val="24"/>
          <w:szCs w:val="24"/>
        </w:rPr>
        <w:t xml:space="preserve"> and innovation on those Rules.</w:t>
      </w:r>
      <w:r w:rsidRPr="00A33B04">
        <w:rPr>
          <w:color w:val="auto"/>
          <w:sz w:val="24"/>
          <w:szCs w:val="24"/>
        </w:rPr>
        <w:t xml:space="preserve"> </w:t>
      </w:r>
    </w:p>
    <w:p w:rsidR="001738A7" w:rsidRPr="00A33B04" w:rsidRDefault="001738A7" w:rsidP="001738A7">
      <w:pPr>
        <w:spacing w:line="240" w:lineRule="auto"/>
        <w:ind w:firstLine="720"/>
        <w:jc w:val="both"/>
        <w:rPr>
          <w:color w:val="auto"/>
          <w:sz w:val="24"/>
          <w:szCs w:val="24"/>
        </w:rPr>
      </w:pPr>
    </w:p>
    <w:p w:rsidR="00D839D6" w:rsidRPr="00A33B04" w:rsidRDefault="00D839D6" w:rsidP="001738A7">
      <w:pPr>
        <w:spacing w:line="240" w:lineRule="auto"/>
        <w:ind w:firstLine="720"/>
        <w:rPr>
          <w:b/>
          <w:color w:val="auto"/>
          <w:sz w:val="24"/>
          <w:szCs w:val="24"/>
        </w:rPr>
      </w:pPr>
      <w:r w:rsidRPr="00A33B04">
        <w:rPr>
          <w:color w:val="auto"/>
          <w:sz w:val="24"/>
          <w:szCs w:val="24"/>
        </w:rPr>
        <w:t>In general terms, the trial lawyers also agree that it is beneficial and appropriate to make the Arizona and Federal Rules of Civil Procedure harmonious where there has historically not been substantive distinctions between the state and federal rules.  However, with respect to the discovery rules, AzAJ lawyers believe that Arizona practice has long been substantively different than federal practice and that our rules should continue to embrace Arizona’s unique philosophy concerning discovery as evidenced in Rules 26 through 35.</w:t>
      </w:r>
    </w:p>
    <w:p w:rsidR="00D839D6" w:rsidRPr="00A33B04" w:rsidRDefault="00D839D6" w:rsidP="001738A7">
      <w:pPr>
        <w:spacing w:line="240" w:lineRule="auto"/>
        <w:rPr>
          <w:b/>
          <w:color w:val="auto"/>
          <w:sz w:val="24"/>
          <w:szCs w:val="24"/>
        </w:rPr>
      </w:pPr>
    </w:p>
    <w:p w:rsidR="0057154B" w:rsidRPr="00A33B04" w:rsidRDefault="008E365C" w:rsidP="001738A7">
      <w:pPr>
        <w:spacing w:line="240" w:lineRule="auto"/>
        <w:ind w:firstLine="720"/>
        <w:rPr>
          <w:color w:val="auto"/>
          <w:sz w:val="24"/>
          <w:szCs w:val="24"/>
        </w:rPr>
      </w:pPr>
      <w:r w:rsidRPr="00A33B04">
        <w:rPr>
          <w:color w:val="auto"/>
          <w:sz w:val="24"/>
          <w:szCs w:val="24"/>
        </w:rPr>
        <w:t xml:space="preserve">In </w:t>
      </w:r>
      <w:r w:rsidR="00D839D6" w:rsidRPr="00A33B04">
        <w:rPr>
          <w:color w:val="auto"/>
          <w:sz w:val="24"/>
          <w:szCs w:val="24"/>
        </w:rPr>
        <w:t>1992</w:t>
      </w:r>
      <w:r w:rsidRPr="00A33B04">
        <w:rPr>
          <w:color w:val="auto"/>
          <w:sz w:val="24"/>
          <w:szCs w:val="24"/>
        </w:rPr>
        <w:t>, the Arizona Supreme Court adopted a radical solution to the desire to make sure that justice truly reflected a search for the truth</w:t>
      </w:r>
      <w:r w:rsidR="00D839D6" w:rsidRPr="00A33B04">
        <w:rPr>
          <w:color w:val="auto"/>
          <w:sz w:val="24"/>
          <w:szCs w:val="24"/>
        </w:rPr>
        <w:t xml:space="preserve"> rather than a lawyer’s contest to see who could more effectively hide it</w:t>
      </w:r>
      <w:r w:rsidR="00FF46B2" w:rsidRPr="00A33B04">
        <w:rPr>
          <w:color w:val="auto"/>
          <w:sz w:val="24"/>
          <w:szCs w:val="24"/>
        </w:rPr>
        <w:t>.  These “Zla</w:t>
      </w:r>
      <w:r w:rsidRPr="00A33B04">
        <w:rPr>
          <w:color w:val="auto"/>
          <w:sz w:val="24"/>
          <w:szCs w:val="24"/>
        </w:rPr>
        <w:t xml:space="preserve">ket Rules” introduced the notion that parties needed to inform their opponents what their cases were about legally and factually.  </w:t>
      </w:r>
      <w:r w:rsidR="00FF46B2" w:rsidRPr="00A33B04">
        <w:rPr>
          <w:color w:val="auto"/>
          <w:sz w:val="24"/>
          <w:szCs w:val="24"/>
        </w:rPr>
        <w:t>Some of the Task Force’s proposed Rule amendments may jeopardize Arizona’s unique and salutary culture of disclosure</w:t>
      </w:r>
      <w:r w:rsidRPr="00A33B04">
        <w:rPr>
          <w:color w:val="auto"/>
          <w:sz w:val="24"/>
          <w:szCs w:val="24"/>
        </w:rPr>
        <w:t xml:space="preserve">.  </w:t>
      </w:r>
      <w:r w:rsidR="00FF46B2" w:rsidRPr="00A33B04">
        <w:rPr>
          <w:color w:val="auto"/>
          <w:sz w:val="24"/>
          <w:szCs w:val="24"/>
        </w:rPr>
        <w:t xml:space="preserve">AzAJ </w:t>
      </w:r>
      <w:r w:rsidRPr="00A33B04">
        <w:rPr>
          <w:color w:val="auto"/>
          <w:sz w:val="24"/>
          <w:szCs w:val="24"/>
        </w:rPr>
        <w:t xml:space="preserve">is concerned </w:t>
      </w:r>
      <w:r w:rsidR="00FF46B2" w:rsidRPr="00A33B04">
        <w:rPr>
          <w:color w:val="auto"/>
          <w:sz w:val="24"/>
          <w:szCs w:val="24"/>
        </w:rPr>
        <w:t xml:space="preserve">that some </w:t>
      </w:r>
      <w:r w:rsidRPr="00A33B04">
        <w:rPr>
          <w:color w:val="auto"/>
          <w:sz w:val="24"/>
          <w:szCs w:val="24"/>
        </w:rPr>
        <w:t xml:space="preserve">of the Rules changes appear to compromise Arizona’s </w:t>
      </w:r>
      <w:r w:rsidR="00FF46B2" w:rsidRPr="00A33B04">
        <w:rPr>
          <w:color w:val="auto"/>
          <w:sz w:val="24"/>
          <w:szCs w:val="24"/>
        </w:rPr>
        <w:t>disclosure scheme</w:t>
      </w:r>
      <w:r w:rsidRPr="00A33B04">
        <w:rPr>
          <w:color w:val="auto"/>
          <w:sz w:val="24"/>
          <w:szCs w:val="24"/>
        </w:rPr>
        <w:t xml:space="preserve"> </w:t>
      </w:r>
      <w:r w:rsidR="00FF46B2" w:rsidRPr="00A33B04">
        <w:rPr>
          <w:color w:val="auto"/>
          <w:sz w:val="24"/>
          <w:szCs w:val="24"/>
        </w:rPr>
        <w:t>for the sake of consistency</w:t>
      </w:r>
      <w:r w:rsidRPr="00A33B04">
        <w:rPr>
          <w:color w:val="auto"/>
          <w:sz w:val="24"/>
          <w:szCs w:val="24"/>
        </w:rPr>
        <w:t xml:space="preserve"> with</w:t>
      </w:r>
      <w:r w:rsidR="00FF46B2" w:rsidRPr="00A33B04">
        <w:rPr>
          <w:color w:val="auto"/>
          <w:sz w:val="24"/>
          <w:szCs w:val="24"/>
        </w:rPr>
        <w:t xml:space="preserve"> the</w:t>
      </w:r>
      <w:r w:rsidRPr="00A33B04">
        <w:rPr>
          <w:color w:val="auto"/>
          <w:sz w:val="24"/>
          <w:szCs w:val="24"/>
        </w:rPr>
        <w:t xml:space="preserve"> Federal Rules </w:t>
      </w:r>
      <w:r w:rsidR="00FF46B2" w:rsidRPr="00A33B04">
        <w:rPr>
          <w:color w:val="auto"/>
          <w:sz w:val="24"/>
          <w:szCs w:val="24"/>
        </w:rPr>
        <w:t xml:space="preserve">and that this could </w:t>
      </w:r>
      <w:r w:rsidRPr="00A33B04">
        <w:rPr>
          <w:color w:val="auto"/>
          <w:sz w:val="24"/>
          <w:szCs w:val="24"/>
        </w:rPr>
        <w:t>hamstr</w:t>
      </w:r>
      <w:r w:rsidR="00FF46B2" w:rsidRPr="00A33B04">
        <w:rPr>
          <w:color w:val="auto"/>
          <w:sz w:val="24"/>
          <w:szCs w:val="24"/>
        </w:rPr>
        <w:t>ing the search for the truth.  And i</w:t>
      </w:r>
      <w:r w:rsidRPr="00A33B04">
        <w:rPr>
          <w:color w:val="auto"/>
          <w:sz w:val="24"/>
          <w:szCs w:val="24"/>
        </w:rPr>
        <w:t xml:space="preserve">n a few cases, the </w:t>
      </w:r>
      <w:r w:rsidR="00FF46B2" w:rsidRPr="00A33B04">
        <w:rPr>
          <w:color w:val="auto"/>
          <w:sz w:val="24"/>
          <w:szCs w:val="24"/>
        </w:rPr>
        <w:t>proposed amendments seek to</w:t>
      </w:r>
      <w:r w:rsidRPr="00A33B04">
        <w:rPr>
          <w:color w:val="auto"/>
          <w:sz w:val="24"/>
          <w:szCs w:val="24"/>
        </w:rPr>
        <w:t xml:space="preserve"> solve non-existent problems </w:t>
      </w:r>
      <w:r w:rsidR="00FF46B2" w:rsidRPr="00A33B04">
        <w:rPr>
          <w:color w:val="auto"/>
          <w:sz w:val="24"/>
          <w:szCs w:val="24"/>
        </w:rPr>
        <w:t xml:space="preserve">and could </w:t>
      </w:r>
      <w:r w:rsidRPr="00A33B04">
        <w:rPr>
          <w:color w:val="auto"/>
          <w:sz w:val="24"/>
          <w:szCs w:val="24"/>
        </w:rPr>
        <w:t>negatively affect the practice of law.</w:t>
      </w:r>
    </w:p>
    <w:p w:rsidR="0057154B" w:rsidRPr="00A33B04" w:rsidRDefault="0057154B" w:rsidP="001738A7">
      <w:pPr>
        <w:spacing w:line="240" w:lineRule="auto"/>
        <w:rPr>
          <w:color w:val="auto"/>
          <w:sz w:val="24"/>
          <w:szCs w:val="24"/>
        </w:rPr>
      </w:pPr>
    </w:p>
    <w:p w:rsidR="0057154B" w:rsidRPr="00A33B04" w:rsidRDefault="008E365C" w:rsidP="001738A7">
      <w:pPr>
        <w:spacing w:line="240" w:lineRule="auto"/>
        <w:jc w:val="center"/>
        <w:rPr>
          <w:color w:val="auto"/>
          <w:sz w:val="24"/>
          <w:szCs w:val="24"/>
        </w:rPr>
      </w:pPr>
      <w:r w:rsidRPr="00A33B04">
        <w:rPr>
          <w:b/>
          <w:color w:val="auto"/>
          <w:sz w:val="24"/>
          <w:szCs w:val="24"/>
        </w:rPr>
        <w:t>COMMENTS ON PROPOSED RULE CHANGES</w:t>
      </w:r>
    </w:p>
    <w:p w:rsidR="0057154B" w:rsidRPr="00A33B04" w:rsidRDefault="0057154B" w:rsidP="001738A7">
      <w:pPr>
        <w:spacing w:line="240" w:lineRule="auto"/>
        <w:rPr>
          <w:color w:val="auto"/>
          <w:sz w:val="24"/>
          <w:szCs w:val="24"/>
        </w:rPr>
      </w:pPr>
    </w:p>
    <w:p w:rsidR="0057154B" w:rsidRPr="00A33B04" w:rsidRDefault="008E365C" w:rsidP="001738A7">
      <w:pPr>
        <w:spacing w:line="240" w:lineRule="auto"/>
        <w:rPr>
          <w:color w:val="auto"/>
          <w:sz w:val="24"/>
          <w:szCs w:val="24"/>
        </w:rPr>
      </w:pPr>
      <w:r w:rsidRPr="00A33B04">
        <w:rPr>
          <w:color w:val="auto"/>
          <w:sz w:val="24"/>
          <w:szCs w:val="24"/>
        </w:rPr>
        <w:t>RULE 16</w:t>
      </w:r>
    </w:p>
    <w:p w:rsidR="001C52A5" w:rsidRPr="00A33B04" w:rsidRDefault="001C52A5" w:rsidP="001738A7">
      <w:pPr>
        <w:spacing w:line="240" w:lineRule="auto"/>
        <w:rPr>
          <w:color w:val="auto"/>
          <w:sz w:val="24"/>
          <w:szCs w:val="24"/>
        </w:rPr>
      </w:pPr>
    </w:p>
    <w:p w:rsidR="001A7D4C" w:rsidRPr="00A33B04" w:rsidRDefault="001A7D4C" w:rsidP="001738A7">
      <w:pPr>
        <w:spacing w:line="240" w:lineRule="auto"/>
        <w:ind w:firstLine="720"/>
        <w:rPr>
          <w:color w:val="auto"/>
          <w:sz w:val="24"/>
          <w:szCs w:val="24"/>
        </w:rPr>
      </w:pPr>
      <w:r w:rsidRPr="00A33B04">
        <w:rPr>
          <w:color w:val="auto"/>
          <w:sz w:val="24"/>
          <w:szCs w:val="24"/>
        </w:rPr>
        <w:t>Under Rule 16, pretrial conferences are set to schedule litigation.  This language was added to Rule 16 as an additional subject for the pretrial conference.</w:t>
      </w:r>
    </w:p>
    <w:p w:rsidR="001A7D4C" w:rsidRPr="00A33B04" w:rsidRDefault="001A7D4C" w:rsidP="001738A7">
      <w:pPr>
        <w:spacing w:line="240" w:lineRule="auto"/>
        <w:ind w:firstLine="720"/>
        <w:rPr>
          <w:color w:val="auto"/>
          <w:sz w:val="24"/>
          <w:szCs w:val="24"/>
        </w:rPr>
      </w:pPr>
    </w:p>
    <w:p w:rsidR="001A7D4C" w:rsidRPr="00A33B04" w:rsidRDefault="001A7D4C" w:rsidP="001738A7">
      <w:pPr>
        <w:spacing w:line="240" w:lineRule="auto"/>
        <w:ind w:left="720"/>
        <w:rPr>
          <w:color w:val="auto"/>
          <w:sz w:val="24"/>
          <w:szCs w:val="24"/>
        </w:rPr>
      </w:pPr>
      <w:r w:rsidRPr="00A33B04">
        <w:rPr>
          <w:color w:val="auto"/>
          <w:sz w:val="24"/>
          <w:szCs w:val="24"/>
        </w:rPr>
        <w:t>[E]nsuring that discovery is appropriate to the needs of the action considering the importance of the discovery in resolving the issues and achieving a just resolution of the action on the merits, the importance of the issues at stake, the amount in controversy, the burden or expense imposed by the discovery, and the parties’ resources;</w:t>
      </w:r>
    </w:p>
    <w:p w:rsidR="001A7D4C" w:rsidRPr="00A33B04" w:rsidRDefault="001A7D4C" w:rsidP="001738A7">
      <w:pPr>
        <w:spacing w:line="240" w:lineRule="auto"/>
        <w:ind w:firstLine="720"/>
        <w:rPr>
          <w:color w:val="auto"/>
          <w:sz w:val="24"/>
          <w:szCs w:val="24"/>
        </w:rPr>
      </w:pPr>
    </w:p>
    <w:p w:rsidR="001A7D4C" w:rsidRPr="00A33B04" w:rsidRDefault="001A7D4C" w:rsidP="001738A7">
      <w:pPr>
        <w:spacing w:line="240" w:lineRule="auto"/>
        <w:ind w:firstLine="720"/>
        <w:rPr>
          <w:color w:val="auto"/>
          <w:sz w:val="24"/>
          <w:szCs w:val="24"/>
        </w:rPr>
      </w:pPr>
      <w:r w:rsidRPr="00A33B04">
        <w:rPr>
          <w:color w:val="auto"/>
          <w:sz w:val="24"/>
          <w:szCs w:val="24"/>
        </w:rPr>
        <w:t xml:space="preserve">Thus, the new Rules seek consideration of “the amount in controversy” in each pretrial conference.  The Rules are already designed to streamline litigation from the old unlimited rules.  In the typical car accident case, the uniform discovery provided in the rules is the only discovery used.  The addition of this language contemplates consideration of further reductions where the judge can impose further limitations on this already abbreviated discovery as a rule. </w:t>
      </w:r>
    </w:p>
    <w:p w:rsidR="001A7D4C" w:rsidRPr="00A33B04" w:rsidRDefault="001A7D4C" w:rsidP="001738A7">
      <w:pPr>
        <w:spacing w:line="240" w:lineRule="auto"/>
        <w:rPr>
          <w:color w:val="auto"/>
          <w:sz w:val="24"/>
          <w:szCs w:val="24"/>
        </w:rPr>
      </w:pPr>
    </w:p>
    <w:p w:rsidR="001A7D4C" w:rsidRPr="00A33B04" w:rsidRDefault="001A7D4C" w:rsidP="001738A7">
      <w:pPr>
        <w:spacing w:line="240" w:lineRule="auto"/>
        <w:rPr>
          <w:color w:val="auto"/>
          <w:sz w:val="24"/>
          <w:szCs w:val="24"/>
        </w:rPr>
      </w:pPr>
      <w:r w:rsidRPr="00A33B04">
        <w:rPr>
          <w:color w:val="auto"/>
          <w:sz w:val="24"/>
          <w:szCs w:val="24"/>
        </w:rPr>
        <w:tab/>
        <w:t>The Rules should be interpreted to allow the parties to operate without judicial inter</w:t>
      </w:r>
      <w:r w:rsidR="002B735E">
        <w:rPr>
          <w:color w:val="auto"/>
          <w:sz w:val="24"/>
          <w:szCs w:val="24"/>
        </w:rPr>
        <w:t>vention</w:t>
      </w:r>
      <w:r w:rsidRPr="00A33B04">
        <w:rPr>
          <w:color w:val="auto"/>
          <w:sz w:val="24"/>
          <w:szCs w:val="24"/>
        </w:rPr>
        <w:t xml:space="preserve"> unless there is an objection.  Rule 16 already permits the parties to raise these types of issues without any changes in the Rules.  Asking the judge in every case to address </w:t>
      </w:r>
      <w:r w:rsidRPr="00A33B04">
        <w:rPr>
          <w:color w:val="auto"/>
          <w:sz w:val="24"/>
          <w:szCs w:val="24"/>
        </w:rPr>
        <w:lastRenderedPageBreak/>
        <w:t xml:space="preserve">this issue </w:t>
      </w:r>
      <w:r w:rsidR="002B735E">
        <w:rPr>
          <w:color w:val="auto"/>
          <w:sz w:val="24"/>
          <w:szCs w:val="24"/>
        </w:rPr>
        <w:t>will create a substantial burden on trial judges</w:t>
      </w:r>
      <w:r w:rsidRPr="00A33B04">
        <w:rPr>
          <w:color w:val="auto"/>
          <w:sz w:val="24"/>
          <w:szCs w:val="24"/>
        </w:rPr>
        <w:t xml:space="preserve"> to fix a problem which does not exist in AzAJ’s opinion.</w:t>
      </w:r>
      <w:r w:rsidR="00F93057" w:rsidRPr="00A33B04">
        <w:rPr>
          <w:color w:val="auto"/>
          <w:sz w:val="24"/>
          <w:szCs w:val="24"/>
        </w:rPr>
        <w:t xml:space="preserve">  In fact, this issue, to the extent it is a concern, was addressed by the Legislature when it provided for smaller claims to be resolved in either Small Claims Court (cases less than $3,500.00), Justice Court (cases less than $10,000.00), or through compulsory arbitration under Rules 72-77 (cases less than $50,000.00 for most counties).  Judicial review should be the exception, not the rule.  </w:t>
      </w:r>
    </w:p>
    <w:p w:rsidR="0057154B" w:rsidRPr="00A33B04" w:rsidRDefault="0057154B" w:rsidP="001738A7">
      <w:pPr>
        <w:spacing w:line="240" w:lineRule="auto"/>
        <w:rPr>
          <w:color w:val="auto"/>
          <w:sz w:val="24"/>
          <w:szCs w:val="24"/>
        </w:rPr>
      </w:pPr>
    </w:p>
    <w:p w:rsidR="001C52A5" w:rsidRPr="00A33B04" w:rsidRDefault="00B533E6" w:rsidP="001738A7">
      <w:pPr>
        <w:spacing w:line="240" w:lineRule="auto"/>
        <w:rPr>
          <w:color w:val="auto"/>
          <w:sz w:val="24"/>
          <w:szCs w:val="24"/>
        </w:rPr>
      </w:pPr>
      <w:r>
        <w:rPr>
          <w:color w:val="auto"/>
          <w:sz w:val="24"/>
          <w:szCs w:val="24"/>
        </w:rPr>
        <w:t>RULE</w:t>
      </w:r>
      <w:r w:rsidR="00DF54FA" w:rsidRPr="00A33B04">
        <w:rPr>
          <w:color w:val="auto"/>
          <w:sz w:val="24"/>
          <w:szCs w:val="24"/>
        </w:rPr>
        <w:t xml:space="preserve"> 26(b)(1</w:t>
      </w:r>
      <w:r w:rsidR="008E365C" w:rsidRPr="00A33B04">
        <w:rPr>
          <w:color w:val="auto"/>
          <w:sz w:val="24"/>
          <w:szCs w:val="24"/>
        </w:rPr>
        <w:t xml:space="preserve">)(C).  </w:t>
      </w:r>
    </w:p>
    <w:p w:rsidR="001C52A5" w:rsidRPr="00A33B04" w:rsidRDefault="001C52A5" w:rsidP="001738A7">
      <w:pPr>
        <w:spacing w:line="240" w:lineRule="auto"/>
        <w:rPr>
          <w:color w:val="auto"/>
          <w:sz w:val="24"/>
          <w:szCs w:val="24"/>
        </w:rPr>
      </w:pPr>
    </w:p>
    <w:p w:rsidR="00F27467" w:rsidRDefault="00E42FDF" w:rsidP="00E42FDF">
      <w:pPr>
        <w:spacing w:line="240" w:lineRule="auto"/>
        <w:ind w:firstLine="720"/>
        <w:rPr>
          <w:color w:val="auto"/>
          <w:sz w:val="24"/>
          <w:szCs w:val="24"/>
        </w:rPr>
      </w:pPr>
      <w:r w:rsidRPr="00E42FDF">
        <w:rPr>
          <w:color w:val="auto"/>
          <w:sz w:val="24"/>
          <w:szCs w:val="24"/>
        </w:rPr>
        <w:t>While the committee maintains that the changes are not needed and invite unnecessary intervention, our particular concerns about the rule changes are moderated in the proposed comment to Rule 16, which details factors to be considered in the discussion of appropriateness. The Federal Rules differ substantially from Arizona’s Rules and the use of terms present in the Federal Rules would invite misuse of Federal cases where Arizona’s case law on discovery and disclosure has developed independently. To paraphrase Justice Louis Brandeis, the states are the laboratories of Democracy. Arizona’s independence in the area of the Civil Rules is and should remain a source of pride.</w:t>
      </w:r>
    </w:p>
    <w:p w:rsidR="00E42FDF" w:rsidRPr="00A33B04" w:rsidRDefault="00E42FDF" w:rsidP="001738A7">
      <w:pPr>
        <w:spacing w:line="240" w:lineRule="auto"/>
        <w:rPr>
          <w:color w:val="auto"/>
          <w:sz w:val="24"/>
          <w:szCs w:val="24"/>
        </w:rPr>
      </w:pPr>
    </w:p>
    <w:p w:rsidR="008F5ACA" w:rsidRPr="00A33B04" w:rsidRDefault="00B533E6" w:rsidP="001738A7">
      <w:pPr>
        <w:spacing w:line="240" w:lineRule="auto"/>
        <w:rPr>
          <w:color w:val="auto"/>
          <w:sz w:val="24"/>
          <w:szCs w:val="24"/>
        </w:rPr>
      </w:pPr>
      <w:r>
        <w:rPr>
          <w:color w:val="auto"/>
          <w:sz w:val="24"/>
          <w:szCs w:val="24"/>
        </w:rPr>
        <w:t>RULE</w:t>
      </w:r>
      <w:r w:rsidR="008E365C" w:rsidRPr="00A33B04">
        <w:rPr>
          <w:color w:val="auto"/>
          <w:sz w:val="24"/>
          <w:szCs w:val="24"/>
        </w:rPr>
        <w:t xml:space="preserve"> 37(g). </w:t>
      </w:r>
    </w:p>
    <w:p w:rsidR="008F5ACA" w:rsidRPr="00A33B04" w:rsidRDefault="008F5ACA" w:rsidP="001738A7">
      <w:pPr>
        <w:spacing w:line="240" w:lineRule="auto"/>
        <w:rPr>
          <w:color w:val="auto"/>
          <w:sz w:val="24"/>
          <w:szCs w:val="24"/>
        </w:rPr>
      </w:pPr>
    </w:p>
    <w:p w:rsidR="0057154B" w:rsidRPr="00A33B04" w:rsidRDefault="008F5ACA" w:rsidP="001738A7">
      <w:pPr>
        <w:spacing w:line="240" w:lineRule="auto"/>
        <w:ind w:firstLine="720"/>
        <w:rPr>
          <w:color w:val="auto"/>
          <w:sz w:val="24"/>
          <w:szCs w:val="24"/>
        </w:rPr>
      </w:pPr>
      <w:r w:rsidRPr="00A33B04">
        <w:rPr>
          <w:color w:val="auto"/>
          <w:sz w:val="24"/>
          <w:szCs w:val="24"/>
        </w:rPr>
        <w:t xml:space="preserve">This rule seems inconsistent with the other changes in that </w:t>
      </w:r>
      <w:r w:rsidR="00FA2381">
        <w:rPr>
          <w:color w:val="auto"/>
          <w:sz w:val="24"/>
          <w:szCs w:val="24"/>
        </w:rPr>
        <w:t xml:space="preserve">it </w:t>
      </w:r>
      <w:r w:rsidRPr="00A33B04">
        <w:rPr>
          <w:color w:val="auto"/>
          <w:sz w:val="24"/>
          <w:szCs w:val="24"/>
        </w:rPr>
        <w:t xml:space="preserve">is unclear whether it applies to </w:t>
      </w:r>
      <w:r w:rsidR="008E365C" w:rsidRPr="00A33B04">
        <w:rPr>
          <w:color w:val="auto"/>
          <w:sz w:val="24"/>
          <w:szCs w:val="24"/>
        </w:rPr>
        <w:t>Facebook or social media postings</w:t>
      </w:r>
      <w:r w:rsidRPr="00A33B04">
        <w:rPr>
          <w:color w:val="auto"/>
          <w:sz w:val="24"/>
          <w:szCs w:val="24"/>
        </w:rPr>
        <w:t>,</w:t>
      </w:r>
      <w:r w:rsidR="008E365C" w:rsidRPr="00A33B04">
        <w:rPr>
          <w:color w:val="auto"/>
          <w:sz w:val="24"/>
          <w:szCs w:val="24"/>
        </w:rPr>
        <w:t xml:space="preserve"> electronically stored video, </w:t>
      </w:r>
      <w:r w:rsidRPr="00A33B04">
        <w:rPr>
          <w:color w:val="auto"/>
          <w:sz w:val="24"/>
          <w:szCs w:val="24"/>
        </w:rPr>
        <w:t xml:space="preserve">electronically stored email, </w:t>
      </w:r>
      <w:r w:rsidR="008E365C" w:rsidRPr="00A33B04">
        <w:rPr>
          <w:color w:val="auto"/>
          <w:sz w:val="24"/>
          <w:szCs w:val="24"/>
        </w:rPr>
        <w:t>cell phone data and text messages</w:t>
      </w:r>
      <w:r w:rsidRPr="00A33B04">
        <w:rPr>
          <w:color w:val="auto"/>
          <w:sz w:val="24"/>
          <w:szCs w:val="24"/>
        </w:rPr>
        <w:t>.  It would seem to include without limitation, everything electronically stored, which creates a great deal of potential abuse.</w:t>
      </w:r>
      <w:r w:rsidR="00F27467" w:rsidRPr="00A33B04">
        <w:rPr>
          <w:color w:val="auto"/>
          <w:sz w:val="24"/>
          <w:szCs w:val="24"/>
        </w:rPr>
        <w:t xml:space="preserve">  For this reason the committee would suggest rejecting this proposed change.</w:t>
      </w:r>
    </w:p>
    <w:p w:rsidR="00A22C48" w:rsidRPr="00A33B04" w:rsidRDefault="00A22C48" w:rsidP="001738A7">
      <w:pPr>
        <w:spacing w:line="240" w:lineRule="auto"/>
        <w:ind w:firstLine="720"/>
        <w:rPr>
          <w:color w:val="auto"/>
          <w:sz w:val="24"/>
          <w:szCs w:val="24"/>
        </w:rPr>
      </w:pPr>
    </w:p>
    <w:p w:rsidR="00A22C48" w:rsidRPr="00A33B04" w:rsidRDefault="00A22C48" w:rsidP="001738A7">
      <w:pPr>
        <w:spacing w:line="240" w:lineRule="auto"/>
        <w:ind w:firstLine="720"/>
        <w:rPr>
          <w:color w:val="auto"/>
          <w:sz w:val="24"/>
          <w:szCs w:val="24"/>
        </w:rPr>
      </w:pPr>
      <w:r w:rsidRPr="00A33B04">
        <w:rPr>
          <w:color w:val="auto"/>
          <w:sz w:val="24"/>
          <w:szCs w:val="24"/>
        </w:rPr>
        <w:t>The Arizona Association of Justice would like to thank the committee for reworking the Rules so as to clarify them and to the extent that they make the system of litigation more just.  To the extent that the Rules do not accomplish this goal, AAJ would urge rejection or modification of the amendments to Rules 16, 26(b)(1)(C), 35 and 37(g).</w:t>
      </w:r>
    </w:p>
    <w:p w:rsidR="0057154B" w:rsidRPr="00A33B04" w:rsidRDefault="0057154B" w:rsidP="00B533E6">
      <w:pPr>
        <w:tabs>
          <w:tab w:val="left" w:pos="960"/>
        </w:tabs>
        <w:spacing w:line="240" w:lineRule="auto"/>
        <w:rPr>
          <w:color w:val="auto"/>
          <w:sz w:val="24"/>
          <w:szCs w:val="24"/>
        </w:rPr>
      </w:pPr>
    </w:p>
    <w:p w:rsidR="00A22C48" w:rsidRPr="00A33B04" w:rsidRDefault="00A22C48" w:rsidP="001738A7">
      <w:pPr>
        <w:spacing w:line="240" w:lineRule="auto"/>
        <w:rPr>
          <w:color w:val="auto"/>
          <w:sz w:val="24"/>
          <w:szCs w:val="24"/>
        </w:rPr>
      </w:pPr>
      <w:r w:rsidRPr="00A33B04">
        <w:rPr>
          <w:color w:val="auto"/>
          <w:sz w:val="24"/>
          <w:szCs w:val="24"/>
        </w:rPr>
        <w:tab/>
      </w:r>
      <w:r w:rsidRPr="00A33B04">
        <w:rPr>
          <w:color w:val="auto"/>
          <w:sz w:val="24"/>
          <w:szCs w:val="24"/>
        </w:rPr>
        <w:tab/>
      </w:r>
      <w:r w:rsidRPr="00A33B04">
        <w:rPr>
          <w:color w:val="auto"/>
          <w:sz w:val="24"/>
          <w:szCs w:val="24"/>
        </w:rPr>
        <w:tab/>
        <w:t>The Committee on Proposed Civil Rules Changes,</w:t>
      </w:r>
    </w:p>
    <w:p w:rsidR="00A22C48" w:rsidRPr="00A33B04" w:rsidRDefault="00A22C48" w:rsidP="001738A7">
      <w:pPr>
        <w:spacing w:line="240" w:lineRule="auto"/>
        <w:rPr>
          <w:color w:val="auto"/>
          <w:sz w:val="24"/>
          <w:szCs w:val="24"/>
        </w:rPr>
      </w:pPr>
      <w:r w:rsidRPr="00A33B04">
        <w:rPr>
          <w:color w:val="auto"/>
          <w:sz w:val="24"/>
          <w:szCs w:val="24"/>
        </w:rPr>
        <w:tab/>
      </w:r>
      <w:r w:rsidRPr="00A33B04">
        <w:rPr>
          <w:color w:val="auto"/>
          <w:sz w:val="24"/>
          <w:szCs w:val="24"/>
        </w:rPr>
        <w:tab/>
      </w:r>
      <w:r w:rsidRPr="00A33B04">
        <w:rPr>
          <w:color w:val="auto"/>
          <w:sz w:val="24"/>
          <w:szCs w:val="24"/>
        </w:rPr>
        <w:tab/>
        <w:t>ARIZONA ASSOCIATION OF JUSTICE</w:t>
      </w:r>
    </w:p>
    <w:p w:rsidR="00A22C48" w:rsidRPr="00A33B04" w:rsidRDefault="00A22C48" w:rsidP="001738A7">
      <w:pPr>
        <w:spacing w:line="240" w:lineRule="auto"/>
        <w:rPr>
          <w:color w:val="auto"/>
          <w:sz w:val="24"/>
          <w:szCs w:val="24"/>
        </w:rPr>
      </w:pPr>
    </w:p>
    <w:p w:rsidR="00A22C48" w:rsidRDefault="00A22C48" w:rsidP="001738A7">
      <w:pPr>
        <w:spacing w:line="240" w:lineRule="auto"/>
        <w:rPr>
          <w:color w:val="auto"/>
          <w:sz w:val="24"/>
          <w:szCs w:val="24"/>
        </w:rPr>
      </w:pPr>
    </w:p>
    <w:p w:rsidR="000F0D60" w:rsidRPr="00E42FDF" w:rsidRDefault="001B1A89" w:rsidP="001738A7">
      <w:pPr>
        <w:spacing w:line="240" w:lineRule="auto"/>
        <w:rPr>
          <w:color w:val="FF0000"/>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0F0D60">
        <w:rPr>
          <w:color w:val="auto"/>
          <w:sz w:val="24"/>
          <w:szCs w:val="24"/>
        </w:rPr>
        <w:t xml:space="preserve">David Abney, </w:t>
      </w:r>
      <w:r w:rsidR="000F0D60" w:rsidRPr="00E42FDF">
        <w:rPr>
          <w:color w:val="FF0000"/>
          <w:sz w:val="24"/>
          <w:szCs w:val="24"/>
        </w:rPr>
        <w:t>Esq.</w:t>
      </w:r>
    </w:p>
    <w:p w:rsidR="001B1A89" w:rsidRPr="00E42FDF" w:rsidRDefault="000F0D60"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001B1A89" w:rsidRPr="00E42FDF">
        <w:rPr>
          <w:color w:val="FF0000"/>
          <w:sz w:val="24"/>
          <w:szCs w:val="24"/>
        </w:rPr>
        <w:t>Shannon Clark, Esq.</w:t>
      </w:r>
    </w:p>
    <w:p w:rsidR="001B1A89" w:rsidRPr="00E42FDF" w:rsidRDefault="001B1A89"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t>Lincoln Combs, Esq.</w:t>
      </w:r>
    </w:p>
    <w:p w:rsidR="001B1A89" w:rsidRPr="00E42FDF" w:rsidRDefault="001B1A89"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t>Justin Henry, Esq.</w:t>
      </w:r>
    </w:p>
    <w:p w:rsidR="001B1A89" w:rsidRPr="00E42FDF" w:rsidRDefault="001B1A89"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t>Robert Hommel, Esq.</w:t>
      </w:r>
    </w:p>
    <w:p w:rsidR="000F0D60" w:rsidRPr="00E42FDF" w:rsidRDefault="000F0D60"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t>Richard Langerman, Esq.</w:t>
      </w:r>
    </w:p>
    <w:p w:rsidR="001B1A89" w:rsidRPr="00E42FDF" w:rsidRDefault="001B1A89"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t>Krista McCarthy, Esq.</w:t>
      </w:r>
    </w:p>
    <w:p w:rsidR="001B1A89" w:rsidRPr="00E42FDF" w:rsidRDefault="001B1A89"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t>Richard Plattner, Esq.</w:t>
      </w:r>
    </w:p>
    <w:p w:rsidR="001B1A89" w:rsidRPr="00E42FDF" w:rsidRDefault="001B1A89" w:rsidP="001738A7">
      <w:pPr>
        <w:spacing w:line="240" w:lineRule="auto"/>
        <w:rPr>
          <w:color w:val="FF0000"/>
          <w:sz w:val="24"/>
          <w:szCs w:val="24"/>
        </w:rPr>
      </w:pP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r>
      <w:r w:rsidRPr="00E42FDF">
        <w:rPr>
          <w:color w:val="FF0000"/>
          <w:sz w:val="24"/>
          <w:szCs w:val="24"/>
        </w:rPr>
        <w:tab/>
        <w:t>Joel B. Robbins, Esq.</w:t>
      </w:r>
    </w:p>
    <w:p w:rsidR="000F0D60" w:rsidRPr="00E42FDF" w:rsidRDefault="006E051D" w:rsidP="001738A7">
      <w:pPr>
        <w:spacing w:line="240" w:lineRule="auto"/>
        <w:rPr>
          <w:color w:val="FF0000"/>
          <w:sz w:val="24"/>
          <w:szCs w:val="24"/>
        </w:rPr>
      </w:pPr>
      <w:r w:rsidRPr="00E42FDF">
        <w:rPr>
          <w:noProof/>
          <w:color w:val="FF0000"/>
        </w:rPr>
        <w:drawing>
          <wp:anchor distT="0" distB="0" distL="114300" distR="114300" simplePos="0" relativeHeight="251658240" behindDoc="1" locked="0" layoutInCell="1" allowOverlap="1" wp14:anchorId="3350D489" wp14:editId="3EF64970">
            <wp:simplePos x="0" y="0"/>
            <wp:positionH relativeFrom="column">
              <wp:posOffset>2637790</wp:posOffset>
            </wp:positionH>
            <wp:positionV relativeFrom="paragraph">
              <wp:posOffset>175895</wp:posOffset>
            </wp:positionV>
            <wp:extent cx="2770505" cy="1097280"/>
            <wp:effectExtent l="0" t="0" r="0" b="7620"/>
            <wp:wrapTight wrapText="bothSides">
              <wp:wrapPolygon edited="0">
                <wp:start x="0" y="0"/>
                <wp:lineTo x="0" y="21375"/>
                <wp:lineTo x="21387" y="21375"/>
                <wp:lineTo x="213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770505" cy="1097280"/>
                    </a:xfrm>
                    <a:prstGeom prst="rect">
                      <a:avLst/>
                    </a:prstGeom>
                  </pic:spPr>
                </pic:pic>
              </a:graphicData>
            </a:graphic>
            <wp14:sizeRelH relativeFrom="page">
              <wp14:pctWidth>0</wp14:pctWidth>
            </wp14:sizeRelH>
            <wp14:sizeRelV relativeFrom="page">
              <wp14:pctHeight>0</wp14:pctHeight>
            </wp14:sizeRelV>
          </wp:anchor>
        </w:drawing>
      </w:r>
      <w:r w:rsidR="000F0D60" w:rsidRPr="00E42FDF">
        <w:rPr>
          <w:color w:val="FF0000"/>
          <w:sz w:val="24"/>
          <w:szCs w:val="24"/>
        </w:rPr>
        <w:tab/>
      </w:r>
      <w:r w:rsidR="000F0D60" w:rsidRPr="00E42FDF">
        <w:rPr>
          <w:color w:val="FF0000"/>
          <w:sz w:val="24"/>
          <w:szCs w:val="24"/>
        </w:rPr>
        <w:tab/>
      </w:r>
      <w:r w:rsidR="000F0D60" w:rsidRPr="00E42FDF">
        <w:rPr>
          <w:color w:val="FF0000"/>
          <w:sz w:val="24"/>
          <w:szCs w:val="24"/>
        </w:rPr>
        <w:tab/>
      </w:r>
      <w:r w:rsidR="000F0D60" w:rsidRPr="00E42FDF">
        <w:rPr>
          <w:color w:val="FF0000"/>
          <w:sz w:val="24"/>
          <w:szCs w:val="24"/>
        </w:rPr>
        <w:tab/>
      </w:r>
      <w:r w:rsidR="000F0D60" w:rsidRPr="00E42FDF">
        <w:rPr>
          <w:color w:val="FF0000"/>
          <w:sz w:val="24"/>
          <w:szCs w:val="24"/>
        </w:rPr>
        <w:tab/>
      </w:r>
      <w:r w:rsidR="000F0D60" w:rsidRPr="00E42FDF">
        <w:rPr>
          <w:color w:val="FF0000"/>
          <w:sz w:val="24"/>
          <w:szCs w:val="24"/>
        </w:rPr>
        <w:tab/>
        <w:t>J. Tyrell Taber, Esq.</w:t>
      </w:r>
    </w:p>
    <w:p w:rsidR="001B1A89" w:rsidRPr="00E42FDF" w:rsidRDefault="001B1A89" w:rsidP="001738A7">
      <w:pPr>
        <w:spacing w:line="240" w:lineRule="auto"/>
        <w:rPr>
          <w:color w:val="FF0000"/>
          <w:sz w:val="24"/>
          <w:szCs w:val="24"/>
        </w:rPr>
      </w:pPr>
    </w:p>
    <w:p w:rsidR="001B1A89" w:rsidRPr="00E42FDF" w:rsidRDefault="001B1A89" w:rsidP="001738A7">
      <w:pPr>
        <w:spacing w:line="240" w:lineRule="auto"/>
        <w:rPr>
          <w:color w:val="FF0000"/>
          <w:sz w:val="24"/>
          <w:szCs w:val="24"/>
        </w:rPr>
      </w:pPr>
    </w:p>
    <w:p w:rsidR="001B1A89" w:rsidRDefault="001B1A89" w:rsidP="001738A7">
      <w:pPr>
        <w:spacing w:line="240" w:lineRule="auto"/>
        <w:rPr>
          <w:color w:val="auto"/>
          <w:sz w:val="24"/>
          <w:szCs w:val="24"/>
        </w:rPr>
      </w:pPr>
      <w:bookmarkStart w:id="0" w:name="_GoBack"/>
      <w:bookmarkEnd w:id="0"/>
    </w:p>
    <w:sectPr w:rsidR="001B1A89" w:rsidSect="001738A7">
      <w:footerReference w:type="default" r:id="rId8"/>
      <w:pgSz w:w="12240" w:h="15840"/>
      <w:pgMar w:top="1440" w:right="720" w:bottom="720" w:left="1440" w:header="720"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CC" w:rsidRDefault="00A121CC" w:rsidP="001738A7">
      <w:pPr>
        <w:spacing w:line="240" w:lineRule="auto"/>
      </w:pPr>
      <w:r>
        <w:separator/>
      </w:r>
    </w:p>
  </w:endnote>
  <w:endnote w:type="continuationSeparator" w:id="0">
    <w:p w:rsidR="00A121CC" w:rsidRDefault="00A121CC" w:rsidP="00173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30492"/>
      <w:docPartObj>
        <w:docPartGallery w:val="Page Numbers (Bottom of Page)"/>
        <w:docPartUnique/>
      </w:docPartObj>
    </w:sdtPr>
    <w:sdtEndPr>
      <w:rPr>
        <w:noProof/>
      </w:rPr>
    </w:sdtEndPr>
    <w:sdtContent>
      <w:p w:rsidR="001738A7" w:rsidRDefault="001738A7">
        <w:pPr>
          <w:pStyle w:val="Footer"/>
          <w:jc w:val="center"/>
        </w:pPr>
        <w:r>
          <w:fldChar w:fldCharType="begin"/>
        </w:r>
        <w:r>
          <w:instrText xml:space="preserve"> PAGE   \* MERGEFORMAT </w:instrText>
        </w:r>
        <w:r>
          <w:fldChar w:fldCharType="separate"/>
        </w:r>
        <w:r w:rsidR="0006503C">
          <w:rPr>
            <w:noProof/>
          </w:rPr>
          <w:t>2</w:t>
        </w:r>
        <w:r>
          <w:rPr>
            <w:noProof/>
          </w:rPr>
          <w:fldChar w:fldCharType="end"/>
        </w:r>
      </w:p>
    </w:sdtContent>
  </w:sdt>
  <w:p w:rsidR="001738A7" w:rsidRDefault="00173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CC" w:rsidRDefault="00A121CC" w:rsidP="001738A7">
      <w:pPr>
        <w:spacing w:line="240" w:lineRule="auto"/>
      </w:pPr>
      <w:r>
        <w:separator/>
      </w:r>
    </w:p>
  </w:footnote>
  <w:footnote w:type="continuationSeparator" w:id="0">
    <w:p w:rsidR="00A121CC" w:rsidRDefault="00A121CC" w:rsidP="001738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4B"/>
    <w:rsid w:val="0006503C"/>
    <w:rsid w:val="000A5669"/>
    <w:rsid w:val="000F0D60"/>
    <w:rsid w:val="001738A7"/>
    <w:rsid w:val="001A7D4C"/>
    <w:rsid w:val="001B1A89"/>
    <w:rsid w:val="001C52A5"/>
    <w:rsid w:val="00211A79"/>
    <w:rsid w:val="00277FFD"/>
    <w:rsid w:val="002B735E"/>
    <w:rsid w:val="0047247C"/>
    <w:rsid w:val="004876CE"/>
    <w:rsid w:val="0057154B"/>
    <w:rsid w:val="006E051D"/>
    <w:rsid w:val="00854B99"/>
    <w:rsid w:val="008D4C6C"/>
    <w:rsid w:val="008E365C"/>
    <w:rsid w:val="008F28AE"/>
    <w:rsid w:val="008F5ACA"/>
    <w:rsid w:val="00A121CC"/>
    <w:rsid w:val="00A22C48"/>
    <w:rsid w:val="00A33B04"/>
    <w:rsid w:val="00A73885"/>
    <w:rsid w:val="00B533E6"/>
    <w:rsid w:val="00D839D6"/>
    <w:rsid w:val="00DF54FA"/>
    <w:rsid w:val="00E42FDF"/>
    <w:rsid w:val="00E62E4E"/>
    <w:rsid w:val="00F27467"/>
    <w:rsid w:val="00F93057"/>
    <w:rsid w:val="00FA2381"/>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DEBEA-1EC9-4CF8-BF9C-D038CD40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A738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885"/>
    <w:rPr>
      <w:rFonts w:ascii="Tahoma" w:hAnsi="Tahoma" w:cs="Tahoma"/>
      <w:sz w:val="16"/>
      <w:szCs w:val="16"/>
    </w:rPr>
  </w:style>
  <w:style w:type="paragraph" w:styleId="Header">
    <w:name w:val="header"/>
    <w:basedOn w:val="Normal"/>
    <w:link w:val="HeaderChar"/>
    <w:uiPriority w:val="99"/>
    <w:unhideWhenUsed/>
    <w:rsid w:val="001738A7"/>
    <w:pPr>
      <w:tabs>
        <w:tab w:val="center" w:pos="4680"/>
        <w:tab w:val="right" w:pos="9360"/>
      </w:tabs>
      <w:spacing w:line="240" w:lineRule="auto"/>
    </w:pPr>
  </w:style>
  <w:style w:type="character" w:customStyle="1" w:styleId="HeaderChar">
    <w:name w:val="Header Char"/>
    <w:basedOn w:val="DefaultParagraphFont"/>
    <w:link w:val="Header"/>
    <w:uiPriority w:val="99"/>
    <w:rsid w:val="001738A7"/>
  </w:style>
  <w:style w:type="paragraph" w:styleId="Footer">
    <w:name w:val="footer"/>
    <w:basedOn w:val="Normal"/>
    <w:link w:val="FooterChar"/>
    <w:uiPriority w:val="99"/>
    <w:unhideWhenUsed/>
    <w:rsid w:val="001738A7"/>
    <w:pPr>
      <w:tabs>
        <w:tab w:val="center" w:pos="4680"/>
        <w:tab w:val="right" w:pos="9360"/>
      </w:tabs>
      <w:spacing w:line="240" w:lineRule="auto"/>
    </w:pPr>
  </w:style>
  <w:style w:type="character" w:customStyle="1" w:styleId="FooterChar">
    <w:name w:val="Footer Char"/>
    <w:basedOn w:val="DefaultParagraphFont"/>
    <w:link w:val="Footer"/>
    <w:uiPriority w:val="99"/>
    <w:rsid w:val="0017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9177-B44B-4163-94B8-D51CF627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Robbins</dc:creator>
  <cp:lastModifiedBy>Joel Robbins</cp:lastModifiedBy>
  <cp:revision>2</cp:revision>
  <cp:lastPrinted>2016-02-12T16:01:00Z</cp:lastPrinted>
  <dcterms:created xsi:type="dcterms:W3CDTF">2016-03-16T17:33:00Z</dcterms:created>
  <dcterms:modified xsi:type="dcterms:W3CDTF">2016-03-16T17:33:00Z</dcterms:modified>
</cp:coreProperties>
</file>