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B9" w:rsidRDefault="00DC61AD" w:rsidP="00230115">
      <w:pPr>
        <w:tabs>
          <w:tab w:val="center" w:pos="4680"/>
        </w:tabs>
        <w:jc w:val="both"/>
        <w:rPr>
          <w:sz w:val="28"/>
          <w:szCs w:val="28"/>
        </w:rPr>
      </w:pPr>
      <w:r>
        <w:rPr>
          <w:sz w:val="28"/>
          <w:szCs w:val="28"/>
        </w:rPr>
        <w:t xml:space="preserve">Hon. Lawrence </w:t>
      </w:r>
      <w:r w:rsidR="00B516D7">
        <w:rPr>
          <w:sz w:val="28"/>
          <w:szCs w:val="28"/>
        </w:rPr>
        <w:t xml:space="preserve">F. </w:t>
      </w:r>
      <w:r>
        <w:rPr>
          <w:sz w:val="28"/>
          <w:szCs w:val="28"/>
        </w:rPr>
        <w:t>Winthrop</w:t>
      </w:r>
    </w:p>
    <w:p w:rsidR="002110DD" w:rsidRDefault="00DC61AD" w:rsidP="00230115">
      <w:pPr>
        <w:tabs>
          <w:tab w:val="center" w:pos="4680"/>
        </w:tabs>
        <w:jc w:val="both"/>
        <w:rPr>
          <w:sz w:val="28"/>
          <w:szCs w:val="28"/>
        </w:rPr>
      </w:pPr>
      <w:r>
        <w:rPr>
          <w:sz w:val="28"/>
          <w:szCs w:val="28"/>
        </w:rPr>
        <w:t>Chair, Arizona Supreme Court Attorney Regulation Advisory Committee</w:t>
      </w:r>
    </w:p>
    <w:p w:rsidR="002110DD" w:rsidRDefault="0066148B" w:rsidP="00230115">
      <w:pPr>
        <w:tabs>
          <w:tab w:val="center" w:pos="4680"/>
        </w:tabs>
        <w:jc w:val="both"/>
        <w:rPr>
          <w:sz w:val="28"/>
          <w:szCs w:val="28"/>
        </w:rPr>
      </w:pPr>
      <w:r>
        <w:rPr>
          <w:sz w:val="28"/>
          <w:szCs w:val="28"/>
        </w:rPr>
        <w:t>602-543-1430</w:t>
      </w:r>
    </w:p>
    <w:p w:rsidR="002110DD" w:rsidRPr="00CF18E0" w:rsidRDefault="0066148B" w:rsidP="00230115">
      <w:pPr>
        <w:tabs>
          <w:tab w:val="center" w:pos="4680"/>
        </w:tabs>
        <w:jc w:val="both"/>
        <w:rPr>
          <w:sz w:val="28"/>
          <w:szCs w:val="28"/>
        </w:rPr>
      </w:pPr>
      <w:r>
        <w:rPr>
          <w:sz w:val="28"/>
          <w:szCs w:val="28"/>
        </w:rPr>
        <w:t>lwinthrop@appeals.az.gov</w:t>
      </w:r>
    </w:p>
    <w:p w:rsidR="001709B9" w:rsidRPr="00CF18E0" w:rsidRDefault="001709B9">
      <w:pPr>
        <w:tabs>
          <w:tab w:val="center" w:pos="4680"/>
        </w:tabs>
        <w:rPr>
          <w:sz w:val="28"/>
          <w:szCs w:val="28"/>
        </w:rPr>
      </w:pPr>
    </w:p>
    <w:p w:rsidR="002F41E8" w:rsidRPr="00CF18E0" w:rsidRDefault="001709B9">
      <w:pPr>
        <w:tabs>
          <w:tab w:val="center" w:pos="4680"/>
        </w:tabs>
        <w:rPr>
          <w:b/>
          <w:sz w:val="28"/>
          <w:szCs w:val="28"/>
        </w:rPr>
      </w:pPr>
      <w:r>
        <w:tab/>
      </w:r>
      <w:r w:rsidR="00210BDE" w:rsidRPr="00CF18E0">
        <w:rPr>
          <w:b/>
          <w:sz w:val="28"/>
          <w:szCs w:val="28"/>
        </w:rPr>
        <w:t>IN THE SUPREME COUR</w:t>
      </w:r>
      <w:r w:rsidR="002F41E8" w:rsidRPr="00CF18E0">
        <w:rPr>
          <w:b/>
          <w:sz w:val="28"/>
          <w:szCs w:val="28"/>
        </w:rPr>
        <w:t>T</w:t>
      </w:r>
    </w:p>
    <w:p w:rsidR="00210BDE" w:rsidRPr="00CF18E0" w:rsidRDefault="00210BDE" w:rsidP="002F41E8">
      <w:pPr>
        <w:tabs>
          <w:tab w:val="center" w:pos="4680"/>
        </w:tabs>
        <w:jc w:val="center"/>
        <w:rPr>
          <w:b/>
          <w:sz w:val="28"/>
          <w:szCs w:val="28"/>
        </w:rPr>
      </w:pPr>
      <w:r w:rsidRPr="00CF18E0">
        <w:rPr>
          <w:b/>
          <w:sz w:val="28"/>
          <w:szCs w:val="28"/>
        </w:rPr>
        <w:t>STATE OF ARIZONA</w:t>
      </w:r>
    </w:p>
    <w:p w:rsidR="00210BDE" w:rsidRDefault="00210BDE"/>
    <w:p w:rsidR="00210BDE" w:rsidRDefault="00210BDE"/>
    <w:p w:rsidR="00210BDE" w:rsidRPr="00CF18E0" w:rsidRDefault="00CF18E0" w:rsidP="00CF18E0">
      <w:pPr>
        <w:tabs>
          <w:tab w:val="left" w:pos="4320"/>
        </w:tabs>
        <w:rPr>
          <w:sz w:val="28"/>
          <w:szCs w:val="28"/>
        </w:rPr>
      </w:pPr>
      <w:r>
        <w:rPr>
          <w:sz w:val="28"/>
          <w:szCs w:val="28"/>
        </w:rPr>
        <w:t>In the Matter of:</w:t>
      </w:r>
      <w:r>
        <w:rPr>
          <w:sz w:val="28"/>
          <w:szCs w:val="28"/>
        </w:rPr>
        <w:tab/>
      </w:r>
      <w:r w:rsidR="00210BDE" w:rsidRPr="00CF18E0">
        <w:rPr>
          <w:sz w:val="28"/>
          <w:szCs w:val="28"/>
        </w:rPr>
        <w:t>)</w:t>
      </w:r>
    </w:p>
    <w:p w:rsidR="00210BDE" w:rsidRPr="00CF18E0" w:rsidRDefault="00210BDE" w:rsidP="007673DC">
      <w:pPr>
        <w:tabs>
          <w:tab w:val="left" w:pos="-1440"/>
          <w:tab w:val="left" w:pos="4320"/>
          <w:tab w:val="left" w:pos="5760"/>
        </w:tabs>
        <w:jc w:val="both"/>
        <w:rPr>
          <w:sz w:val="28"/>
          <w:szCs w:val="28"/>
        </w:rPr>
      </w:pPr>
      <w:r w:rsidRPr="00CF18E0">
        <w:rPr>
          <w:sz w:val="28"/>
          <w:szCs w:val="28"/>
        </w:rPr>
        <w:tab/>
        <w:t>)</w:t>
      </w:r>
      <w:r w:rsidR="002F2277">
        <w:rPr>
          <w:sz w:val="28"/>
          <w:szCs w:val="28"/>
        </w:rPr>
        <w:tab/>
        <w:t>Supreme Court No. R-</w:t>
      </w:r>
      <w:r w:rsidR="000D6713">
        <w:rPr>
          <w:sz w:val="28"/>
          <w:szCs w:val="28"/>
        </w:rPr>
        <w:t>__</w:t>
      </w:r>
      <w:r w:rsidR="007673DC" w:rsidRPr="00CF18E0">
        <w:rPr>
          <w:sz w:val="28"/>
          <w:szCs w:val="28"/>
        </w:rPr>
        <w:t>-____</w:t>
      </w:r>
    </w:p>
    <w:p w:rsidR="00210BDE" w:rsidRPr="00CF18E0" w:rsidRDefault="002F41E8">
      <w:pPr>
        <w:tabs>
          <w:tab w:val="left" w:pos="-1440"/>
          <w:tab w:val="left" w:pos="4320"/>
          <w:tab w:val="left" w:pos="5760"/>
        </w:tabs>
        <w:jc w:val="both"/>
        <w:rPr>
          <w:sz w:val="28"/>
          <w:szCs w:val="28"/>
        </w:rPr>
      </w:pPr>
      <w:r w:rsidRPr="00CF18E0">
        <w:rPr>
          <w:sz w:val="28"/>
          <w:szCs w:val="28"/>
        </w:rPr>
        <w:t>PETITION TO</w:t>
      </w:r>
      <w:r w:rsidR="00585AF9" w:rsidRPr="00CF18E0">
        <w:rPr>
          <w:sz w:val="28"/>
          <w:szCs w:val="28"/>
        </w:rPr>
        <w:t xml:space="preserve"> </w:t>
      </w:r>
      <w:r w:rsidR="00A9296D" w:rsidRPr="00CF18E0">
        <w:rPr>
          <w:sz w:val="28"/>
          <w:szCs w:val="28"/>
        </w:rPr>
        <w:t>AMEND</w:t>
      </w:r>
      <w:r w:rsidR="00585AF9" w:rsidRPr="00CF18E0">
        <w:rPr>
          <w:sz w:val="28"/>
          <w:szCs w:val="28"/>
        </w:rPr>
        <w:t xml:space="preserve"> </w:t>
      </w:r>
      <w:r w:rsidRPr="00CF18E0">
        <w:rPr>
          <w:sz w:val="28"/>
          <w:szCs w:val="28"/>
        </w:rPr>
        <w:t xml:space="preserve"> </w:t>
      </w:r>
      <w:r w:rsidR="00210BDE" w:rsidRPr="00CF18E0">
        <w:rPr>
          <w:sz w:val="28"/>
          <w:szCs w:val="28"/>
        </w:rPr>
        <w:t xml:space="preserve">   </w:t>
      </w:r>
      <w:r w:rsidR="00210BDE" w:rsidRPr="00CF18E0">
        <w:rPr>
          <w:sz w:val="28"/>
          <w:szCs w:val="28"/>
        </w:rPr>
        <w:tab/>
        <w:t>)</w:t>
      </w:r>
      <w:r w:rsidR="00210BDE" w:rsidRPr="00CF18E0">
        <w:rPr>
          <w:sz w:val="28"/>
          <w:szCs w:val="28"/>
        </w:rPr>
        <w:tab/>
      </w:r>
    </w:p>
    <w:p w:rsidR="00B371C0" w:rsidRDefault="008E14BB" w:rsidP="008E14BB">
      <w:pPr>
        <w:tabs>
          <w:tab w:val="left" w:pos="4320"/>
          <w:tab w:val="left" w:pos="5760"/>
        </w:tabs>
        <w:jc w:val="both"/>
        <w:rPr>
          <w:sz w:val="28"/>
          <w:szCs w:val="28"/>
        </w:rPr>
      </w:pPr>
      <w:r w:rsidRPr="00CF18E0">
        <w:rPr>
          <w:sz w:val="28"/>
          <w:szCs w:val="28"/>
        </w:rPr>
        <w:t>RULE</w:t>
      </w:r>
      <w:r w:rsidR="00B516D7">
        <w:rPr>
          <w:sz w:val="28"/>
          <w:szCs w:val="28"/>
        </w:rPr>
        <w:t>S 46(c) and (d)</w:t>
      </w:r>
      <w:r w:rsidR="002110DD">
        <w:rPr>
          <w:sz w:val="28"/>
          <w:szCs w:val="28"/>
        </w:rPr>
        <w:t>,</w:t>
      </w:r>
      <w:r w:rsidRPr="00CF18E0">
        <w:rPr>
          <w:sz w:val="28"/>
          <w:szCs w:val="28"/>
        </w:rPr>
        <w:tab/>
        <w:t>)</w:t>
      </w:r>
      <w:r w:rsidR="00210BDE" w:rsidRPr="00CF18E0">
        <w:rPr>
          <w:sz w:val="28"/>
          <w:szCs w:val="28"/>
        </w:rPr>
        <w:tab/>
      </w:r>
    </w:p>
    <w:p w:rsidR="00EE13EB" w:rsidRDefault="00B516D7" w:rsidP="00A22F0B">
      <w:pPr>
        <w:ind w:left="4320" w:hanging="4320"/>
        <w:jc w:val="both"/>
        <w:rPr>
          <w:b/>
          <w:sz w:val="28"/>
          <w:szCs w:val="28"/>
        </w:rPr>
      </w:pPr>
      <w:r>
        <w:rPr>
          <w:sz w:val="28"/>
          <w:szCs w:val="28"/>
        </w:rPr>
        <w:t>Rules of the Supreme Court</w:t>
      </w:r>
      <w:r w:rsidR="00DC61AD">
        <w:rPr>
          <w:sz w:val="28"/>
          <w:szCs w:val="28"/>
        </w:rPr>
        <w:tab/>
      </w:r>
      <w:r w:rsidR="00EE13EB">
        <w:rPr>
          <w:sz w:val="28"/>
          <w:szCs w:val="28"/>
        </w:rPr>
        <w:t>)</w:t>
      </w:r>
      <w:r w:rsidR="00DC61AD">
        <w:rPr>
          <w:sz w:val="28"/>
          <w:szCs w:val="28"/>
        </w:rPr>
        <w:tab/>
      </w:r>
      <w:r w:rsidR="007673DC" w:rsidRPr="007673DC">
        <w:rPr>
          <w:b/>
          <w:sz w:val="28"/>
          <w:szCs w:val="28"/>
        </w:rPr>
        <w:t>Petition to Amend Rule</w:t>
      </w:r>
      <w:r w:rsidR="00596A0D">
        <w:rPr>
          <w:b/>
          <w:sz w:val="28"/>
          <w:szCs w:val="28"/>
        </w:rPr>
        <w:t>s</w:t>
      </w:r>
      <w:r w:rsidR="002110DD">
        <w:rPr>
          <w:b/>
          <w:sz w:val="28"/>
          <w:szCs w:val="28"/>
        </w:rPr>
        <w:t xml:space="preserve"> </w:t>
      </w:r>
      <w:r w:rsidR="00DC61AD">
        <w:rPr>
          <w:b/>
          <w:sz w:val="28"/>
          <w:szCs w:val="28"/>
        </w:rPr>
        <w:t>46(c)</w:t>
      </w:r>
      <w:r w:rsidR="00596A0D">
        <w:rPr>
          <w:b/>
          <w:sz w:val="28"/>
          <w:szCs w:val="28"/>
        </w:rPr>
        <w:tab/>
      </w:r>
      <w:r w:rsidR="00DC61AD">
        <w:rPr>
          <w:b/>
          <w:sz w:val="28"/>
          <w:szCs w:val="28"/>
        </w:rPr>
        <w:t>and</w:t>
      </w:r>
    </w:p>
    <w:p w:rsidR="007673DC" w:rsidRDefault="00EE13EB" w:rsidP="00A22F0B">
      <w:pPr>
        <w:ind w:left="4320" w:hanging="4320"/>
        <w:jc w:val="both"/>
        <w:rPr>
          <w:sz w:val="28"/>
          <w:szCs w:val="28"/>
        </w:rPr>
      </w:pPr>
      <w:r>
        <w:rPr>
          <w:b/>
          <w:sz w:val="28"/>
          <w:szCs w:val="28"/>
        </w:rPr>
        <w:tab/>
      </w:r>
      <w:r w:rsidRPr="00EE13EB">
        <w:rPr>
          <w:sz w:val="28"/>
          <w:szCs w:val="28"/>
        </w:rPr>
        <w:t>)</w:t>
      </w:r>
      <w:r w:rsidR="00A22F0B">
        <w:rPr>
          <w:sz w:val="28"/>
          <w:szCs w:val="28"/>
        </w:rPr>
        <w:tab/>
      </w:r>
      <w:r w:rsidR="00DC61AD">
        <w:rPr>
          <w:b/>
          <w:sz w:val="28"/>
          <w:szCs w:val="28"/>
        </w:rPr>
        <w:t>(d)</w:t>
      </w:r>
      <w:r w:rsidR="002110DD">
        <w:rPr>
          <w:b/>
          <w:sz w:val="28"/>
          <w:szCs w:val="28"/>
        </w:rPr>
        <w:t>,</w:t>
      </w:r>
      <w:r w:rsidR="00DC61AD">
        <w:rPr>
          <w:b/>
          <w:sz w:val="28"/>
          <w:szCs w:val="28"/>
        </w:rPr>
        <w:t xml:space="preserve"> Rules of the Supreme Court</w:t>
      </w:r>
    </w:p>
    <w:p w:rsidR="007673DC" w:rsidRDefault="007673DC" w:rsidP="008E14BB">
      <w:pPr>
        <w:tabs>
          <w:tab w:val="left" w:pos="4320"/>
          <w:tab w:val="left" w:pos="5760"/>
        </w:tabs>
        <w:jc w:val="both"/>
        <w:rPr>
          <w:sz w:val="28"/>
          <w:szCs w:val="28"/>
        </w:rPr>
      </w:pPr>
      <w:r>
        <w:rPr>
          <w:sz w:val="28"/>
          <w:szCs w:val="28"/>
        </w:rPr>
        <w:tab/>
        <w:t>)</w:t>
      </w:r>
    </w:p>
    <w:p w:rsidR="00A9296D" w:rsidRPr="00CF18E0" w:rsidRDefault="007673DC" w:rsidP="008E14BB">
      <w:pPr>
        <w:tabs>
          <w:tab w:val="left" w:pos="4320"/>
          <w:tab w:val="left" w:pos="5760"/>
        </w:tabs>
        <w:jc w:val="both"/>
        <w:rPr>
          <w:sz w:val="28"/>
          <w:szCs w:val="28"/>
        </w:rPr>
      </w:pPr>
      <w:r>
        <w:rPr>
          <w:sz w:val="28"/>
          <w:szCs w:val="28"/>
        </w:rPr>
        <w:tab/>
      </w:r>
      <w:r w:rsidR="00EE13EB">
        <w:rPr>
          <w:sz w:val="28"/>
          <w:szCs w:val="28"/>
        </w:rPr>
        <w:t>)</w:t>
      </w:r>
    </w:p>
    <w:p w:rsidR="00210BDE" w:rsidRPr="00CF18E0" w:rsidRDefault="00210BDE" w:rsidP="00EE13EB">
      <w:pPr>
        <w:tabs>
          <w:tab w:val="left" w:pos="4320"/>
        </w:tabs>
        <w:rPr>
          <w:sz w:val="28"/>
          <w:szCs w:val="28"/>
        </w:rPr>
      </w:pPr>
      <w:r w:rsidRPr="00CF18E0">
        <w:rPr>
          <w:sz w:val="28"/>
          <w:szCs w:val="28"/>
        </w:rPr>
        <w:t>____________________________</w:t>
      </w:r>
      <w:r w:rsidR="00974A6A">
        <w:rPr>
          <w:sz w:val="28"/>
          <w:szCs w:val="28"/>
        </w:rPr>
        <w:t>_</w:t>
      </w:r>
      <w:r w:rsidRPr="00CF18E0">
        <w:rPr>
          <w:sz w:val="28"/>
          <w:szCs w:val="28"/>
        </w:rPr>
        <w:t>_</w:t>
      </w:r>
      <w:r w:rsidR="00EE13EB">
        <w:rPr>
          <w:sz w:val="28"/>
          <w:szCs w:val="28"/>
        </w:rPr>
        <w:t xml:space="preserve">  </w:t>
      </w:r>
      <w:r w:rsidRPr="00CF18E0">
        <w:rPr>
          <w:sz w:val="28"/>
          <w:szCs w:val="28"/>
        </w:rPr>
        <w:t>)</w:t>
      </w:r>
    </w:p>
    <w:p w:rsidR="00210BDE" w:rsidRPr="00CF18E0" w:rsidRDefault="00210BDE">
      <w:pPr>
        <w:ind w:left="2880"/>
        <w:jc w:val="both"/>
        <w:rPr>
          <w:sz w:val="28"/>
          <w:szCs w:val="28"/>
        </w:rPr>
      </w:pPr>
    </w:p>
    <w:p w:rsidR="008E14BB" w:rsidRPr="009C44A6" w:rsidRDefault="002F41E8" w:rsidP="0043305D">
      <w:pPr>
        <w:tabs>
          <w:tab w:val="center" w:pos="4680"/>
        </w:tabs>
        <w:spacing w:line="480" w:lineRule="auto"/>
        <w:ind w:firstLine="720"/>
        <w:jc w:val="both"/>
        <w:rPr>
          <w:sz w:val="28"/>
          <w:szCs w:val="28"/>
        </w:rPr>
      </w:pPr>
      <w:r w:rsidRPr="009C44A6">
        <w:rPr>
          <w:sz w:val="28"/>
          <w:szCs w:val="28"/>
        </w:rPr>
        <w:t xml:space="preserve">Pursuant to Rule 28, </w:t>
      </w:r>
      <w:r w:rsidR="007673DC" w:rsidRPr="009C44A6">
        <w:rPr>
          <w:sz w:val="28"/>
          <w:szCs w:val="28"/>
        </w:rPr>
        <w:t xml:space="preserve">Rules of the Supreme Court, </w:t>
      </w:r>
      <w:r w:rsidR="00B516D7" w:rsidRPr="009C44A6">
        <w:rPr>
          <w:sz w:val="28"/>
          <w:szCs w:val="28"/>
        </w:rPr>
        <w:t xml:space="preserve">Hon. Lawrence F. Winthrop </w:t>
      </w:r>
      <w:r w:rsidR="008E14BB" w:rsidRPr="009C44A6">
        <w:rPr>
          <w:sz w:val="28"/>
          <w:szCs w:val="28"/>
        </w:rPr>
        <w:t>respectfully petitions</w:t>
      </w:r>
      <w:r w:rsidR="0066148B">
        <w:rPr>
          <w:sz w:val="28"/>
          <w:szCs w:val="28"/>
        </w:rPr>
        <w:t xml:space="preserve"> this Court, on behalf of the Attorney Regulation Advisory Committee,</w:t>
      </w:r>
      <w:r w:rsidR="008E14BB" w:rsidRPr="009C44A6">
        <w:rPr>
          <w:sz w:val="28"/>
          <w:szCs w:val="28"/>
        </w:rPr>
        <w:t xml:space="preserve"> to adopt </w:t>
      </w:r>
      <w:r w:rsidR="002C7394" w:rsidRPr="009C44A6">
        <w:rPr>
          <w:sz w:val="28"/>
          <w:szCs w:val="28"/>
        </w:rPr>
        <w:t>amendment</w:t>
      </w:r>
      <w:r w:rsidR="00757EB1" w:rsidRPr="009C44A6">
        <w:rPr>
          <w:sz w:val="28"/>
          <w:szCs w:val="28"/>
        </w:rPr>
        <w:t>s</w:t>
      </w:r>
      <w:r w:rsidR="008E14BB" w:rsidRPr="009C44A6">
        <w:rPr>
          <w:sz w:val="28"/>
          <w:szCs w:val="28"/>
        </w:rPr>
        <w:t xml:space="preserve"> to Rule</w:t>
      </w:r>
      <w:r w:rsidR="002110DD" w:rsidRPr="009C44A6">
        <w:rPr>
          <w:sz w:val="28"/>
          <w:szCs w:val="28"/>
        </w:rPr>
        <w:t xml:space="preserve"> </w:t>
      </w:r>
      <w:r w:rsidR="00B516D7" w:rsidRPr="009C44A6">
        <w:rPr>
          <w:sz w:val="28"/>
          <w:szCs w:val="28"/>
        </w:rPr>
        <w:t>46(c) and (d)</w:t>
      </w:r>
      <w:r w:rsidR="005B3E39" w:rsidRPr="009C44A6">
        <w:rPr>
          <w:sz w:val="28"/>
          <w:szCs w:val="28"/>
        </w:rPr>
        <w:t xml:space="preserve">, </w:t>
      </w:r>
      <w:r w:rsidR="00B516D7" w:rsidRPr="009C44A6">
        <w:rPr>
          <w:sz w:val="28"/>
          <w:szCs w:val="28"/>
        </w:rPr>
        <w:t>Rules of the Supreme Court</w:t>
      </w:r>
      <w:r w:rsidR="00230115" w:rsidRPr="009C44A6">
        <w:rPr>
          <w:sz w:val="28"/>
          <w:szCs w:val="28"/>
        </w:rPr>
        <w:t xml:space="preserve">, governing </w:t>
      </w:r>
      <w:r w:rsidR="009C44A6" w:rsidRPr="009C44A6">
        <w:rPr>
          <w:sz w:val="28"/>
          <w:szCs w:val="28"/>
        </w:rPr>
        <w:t>Former Judges and Incumbent Judges</w:t>
      </w:r>
      <w:r w:rsidR="002C7394" w:rsidRPr="009C44A6">
        <w:rPr>
          <w:sz w:val="28"/>
          <w:szCs w:val="28"/>
        </w:rPr>
        <w:t xml:space="preserve">, as proposed </w:t>
      </w:r>
      <w:r w:rsidR="009C44A6" w:rsidRPr="009C44A6">
        <w:rPr>
          <w:sz w:val="28"/>
          <w:szCs w:val="28"/>
        </w:rPr>
        <w:t>below</w:t>
      </w:r>
      <w:r w:rsidR="008E14BB" w:rsidRPr="009C44A6">
        <w:rPr>
          <w:sz w:val="28"/>
          <w:szCs w:val="28"/>
        </w:rPr>
        <w:t xml:space="preserve">.  </w:t>
      </w:r>
    </w:p>
    <w:p w:rsidR="002F41E8" w:rsidRDefault="002F41E8" w:rsidP="0043305D">
      <w:pPr>
        <w:pStyle w:val="ListParagraph"/>
        <w:numPr>
          <w:ilvl w:val="0"/>
          <w:numId w:val="1"/>
        </w:numPr>
        <w:spacing w:line="480" w:lineRule="auto"/>
        <w:ind w:left="720"/>
        <w:jc w:val="both"/>
        <w:rPr>
          <w:rFonts w:ascii="Times New Roman" w:hAnsi="Times New Roman"/>
          <w:b/>
          <w:sz w:val="28"/>
          <w:szCs w:val="28"/>
        </w:rPr>
      </w:pPr>
      <w:r w:rsidRPr="00862988">
        <w:rPr>
          <w:rFonts w:ascii="Times New Roman" w:hAnsi="Times New Roman"/>
          <w:b/>
          <w:sz w:val="28"/>
          <w:szCs w:val="28"/>
        </w:rPr>
        <w:t xml:space="preserve">Background  and Purpose of the Proposed Rule Amendments </w:t>
      </w:r>
    </w:p>
    <w:p w:rsidR="002110DD" w:rsidRDefault="00AA32F9" w:rsidP="0043305D">
      <w:pPr>
        <w:tabs>
          <w:tab w:val="center" w:pos="4680"/>
        </w:tabs>
        <w:spacing w:line="480" w:lineRule="auto"/>
        <w:ind w:firstLine="720"/>
        <w:jc w:val="both"/>
        <w:rPr>
          <w:sz w:val="28"/>
          <w:szCs w:val="28"/>
        </w:rPr>
      </w:pPr>
      <w:r>
        <w:rPr>
          <w:sz w:val="28"/>
          <w:szCs w:val="28"/>
        </w:rPr>
        <w:t xml:space="preserve">The Attorney Regulation Advisory Committee proposes that Rules 46(c) and (d) </w:t>
      </w:r>
      <w:r w:rsidR="00713DA4">
        <w:rPr>
          <w:sz w:val="28"/>
          <w:szCs w:val="28"/>
        </w:rPr>
        <w:t xml:space="preserve">of the Rules of the Supreme Court </w:t>
      </w:r>
      <w:r>
        <w:rPr>
          <w:sz w:val="28"/>
          <w:szCs w:val="28"/>
        </w:rPr>
        <w:t xml:space="preserve">be amended to clarify </w:t>
      </w:r>
      <w:r w:rsidR="00CC4367">
        <w:rPr>
          <w:sz w:val="28"/>
          <w:szCs w:val="28"/>
        </w:rPr>
        <w:t>three specific points</w:t>
      </w:r>
      <w:r w:rsidR="002B7C7E">
        <w:rPr>
          <w:sz w:val="28"/>
          <w:szCs w:val="28"/>
        </w:rPr>
        <w:t>:</w:t>
      </w:r>
      <w:r w:rsidR="00CC4367">
        <w:rPr>
          <w:sz w:val="28"/>
          <w:szCs w:val="28"/>
        </w:rPr>
        <w:t xml:space="preserve"> </w:t>
      </w:r>
      <w:r w:rsidR="002B7C7E">
        <w:rPr>
          <w:sz w:val="28"/>
          <w:szCs w:val="28"/>
        </w:rPr>
        <w:t xml:space="preserve">(1) </w:t>
      </w:r>
      <w:r>
        <w:rPr>
          <w:sz w:val="28"/>
          <w:szCs w:val="28"/>
        </w:rPr>
        <w:t>that the State Bar of Arizona and Commission on Judicial Conduct have concurrent jurisdiction over judges for alleged misconduct as lawyers before becoming judges</w:t>
      </w:r>
      <w:r w:rsidR="00CC4367">
        <w:rPr>
          <w:sz w:val="28"/>
          <w:szCs w:val="28"/>
        </w:rPr>
        <w:t xml:space="preserve">; </w:t>
      </w:r>
      <w:r w:rsidR="002B7C7E">
        <w:rPr>
          <w:sz w:val="28"/>
          <w:szCs w:val="28"/>
        </w:rPr>
        <w:t xml:space="preserve">(2) </w:t>
      </w:r>
      <w:r>
        <w:rPr>
          <w:sz w:val="28"/>
          <w:szCs w:val="28"/>
        </w:rPr>
        <w:t xml:space="preserve">that the </w:t>
      </w:r>
      <w:r w:rsidR="00565EF5">
        <w:rPr>
          <w:sz w:val="28"/>
          <w:szCs w:val="28"/>
        </w:rPr>
        <w:t>S</w:t>
      </w:r>
      <w:r>
        <w:rPr>
          <w:sz w:val="28"/>
          <w:szCs w:val="28"/>
        </w:rPr>
        <w:t xml:space="preserve">tate </w:t>
      </w:r>
      <w:r w:rsidR="00565EF5">
        <w:rPr>
          <w:sz w:val="28"/>
          <w:szCs w:val="28"/>
        </w:rPr>
        <w:t>B</w:t>
      </w:r>
      <w:r>
        <w:rPr>
          <w:sz w:val="28"/>
          <w:szCs w:val="28"/>
        </w:rPr>
        <w:t xml:space="preserve">ar has </w:t>
      </w:r>
      <w:r w:rsidR="00CC4367">
        <w:rPr>
          <w:sz w:val="28"/>
          <w:szCs w:val="28"/>
        </w:rPr>
        <w:t xml:space="preserve">jurisdiction over former judges who return to the practice of law who engaged in conduct while serving as a judge that </w:t>
      </w:r>
      <w:r w:rsidR="00CC4367">
        <w:rPr>
          <w:sz w:val="28"/>
          <w:szCs w:val="28"/>
        </w:rPr>
        <w:lastRenderedPageBreak/>
        <w:t xml:space="preserve">would constitute grounds for lawyer discipline; and </w:t>
      </w:r>
      <w:r w:rsidR="002B7C7E">
        <w:rPr>
          <w:sz w:val="28"/>
          <w:szCs w:val="28"/>
        </w:rPr>
        <w:t xml:space="preserve">(3) that </w:t>
      </w:r>
      <w:r w:rsidR="00CC4367">
        <w:rPr>
          <w:sz w:val="28"/>
          <w:szCs w:val="28"/>
        </w:rPr>
        <w:t xml:space="preserve">the </w:t>
      </w:r>
      <w:r w:rsidR="00852A3E">
        <w:rPr>
          <w:sz w:val="28"/>
          <w:szCs w:val="28"/>
        </w:rPr>
        <w:t>S</w:t>
      </w:r>
      <w:r w:rsidR="00CC4367">
        <w:rPr>
          <w:sz w:val="28"/>
          <w:szCs w:val="28"/>
        </w:rPr>
        <w:t xml:space="preserve">tate </w:t>
      </w:r>
      <w:r w:rsidR="00852A3E">
        <w:rPr>
          <w:sz w:val="28"/>
          <w:szCs w:val="28"/>
        </w:rPr>
        <w:t>B</w:t>
      </w:r>
      <w:r w:rsidR="00CC4367">
        <w:rPr>
          <w:sz w:val="28"/>
          <w:szCs w:val="28"/>
        </w:rPr>
        <w:t xml:space="preserve">ar </w:t>
      </w:r>
      <w:r w:rsidR="002B7C7E">
        <w:rPr>
          <w:sz w:val="28"/>
          <w:szCs w:val="28"/>
        </w:rPr>
        <w:t xml:space="preserve">has </w:t>
      </w:r>
      <w:r w:rsidR="00CC4367">
        <w:rPr>
          <w:sz w:val="28"/>
          <w:szCs w:val="28"/>
        </w:rPr>
        <w:t xml:space="preserve">the </w:t>
      </w:r>
      <w:r w:rsidR="002E08D2">
        <w:rPr>
          <w:sz w:val="28"/>
          <w:szCs w:val="28"/>
        </w:rPr>
        <w:t>discretion to pursue lawyer discipline against a former judge who has been removed, resigns or retires as a result of judicial discipline</w:t>
      </w:r>
      <w:r w:rsidR="001D41C2">
        <w:rPr>
          <w:sz w:val="28"/>
          <w:szCs w:val="28"/>
        </w:rPr>
        <w:t xml:space="preserve"> </w:t>
      </w:r>
      <w:r w:rsidR="009A2FE7">
        <w:rPr>
          <w:sz w:val="28"/>
          <w:szCs w:val="28"/>
        </w:rPr>
        <w:t xml:space="preserve">proceedings </w:t>
      </w:r>
      <w:r w:rsidR="001D41C2">
        <w:rPr>
          <w:sz w:val="28"/>
          <w:szCs w:val="28"/>
        </w:rPr>
        <w:t xml:space="preserve">when the </w:t>
      </w:r>
      <w:r w:rsidR="00401DCA">
        <w:rPr>
          <w:sz w:val="28"/>
          <w:szCs w:val="28"/>
        </w:rPr>
        <w:t>underlying conduct</w:t>
      </w:r>
      <w:r w:rsidR="001D41C2">
        <w:rPr>
          <w:sz w:val="28"/>
          <w:szCs w:val="28"/>
        </w:rPr>
        <w:t xml:space="preserve"> also </w:t>
      </w:r>
      <w:r w:rsidR="003F46D6">
        <w:rPr>
          <w:sz w:val="28"/>
          <w:szCs w:val="28"/>
        </w:rPr>
        <w:t>constitute</w:t>
      </w:r>
      <w:r w:rsidR="001D41C2">
        <w:rPr>
          <w:sz w:val="28"/>
          <w:szCs w:val="28"/>
        </w:rPr>
        <w:t xml:space="preserve"> grounds for lawyer discipline</w:t>
      </w:r>
      <w:r w:rsidR="002E08D2">
        <w:rPr>
          <w:sz w:val="28"/>
          <w:szCs w:val="28"/>
        </w:rPr>
        <w:t>.</w:t>
      </w:r>
      <w:r w:rsidR="0043305D">
        <w:rPr>
          <w:sz w:val="28"/>
          <w:szCs w:val="28"/>
        </w:rPr>
        <w:t xml:space="preserve"> The Arizona Commission on Judicial Conduct </w:t>
      </w:r>
      <w:r w:rsidR="00733D11">
        <w:rPr>
          <w:sz w:val="28"/>
          <w:szCs w:val="28"/>
        </w:rPr>
        <w:t>has</w:t>
      </w:r>
      <w:r w:rsidR="0043305D">
        <w:rPr>
          <w:sz w:val="28"/>
          <w:szCs w:val="28"/>
        </w:rPr>
        <w:t xml:space="preserve"> reviewed these proposed changes and supports them.</w:t>
      </w:r>
    </w:p>
    <w:p w:rsidR="00DD24FC" w:rsidRPr="00DD24FC" w:rsidRDefault="00713DA4" w:rsidP="00DD24FC">
      <w:pPr>
        <w:spacing w:line="480" w:lineRule="auto"/>
        <w:ind w:firstLine="720"/>
        <w:jc w:val="both"/>
        <w:rPr>
          <w:rFonts w:eastAsiaTheme="minorHAnsi"/>
          <w:sz w:val="28"/>
          <w:szCs w:val="28"/>
        </w:rPr>
      </w:pPr>
      <w:r w:rsidRPr="00DD24FC">
        <w:rPr>
          <w:sz w:val="28"/>
          <w:szCs w:val="28"/>
        </w:rPr>
        <w:t xml:space="preserve">Current Rule 46(c) has proven problematic as an </w:t>
      </w:r>
      <w:r w:rsidR="00733D11">
        <w:rPr>
          <w:sz w:val="28"/>
          <w:szCs w:val="28"/>
        </w:rPr>
        <w:t>unduly restrictive</w:t>
      </w:r>
      <w:r w:rsidRPr="00DD24FC">
        <w:rPr>
          <w:sz w:val="28"/>
          <w:szCs w:val="28"/>
        </w:rPr>
        <w:t xml:space="preserve"> limitation on the authority of the </w:t>
      </w:r>
      <w:r w:rsidR="00852A3E">
        <w:rPr>
          <w:sz w:val="28"/>
          <w:szCs w:val="28"/>
        </w:rPr>
        <w:t>S</w:t>
      </w:r>
      <w:r w:rsidR="00852A3E" w:rsidRPr="00DD24FC">
        <w:rPr>
          <w:sz w:val="28"/>
          <w:szCs w:val="28"/>
        </w:rPr>
        <w:t xml:space="preserve">tate </w:t>
      </w:r>
      <w:r w:rsidR="00852A3E">
        <w:rPr>
          <w:sz w:val="28"/>
          <w:szCs w:val="28"/>
        </w:rPr>
        <w:t>B</w:t>
      </w:r>
      <w:r w:rsidR="00852A3E" w:rsidRPr="00DD24FC">
        <w:rPr>
          <w:sz w:val="28"/>
          <w:szCs w:val="28"/>
        </w:rPr>
        <w:t xml:space="preserve">ar </w:t>
      </w:r>
      <w:r w:rsidRPr="00DD24FC">
        <w:rPr>
          <w:sz w:val="28"/>
          <w:szCs w:val="28"/>
        </w:rPr>
        <w:t xml:space="preserve">to take appropriate action concerning the alleged misconduct of a </w:t>
      </w:r>
      <w:r w:rsidR="001F1128">
        <w:rPr>
          <w:sz w:val="28"/>
          <w:szCs w:val="28"/>
        </w:rPr>
        <w:t xml:space="preserve">judge who </w:t>
      </w:r>
      <w:r w:rsidR="00162DA6">
        <w:rPr>
          <w:sz w:val="28"/>
          <w:szCs w:val="28"/>
        </w:rPr>
        <w:t>resigned as a result of judicial discipline</w:t>
      </w:r>
      <w:r w:rsidR="00B06220">
        <w:rPr>
          <w:sz w:val="28"/>
          <w:szCs w:val="28"/>
        </w:rPr>
        <w:t xml:space="preserve"> </w:t>
      </w:r>
      <w:r w:rsidR="009A2FE7">
        <w:rPr>
          <w:sz w:val="28"/>
          <w:szCs w:val="28"/>
        </w:rPr>
        <w:t xml:space="preserve">proceedings </w:t>
      </w:r>
      <w:r w:rsidR="00B06220">
        <w:rPr>
          <w:sz w:val="28"/>
          <w:szCs w:val="28"/>
        </w:rPr>
        <w:t>and resumed the practice of law.</w:t>
      </w:r>
      <w:r w:rsidR="001F1128">
        <w:rPr>
          <w:sz w:val="28"/>
          <w:szCs w:val="28"/>
        </w:rPr>
        <w:t xml:space="preserve"> </w:t>
      </w:r>
      <w:r w:rsidR="0043305D" w:rsidRPr="00DD24FC">
        <w:rPr>
          <w:sz w:val="28"/>
          <w:szCs w:val="28"/>
        </w:rPr>
        <w:t>The case of former Judge Michael C. Nelson</w:t>
      </w:r>
      <w:r w:rsidR="00DD24FC" w:rsidRPr="00DD24FC">
        <w:rPr>
          <w:sz w:val="28"/>
          <w:szCs w:val="28"/>
        </w:rPr>
        <w:t xml:space="preserve"> is demonstrative. </w:t>
      </w:r>
      <w:r w:rsidR="00DD24FC" w:rsidRPr="00116074">
        <w:rPr>
          <w:rFonts w:eastAsiaTheme="minorHAnsi"/>
          <w:sz w:val="28"/>
          <w:szCs w:val="28"/>
        </w:rPr>
        <w:t>He resigned in the face of charges of judicial misconduct.</w:t>
      </w:r>
      <w:r w:rsidR="00DD24FC" w:rsidRPr="00DD24FC">
        <w:rPr>
          <w:rFonts w:eastAsiaTheme="minorHAnsi"/>
          <w:sz w:val="28"/>
          <w:szCs w:val="28"/>
        </w:rPr>
        <w:t xml:space="preserve"> The Supreme Court entered a final judgment that the former judge owed the Commission on Judicial Conduct certain costs. </w:t>
      </w:r>
      <w:r w:rsidR="00D95C5A" w:rsidRPr="00D95C5A">
        <w:rPr>
          <w:rFonts w:eastAsiaTheme="minorHAnsi"/>
          <w:i/>
          <w:sz w:val="28"/>
          <w:szCs w:val="28"/>
        </w:rPr>
        <w:t>In re Nelson</w:t>
      </w:r>
      <w:r w:rsidR="00D95C5A">
        <w:rPr>
          <w:rFonts w:eastAsiaTheme="minorHAnsi"/>
          <w:sz w:val="28"/>
          <w:szCs w:val="28"/>
        </w:rPr>
        <w:t xml:space="preserve">, 207 Ariz. 318, 86 P.3d 374 (2004). </w:t>
      </w:r>
      <w:r w:rsidR="00DD24FC" w:rsidRPr="00DD24FC">
        <w:rPr>
          <w:rFonts w:eastAsiaTheme="minorHAnsi"/>
          <w:sz w:val="28"/>
          <w:szCs w:val="28"/>
        </w:rPr>
        <w:t xml:space="preserve">The </w:t>
      </w:r>
      <w:r w:rsidR="009A2FE7">
        <w:rPr>
          <w:rFonts w:eastAsiaTheme="minorHAnsi"/>
          <w:sz w:val="28"/>
          <w:szCs w:val="28"/>
        </w:rPr>
        <w:t>c</w:t>
      </w:r>
      <w:r w:rsidR="009A2FE7" w:rsidRPr="00DD24FC">
        <w:rPr>
          <w:rFonts w:eastAsiaTheme="minorHAnsi"/>
          <w:sz w:val="28"/>
          <w:szCs w:val="28"/>
        </w:rPr>
        <w:t xml:space="preserve">ourt </w:t>
      </w:r>
      <w:r w:rsidR="00DD24FC" w:rsidRPr="00DD24FC">
        <w:rPr>
          <w:rFonts w:eastAsiaTheme="minorHAnsi"/>
          <w:sz w:val="28"/>
          <w:szCs w:val="28"/>
        </w:rPr>
        <w:t xml:space="preserve">later determined that the </w:t>
      </w:r>
      <w:r w:rsidR="00852A3E">
        <w:rPr>
          <w:rFonts w:eastAsiaTheme="minorHAnsi"/>
          <w:sz w:val="28"/>
          <w:szCs w:val="28"/>
        </w:rPr>
        <w:t>S</w:t>
      </w:r>
      <w:r w:rsidR="00852A3E" w:rsidRPr="00DD24FC">
        <w:rPr>
          <w:rFonts w:eastAsiaTheme="minorHAnsi"/>
          <w:sz w:val="28"/>
          <w:szCs w:val="28"/>
        </w:rPr>
        <w:t xml:space="preserve">tate </w:t>
      </w:r>
      <w:r w:rsidR="00852A3E">
        <w:rPr>
          <w:rFonts w:eastAsiaTheme="minorHAnsi"/>
          <w:sz w:val="28"/>
          <w:szCs w:val="28"/>
        </w:rPr>
        <w:t>B</w:t>
      </w:r>
      <w:r w:rsidR="00852A3E" w:rsidRPr="00DD24FC">
        <w:rPr>
          <w:rFonts w:eastAsiaTheme="minorHAnsi"/>
          <w:sz w:val="28"/>
          <w:szCs w:val="28"/>
        </w:rPr>
        <w:t xml:space="preserve">ar </w:t>
      </w:r>
      <w:r w:rsidR="00DD24FC" w:rsidRPr="00DD24FC">
        <w:rPr>
          <w:rFonts w:eastAsiaTheme="minorHAnsi"/>
          <w:sz w:val="28"/>
          <w:szCs w:val="28"/>
        </w:rPr>
        <w:t>could not pursue charges of misconduct against Nelson as a lawyer because the misconduct was the subject of a judicial discipline proceeding as to which there had been a final determination by the court (the costs judgment).</w:t>
      </w:r>
    </w:p>
    <w:p w:rsidR="00713DA4" w:rsidRPr="00830A61" w:rsidRDefault="00713DA4" w:rsidP="0043305D">
      <w:pPr>
        <w:spacing w:line="480" w:lineRule="auto"/>
        <w:ind w:firstLine="720"/>
        <w:jc w:val="both"/>
        <w:rPr>
          <w:rFonts w:eastAsiaTheme="minorHAnsi"/>
          <w:sz w:val="28"/>
          <w:szCs w:val="28"/>
        </w:rPr>
      </w:pPr>
      <w:r w:rsidRPr="00830A61">
        <w:rPr>
          <w:rFonts w:eastAsiaTheme="minorHAnsi"/>
          <w:sz w:val="28"/>
          <w:szCs w:val="28"/>
        </w:rPr>
        <w:t xml:space="preserve">The </w:t>
      </w:r>
      <w:r w:rsidR="009A2FE7">
        <w:rPr>
          <w:rFonts w:eastAsiaTheme="minorHAnsi"/>
          <w:sz w:val="28"/>
          <w:szCs w:val="28"/>
        </w:rPr>
        <w:t>c</w:t>
      </w:r>
      <w:r w:rsidR="009A2FE7" w:rsidRPr="00830A61">
        <w:rPr>
          <w:rFonts w:eastAsiaTheme="minorHAnsi"/>
          <w:sz w:val="28"/>
          <w:szCs w:val="28"/>
        </w:rPr>
        <w:t xml:space="preserve">ourt </w:t>
      </w:r>
      <w:r w:rsidRPr="00830A61">
        <w:rPr>
          <w:rFonts w:eastAsiaTheme="minorHAnsi"/>
          <w:sz w:val="28"/>
          <w:szCs w:val="28"/>
        </w:rPr>
        <w:t xml:space="preserve">explained the operation of </w:t>
      </w:r>
      <w:r w:rsidR="00830A61">
        <w:rPr>
          <w:rFonts w:eastAsiaTheme="minorHAnsi"/>
          <w:sz w:val="28"/>
          <w:szCs w:val="28"/>
        </w:rPr>
        <w:t xml:space="preserve">current </w:t>
      </w:r>
      <w:r w:rsidRPr="00830A61">
        <w:rPr>
          <w:rFonts w:eastAsiaTheme="minorHAnsi"/>
          <w:sz w:val="28"/>
          <w:szCs w:val="28"/>
        </w:rPr>
        <w:t xml:space="preserve">Rule 46(c) in </w:t>
      </w:r>
      <w:r w:rsidRPr="00830A61">
        <w:rPr>
          <w:rFonts w:eastAsiaTheme="minorHAnsi"/>
          <w:i/>
          <w:sz w:val="28"/>
          <w:szCs w:val="28"/>
        </w:rPr>
        <w:t>In the Matter of Dean</w:t>
      </w:r>
      <w:r w:rsidRPr="00830A61">
        <w:rPr>
          <w:rFonts w:eastAsiaTheme="minorHAnsi"/>
          <w:sz w:val="28"/>
          <w:szCs w:val="28"/>
        </w:rPr>
        <w:t>, 212 Ariz. 221, 129 P.3d 943 (2006), as follows:</w:t>
      </w:r>
    </w:p>
    <w:p w:rsidR="00713DA4" w:rsidRPr="00713DA4" w:rsidRDefault="00713DA4" w:rsidP="00896428">
      <w:pPr>
        <w:widowControl/>
        <w:autoSpaceDE/>
        <w:autoSpaceDN/>
        <w:adjustRightInd/>
        <w:spacing w:after="160"/>
        <w:ind w:left="720" w:right="720" w:firstLine="720"/>
        <w:jc w:val="both"/>
        <w:rPr>
          <w:rFonts w:eastAsiaTheme="minorHAnsi"/>
          <w:sz w:val="28"/>
          <w:szCs w:val="28"/>
        </w:rPr>
      </w:pPr>
      <w:r w:rsidRPr="00713DA4">
        <w:rPr>
          <w:rFonts w:eastAsiaTheme="minorHAnsi"/>
          <w:sz w:val="28"/>
          <w:szCs w:val="28"/>
        </w:rPr>
        <w:t xml:space="preserve">Rule 46(c), however, contains an important caveat. The State Bar has jurisdiction to seek sanctions against a former judge for conduct while on the bench only if “the misconduct was not the subject of a </w:t>
      </w:r>
      <w:r w:rsidRPr="00713DA4">
        <w:rPr>
          <w:rFonts w:eastAsiaTheme="minorHAnsi"/>
          <w:sz w:val="28"/>
          <w:szCs w:val="28"/>
        </w:rPr>
        <w:lastRenderedPageBreak/>
        <w:t>judicial discipline proceeding as to which there has been a final determination by the court.” Ariz. R. Sup. Ct. 46(c).</w:t>
      </w:r>
    </w:p>
    <w:p w:rsidR="006939DF"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Because we had declined sua sponte review of the Commission’s recommendation that Nelson be removed from office, at the time we denied the State Bar’s motion for clarification we assumed that there had not been a “final determination by the court” with respect to Nelson’s judicial discipline proceeding.</w:t>
      </w:r>
      <w:r w:rsidR="006939DF">
        <w:rPr>
          <w:rFonts w:eastAsiaTheme="minorHAnsi"/>
          <w:sz w:val="28"/>
          <w:szCs w:val="28"/>
        </w:rPr>
        <w:t xml:space="preserve"> </w:t>
      </w:r>
      <w:r w:rsidRPr="00713DA4">
        <w:rPr>
          <w:rFonts w:eastAsiaTheme="minorHAnsi"/>
          <w:sz w:val="28"/>
          <w:szCs w:val="28"/>
        </w:rPr>
        <w:t xml:space="preserve">We now realize that we were in error in that assumption. </w:t>
      </w:r>
    </w:p>
    <w:p w:rsidR="00713DA4" w:rsidRPr="00713DA4"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The term “final determination” is explained in Commission on Judicial Conduct Rule 29(h) as follows:</w:t>
      </w:r>
    </w:p>
    <w:p w:rsidR="00713DA4" w:rsidRPr="00713DA4" w:rsidRDefault="00713DA4" w:rsidP="006939DF">
      <w:pPr>
        <w:widowControl/>
        <w:spacing w:after="160"/>
        <w:ind w:left="720" w:right="720" w:firstLine="810"/>
        <w:jc w:val="both"/>
        <w:rPr>
          <w:rFonts w:eastAsiaTheme="minorHAnsi"/>
          <w:sz w:val="28"/>
          <w:szCs w:val="28"/>
        </w:rPr>
      </w:pPr>
      <w:r w:rsidRPr="00713DA4">
        <w:rPr>
          <w:rFonts w:eastAsiaTheme="minorHAnsi"/>
          <w:b/>
          <w:bCs/>
          <w:sz w:val="28"/>
          <w:szCs w:val="28"/>
        </w:rPr>
        <w:t xml:space="preserve">(h) Final determination. </w:t>
      </w:r>
      <w:r w:rsidRPr="00713DA4">
        <w:rPr>
          <w:rFonts w:eastAsiaTheme="minorHAnsi"/>
          <w:sz w:val="28"/>
          <w:szCs w:val="28"/>
        </w:rPr>
        <w:t>The judgment of the supreme court dismissing the case or imposing a sanction shall be regarded as final and shall be effective on the date the judgment or opinion is filed with the clerk of the court.</w:t>
      </w:r>
    </w:p>
    <w:p w:rsidR="00713DA4" w:rsidRPr="00713DA4"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In turn, Commission on Judicial Conduct Rule 18(e) describes “the assessment of . . . costs” after a formal hearing as a formal sanction.</w:t>
      </w:r>
    </w:p>
    <w:p w:rsidR="00713DA4" w:rsidRPr="00713DA4"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 xml:space="preserve">As we have noted above, the Commission sought the assessment of certain costs against Nelson. In our prior opinion, we specifically found certain costs taxable against Nelson. </w:t>
      </w:r>
      <w:r w:rsidRPr="00713DA4">
        <w:rPr>
          <w:rFonts w:eastAsiaTheme="minorHAnsi"/>
          <w:i/>
          <w:iCs/>
          <w:sz w:val="28"/>
          <w:szCs w:val="28"/>
        </w:rPr>
        <w:t>Nelson</w:t>
      </w:r>
      <w:r w:rsidRPr="00713DA4">
        <w:rPr>
          <w:rFonts w:eastAsiaTheme="minorHAnsi"/>
          <w:sz w:val="28"/>
          <w:szCs w:val="28"/>
        </w:rPr>
        <w:t>, 207 Ariz. at 323-25 ¶¶ 21-29, 86 P.3d at 379-81. We then issued an order requiring Nelson to pay a specific sum by a specific date.</w:t>
      </w:r>
    </w:p>
    <w:p w:rsidR="00713DA4" w:rsidRPr="00713DA4"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The Commission on Judicial Conduct’s recommendation in this case (of which we granted sua sponte review) expressly suggested that Nelson be taxed these costs pursuant to Commission Rule 18(e), and both our order granting sua sponte review and our opinion refer expressly to Rule 18(e). It therefore now seems evident that our award of costs constituted an imposition of a sanction pursuant to Rule 18(e). Moreover, although our order that Nelson pay certain costs is not formally denominated as a judgment, it was for all intents and purposes a judgment and was subsequently treated as such by this Court and the Commission.</w:t>
      </w:r>
    </w:p>
    <w:p w:rsidR="00713DA4" w:rsidRPr="00713DA4" w:rsidRDefault="00713DA4" w:rsidP="00896428">
      <w:pPr>
        <w:widowControl/>
        <w:spacing w:after="160"/>
        <w:ind w:left="720" w:right="720" w:firstLine="720"/>
        <w:jc w:val="both"/>
        <w:rPr>
          <w:rFonts w:eastAsiaTheme="minorHAnsi"/>
          <w:sz w:val="28"/>
          <w:szCs w:val="28"/>
        </w:rPr>
      </w:pPr>
      <w:r w:rsidRPr="00713DA4">
        <w:rPr>
          <w:rFonts w:eastAsiaTheme="minorHAnsi"/>
          <w:sz w:val="28"/>
          <w:szCs w:val="28"/>
        </w:rPr>
        <w:t xml:space="preserve">We have therefore reluctantly concluded that the State Bar cannot pursue lawyer discipline against Nelson under Supreme Court Rule 46(c) because, under Commission Rule 29(h), there has been a “final determination” in the judicial discipline </w:t>
      </w:r>
      <w:r w:rsidR="00C40F81">
        <w:rPr>
          <w:rFonts w:eastAsiaTheme="minorHAnsi"/>
          <w:sz w:val="28"/>
          <w:szCs w:val="28"/>
        </w:rPr>
        <w:t xml:space="preserve">[proceeding] </w:t>
      </w:r>
      <w:r w:rsidRPr="00713DA4">
        <w:rPr>
          <w:rFonts w:eastAsiaTheme="minorHAnsi"/>
          <w:sz w:val="28"/>
          <w:szCs w:val="28"/>
        </w:rPr>
        <w:t xml:space="preserve">“imposing a sanction” by virtue of our taxation of costs. Our previous assumption </w:t>
      </w:r>
      <w:r w:rsidRPr="00713DA4">
        <w:rPr>
          <w:rFonts w:eastAsiaTheme="minorHAnsi"/>
          <w:sz w:val="28"/>
          <w:szCs w:val="28"/>
        </w:rPr>
        <w:lastRenderedPageBreak/>
        <w:t>that the State Bar was free to pursue lawyer discipline against Nelson was therefore in error. (</w:t>
      </w:r>
      <w:r w:rsidR="003F46D6" w:rsidRPr="00713DA4">
        <w:rPr>
          <w:rFonts w:eastAsiaTheme="minorHAnsi"/>
          <w:sz w:val="28"/>
          <w:szCs w:val="28"/>
        </w:rPr>
        <w:t>Footnotes</w:t>
      </w:r>
      <w:r w:rsidRPr="00713DA4">
        <w:rPr>
          <w:rFonts w:eastAsiaTheme="minorHAnsi"/>
          <w:sz w:val="28"/>
          <w:szCs w:val="28"/>
        </w:rPr>
        <w:t xml:space="preserve"> omitted)</w:t>
      </w:r>
    </w:p>
    <w:p w:rsidR="00713DA4" w:rsidRDefault="00713DA4" w:rsidP="00E2124E">
      <w:pPr>
        <w:widowControl/>
        <w:spacing w:after="160"/>
        <w:jc w:val="both"/>
        <w:rPr>
          <w:rFonts w:eastAsiaTheme="minorHAnsi"/>
          <w:sz w:val="28"/>
          <w:szCs w:val="28"/>
        </w:rPr>
      </w:pPr>
      <w:r w:rsidRPr="00713DA4">
        <w:rPr>
          <w:rFonts w:eastAsiaTheme="minorHAnsi"/>
          <w:sz w:val="28"/>
          <w:szCs w:val="28"/>
        </w:rPr>
        <w:t>129 P.3d at 946-947.</w:t>
      </w:r>
    </w:p>
    <w:p w:rsidR="00DD24FC" w:rsidRDefault="00DD24FC" w:rsidP="00DD24FC">
      <w:pPr>
        <w:spacing w:line="480" w:lineRule="auto"/>
        <w:ind w:firstLine="720"/>
        <w:jc w:val="both"/>
        <w:rPr>
          <w:rFonts w:eastAsiaTheme="minorHAnsi"/>
          <w:sz w:val="28"/>
          <w:szCs w:val="28"/>
        </w:rPr>
      </w:pPr>
      <w:r w:rsidRPr="00DD24FC">
        <w:rPr>
          <w:rFonts w:eastAsiaTheme="minorHAnsi"/>
          <w:sz w:val="28"/>
          <w:szCs w:val="28"/>
        </w:rPr>
        <w:t xml:space="preserve">The recent case of </w:t>
      </w:r>
      <w:r w:rsidRPr="00DD24FC">
        <w:rPr>
          <w:bCs/>
          <w:i/>
          <w:color w:val="000000"/>
          <w:sz w:val="28"/>
          <w:szCs w:val="28"/>
        </w:rPr>
        <w:t>In the Matter of Abrams</w:t>
      </w:r>
      <w:r w:rsidRPr="00DD24FC">
        <w:rPr>
          <w:bCs/>
          <w:color w:val="000000"/>
          <w:sz w:val="28"/>
          <w:szCs w:val="28"/>
        </w:rPr>
        <w:t xml:space="preserve">, 227 Ariz. 248, 257 P.3d 167 (2011) brought the application of Rule 46(c) again to the fore. In </w:t>
      </w:r>
      <w:r w:rsidRPr="00DD24FC">
        <w:rPr>
          <w:bCs/>
          <w:i/>
          <w:color w:val="000000"/>
          <w:sz w:val="28"/>
          <w:szCs w:val="28"/>
        </w:rPr>
        <w:t>Abrams</w:t>
      </w:r>
      <w:r w:rsidRPr="00DD24FC">
        <w:rPr>
          <w:bCs/>
          <w:color w:val="000000"/>
          <w:sz w:val="28"/>
          <w:szCs w:val="28"/>
        </w:rPr>
        <w:t xml:space="preserve"> the </w:t>
      </w:r>
      <w:r w:rsidR="009A2FE7">
        <w:rPr>
          <w:bCs/>
          <w:color w:val="000000"/>
          <w:sz w:val="28"/>
          <w:szCs w:val="28"/>
        </w:rPr>
        <w:t>c</w:t>
      </w:r>
      <w:r w:rsidR="009A2FE7" w:rsidRPr="00DD24FC">
        <w:rPr>
          <w:bCs/>
          <w:color w:val="000000"/>
          <w:sz w:val="28"/>
          <w:szCs w:val="28"/>
        </w:rPr>
        <w:t xml:space="preserve">ourt </w:t>
      </w:r>
      <w:r w:rsidRPr="00DD24FC">
        <w:rPr>
          <w:bCs/>
          <w:color w:val="000000"/>
          <w:sz w:val="28"/>
          <w:szCs w:val="28"/>
        </w:rPr>
        <w:t xml:space="preserve">allowed the State Bar to make a recommendation pursuant to Rule 46(d) that Abrams be disciplined as a lawyer based on the record in the </w:t>
      </w:r>
      <w:r w:rsidR="00852A3E">
        <w:rPr>
          <w:bCs/>
          <w:color w:val="000000"/>
          <w:sz w:val="28"/>
          <w:szCs w:val="28"/>
        </w:rPr>
        <w:t>C</w:t>
      </w:r>
      <w:r w:rsidR="00852A3E" w:rsidRPr="00DD24FC">
        <w:rPr>
          <w:bCs/>
          <w:color w:val="000000"/>
          <w:sz w:val="28"/>
          <w:szCs w:val="28"/>
        </w:rPr>
        <w:t xml:space="preserve">ommission’s </w:t>
      </w:r>
      <w:r w:rsidRPr="00DD24FC">
        <w:rPr>
          <w:bCs/>
          <w:color w:val="000000"/>
          <w:sz w:val="28"/>
          <w:szCs w:val="28"/>
        </w:rPr>
        <w:t xml:space="preserve">judicial discipline proceeding against him. Id. at ¶ 3, 257 P.3d at 168. The </w:t>
      </w:r>
      <w:r w:rsidR="009A2FE7">
        <w:rPr>
          <w:bCs/>
          <w:color w:val="000000"/>
          <w:sz w:val="28"/>
          <w:szCs w:val="28"/>
        </w:rPr>
        <w:t>c</w:t>
      </w:r>
      <w:r w:rsidR="009A2FE7" w:rsidRPr="00DD24FC">
        <w:rPr>
          <w:bCs/>
          <w:color w:val="000000"/>
          <w:sz w:val="28"/>
          <w:szCs w:val="28"/>
        </w:rPr>
        <w:t xml:space="preserve">ourt </w:t>
      </w:r>
      <w:r w:rsidRPr="00DD24FC">
        <w:rPr>
          <w:bCs/>
          <w:color w:val="000000"/>
          <w:sz w:val="28"/>
          <w:szCs w:val="28"/>
        </w:rPr>
        <w:t xml:space="preserve">imposed a two year suspension of Abrams’ license to practice law based on that record. Unfortunately, the </w:t>
      </w:r>
      <w:r w:rsidR="00852A3E">
        <w:rPr>
          <w:bCs/>
          <w:color w:val="000000"/>
          <w:sz w:val="28"/>
          <w:szCs w:val="28"/>
        </w:rPr>
        <w:t>S</w:t>
      </w:r>
      <w:r w:rsidR="00852A3E" w:rsidRPr="00DD24FC">
        <w:rPr>
          <w:bCs/>
          <w:color w:val="000000"/>
          <w:sz w:val="28"/>
          <w:szCs w:val="28"/>
        </w:rPr>
        <w:t xml:space="preserve">tate </w:t>
      </w:r>
      <w:r w:rsidR="00852A3E">
        <w:rPr>
          <w:bCs/>
          <w:color w:val="000000"/>
          <w:sz w:val="28"/>
          <w:szCs w:val="28"/>
        </w:rPr>
        <w:t>B</w:t>
      </w:r>
      <w:r w:rsidR="00852A3E" w:rsidRPr="00DD24FC">
        <w:rPr>
          <w:bCs/>
          <w:color w:val="000000"/>
          <w:sz w:val="28"/>
          <w:szCs w:val="28"/>
        </w:rPr>
        <w:t xml:space="preserve">ar </w:t>
      </w:r>
      <w:r w:rsidRPr="00DD24FC">
        <w:rPr>
          <w:bCs/>
          <w:color w:val="000000"/>
          <w:sz w:val="28"/>
          <w:szCs w:val="28"/>
        </w:rPr>
        <w:t xml:space="preserve">did not have the opportunity to investigate </w:t>
      </w:r>
      <w:r w:rsidR="001F1128">
        <w:rPr>
          <w:bCs/>
          <w:color w:val="000000"/>
          <w:sz w:val="28"/>
          <w:szCs w:val="28"/>
        </w:rPr>
        <w:t>Abram’s</w:t>
      </w:r>
      <w:r w:rsidRPr="00DD24FC">
        <w:rPr>
          <w:bCs/>
          <w:color w:val="000000"/>
          <w:sz w:val="28"/>
          <w:szCs w:val="28"/>
        </w:rPr>
        <w:t xml:space="preserve"> conduct on its own and additional lawyer discipline charges </w:t>
      </w:r>
      <w:r>
        <w:rPr>
          <w:bCs/>
          <w:color w:val="000000"/>
          <w:sz w:val="28"/>
          <w:szCs w:val="28"/>
        </w:rPr>
        <w:t>might well have</w:t>
      </w:r>
      <w:r w:rsidRPr="00DD24FC">
        <w:rPr>
          <w:bCs/>
          <w:color w:val="000000"/>
          <w:sz w:val="28"/>
          <w:szCs w:val="28"/>
        </w:rPr>
        <w:t xml:space="preserve"> been brought against Abrams had the State Bar been able to do so.</w:t>
      </w:r>
    </w:p>
    <w:p w:rsidR="00830A61" w:rsidRPr="0038135C" w:rsidRDefault="00830A61" w:rsidP="0043305D">
      <w:pPr>
        <w:widowControl/>
        <w:spacing w:after="160" w:line="480" w:lineRule="auto"/>
        <w:jc w:val="both"/>
        <w:rPr>
          <w:rFonts w:eastAsiaTheme="minorHAnsi"/>
          <w:sz w:val="28"/>
          <w:szCs w:val="28"/>
          <w:vertAlign w:val="superscript"/>
        </w:rPr>
      </w:pPr>
      <w:r>
        <w:rPr>
          <w:rFonts w:eastAsiaTheme="minorHAnsi"/>
          <w:sz w:val="28"/>
          <w:szCs w:val="28"/>
        </w:rPr>
        <w:tab/>
        <w:t xml:space="preserve">The proposed changes to Rules 46(c) and (d) clarify that the </w:t>
      </w:r>
      <w:r w:rsidR="00852A3E">
        <w:rPr>
          <w:rFonts w:eastAsiaTheme="minorHAnsi"/>
          <w:sz w:val="28"/>
          <w:szCs w:val="28"/>
        </w:rPr>
        <w:t xml:space="preserve">State Bar </w:t>
      </w:r>
      <w:r>
        <w:rPr>
          <w:rFonts w:eastAsiaTheme="minorHAnsi"/>
          <w:sz w:val="28"/>
          <w:szCs w:val="28"/>
        </w:rPr>
        <w:t xml:space="preserve">and the </w:t>
      </w:r>
      <w:r w:rsidR="00852A3E">
        <w:rPr>
          <w:rFonts w:eastAsiaTheme="minorHAnsi"/>
          <w:sz w:val="28"/>
          <w:szCs w:val="28"/>
        </w:rPr>
        <w:t xml:space="preserve">Commission </w:t>
      </w:r>
      <w:r>
        <w:rPr>
          <w:rFonts w:eastAsiaTheme="minorHAnsi"/>
          <w:sz w:val="28"/>
          <w:szCs w:val="28"/>
        </w:rPr>
        <w:t xml:space="preserve">have concurrent jurisdiction over the conduct of a judge for alleged misconduct as a lawyer before becoming a judge (the </w:t>
      </w:r>
      <w:r w:rsidR="00852A3E">
        <w:rPr>
          <w:rFonts w:eastAsiaTheme="minorHAnsi"/>
          <w:sz w:val="28"/>
          <w:szCs w:val="28"/>
        </w:rPr>
        <w:t xml:space="preserve">State Bar </w:t>
      </w:r>
      <w:r w:rsidR="00BD10EE">
        <w:rPr>
          <w:rFonts w:eastAsiaTheme="minorHAnsi"/>
          <w:sz w:val="28"/>
          <w:szCs w:val="28"/>
        </w:rPr>
        <w:t>has</w:t>
      </w:r>
      <w:r>
        <w:rPr>
          <w:rFonts w:eastAsiaTheme="minorHAnsi"/>
          <w:sz w:val="28"/>
          <w:szCs w:val="28"/>
        </w:rPr>
        <w:t xml:space="preserve"> jurisdiction to consider alleged violations of the rules of professional conduct and other applicable rules concerning lawyers and the </w:t>
      </w:r>
      <w:r w:rsidR="00852A3E">
        <w:rPr>
          <w:rFonts w:eastAsiaTheme="minorHAnsi"/>
          <w:sz w:val="28"/>
          <w:szCs w:val="28"/>
        </w:rPr>
        <w:t xml:space="preserve">Commission </w:t>
      </w:r>
      <w:r w:rsidR="00BD10EE">
        <w:rPr>
          <w:rFonts w:eastAsiaTheme="minorHAnsi"/>
          <w:sz w:val="28"/>
          <w:szCs w:val="28"/>
        </w:rPr>
        <w:t>has jurisdiction to consider alleged violations of the Code of Judicial Conduct and other applicable rules concerning judges).</w:t>
      </w:r>
      <w:r w:rsidR="002E5402">
        <w:rPr>
          <w:rFonts w:eastAsiaTheme="minorHAnsi"/>
          <w:sz w:val="28"/>
          <w:szCs w:val="28"/>
        </w:rPr>
        <w:t xml:space="preserve"> For example, the </w:t>
      </w:r>
      <w:r w:rsidR="00852A3E">
        <w:rPr>
          <w:rFonts w:eastAsiaTheme="minorHAnsi"/>
          <w:sz w:val="28"/>
          <w:szCs w:val="28"/>
        </w:rPr>
        <w:t xml:space="preserve">State Bar </w:t>
      </w:r>
      <w:r w:rsidR="002E5402">
        <w:rPr>
          <w:rFonts w:eastAsiaTheme="minorHAnsi"/>
          <w:sz w:val="28"/>
          <w:szCs w:val="28"/>
        </w:rPr>
        <w:t xml:space="preserve">could pursue lawyer disciplinary charges against a sitting judge for misconduct as a lawyer that did not surface until after the lawyer became a judge. And the </w:t>
      </w:r>
      <w:r w:rsidR="00852A3E">
        <w:rPr>
          <w:rFonts w:eastAsiaTheme="minorHAnsi"/>
          <w:sz w:val="28"/>
          <w:szCs w:val="28"/>
        </w:rPr>
        <w:t xml:space="preserve">Commission </w:t>
      </w:r>
      <w:r w:rsidR="002E5402">
        <w:rPr>
          <w:rFonts w:eastAsiaTheme="minorHAnsi"/>
          <w:sz w:val="28"/>
          <w:szCs w:val="28"/>
        </w:rPr>
        <w:t xml:space="preserve">could pursue judicial discipline charges </w:t>
      </w:r>
      <w:r w:rsidR="002E5402">
        <w:rPr>
          <w:rFonts w:eastAsiaTheme="minorHAnsi"/>
          <w:sz w:val="28"/>
          <w:szCs w:val="28"/>
        </w:rPr>
        <w:lastRenderedPageBreak/>
        <w:t>against a sitting judge for misconduct as a lawyer that implicate</w:t>
      </w:r>
      <w:r w:rsidR="00C40F81">
        <w:rPr>
          <w:rFonts w:eastAsiaTheme="minorHAnsi"/>
          <w:sz w:val="28"/>
          <w:szCs w:val="28"/>
        </w:rPr>
        <w:t>s</w:t>
      </w:r>
      <w:r w:rsidR="002E5402">
        <w:rPr>
          <w:rFonts w:eastAsiaTheme="minorHAnsi"/>
          <w:sz w:val="28"/>
          <w:szCs w:val="28"/>
        </w:rPr>
        <w:t xml:space="preserve"> the judge’s fitness to serve as a judge that did not surface until after the lawyer became a judge.</w:t>
      </w:r>
      <w:r w:rsidR="0038135C" w:rsidRPr="0038135C">
        <w:rPr>
          <w:rStyle w:val="FootnoteReference"/>
          <w:rFonts w:eastAsiaTheme="minorHAnsi"/>
          <w:sz w:val="28"/>
          <w:szCs w:val="28"/>
          <w:vertAlign w:val="superscript"/>
        </w:rPr>
        <w:footnoteReference w:id="1"/>
      </w:r>
    </w:p>
    <w:p w:rsidR="00713DA4" w:rsidRPr="002F2277" w:rsidRDefault="00BD10EE" w:rsidP="00AC6A09">
      <w:pPr>
        <w:widowControl/>
        <w:spacing w:line="480" w:lineRule="auto"/>
        <w:jc w:val="both"/>
        <w:rPr>
          <w:sz w:val="28"/>
          <w:szCs w:val="28"/>
        </w:rPr>
      </w:pPr>
      <w:r>
        <w:rPr>
          <w:rFonts w:eastAsiaTheme="minorHAnsi"/>
          <w:sz w:val="28"/>
          <w:szCs w:val="28"/>
        </w:rPr>
        <w:tab/>
        <w:t xml:space="preserve">The proposed changes also clarify that </w:t>
      </w:r>
      <w:r w:rsidR="00BB46D3">
        <w:rPr>
          <w:rFonts w:eastAsiaTheme="minorHAnsi"/>
          <w:sz w:val="28"/>
          <w:szCs w:val="28"/>
        </w:rPr>
        <w:t xml:space="preserve">when a judge resumes the status of lawyer, </w:t>
      </w:r>
      <w:r>
        <w:rPr>
          <w:rFonts w:eastAsiaTheme="minorHAnsi"/>
          <w:sz w:val="28"/>
          <w:szCs w:val="28"/>
        </w:rPr>
        <w:t xml:space="preserve">the </w:t>
      </w:r>
      <w:r w:rsidR="00852A3E">
        <w:rPr>
          <w:rFonts w:eastAsiaTheme="minorHAnsi"/>
          <w:sz w:val="28"/>
          <w:szCs w:val="28"/>
        </w:rPr>
        <w:t xml:space="preserve">State Bar </w:t>
      </w:r>
      <w:r w:rsidR="00BB46D3">
        <w:rPr>
          <w:rFonts w:eastAsiaTheme="minorHAnsi"/>
          <w:sz w:val="28"/>
          <w:szCs w:val="28"/>
        </w:rPr>
        <w:t>has the ability to seek lawyer discipline for misconduct that occurred while a</w:t>
      </w:r>
      <w:r w:rsidR="00F16C36">
        <w:rPr>
          <w:rFonts w:eastAsiaTheme="minorHAnsi"/>
          <w:sz w:val="28"/>
          <w:szCs w:val="28"/>
        </w:rPr>
        <w:t>cting as</w:t>
      </w:r>
      <w:r w:rsidR="00BB46D3">
        <w:rPr>
          <w:rFonts w:eastAsiaTheme="minorHAnsi"/>
          <w:sz w:val="28"/>
          <w:szCs w:val="28"/>
        </w:rPr>
        <w:t xml:space="preserve"> judge that could serve as grounds for lawyer discipline irrespective of whether that misconduct was the subject of a judicial discipline proceeding where there was a final determination.  It also clarifies that</w:t>
      </w:r>
      <w:r>
        <w:rPr>
          <w:rFonts w:eastAsiaTheme="minorHAnsi"/>
          <w:sz w:val="28"/>
          <w:szCs w:val="28"/>
        </w:rPr>
        <w:t xml:space="preserve"> upon notice from the </w:t>
      </w:r>
      <w:r w:rsidR="00852A3E">
        <w:rPr>
          <w:rFonts w:eastAsiaTheme="minorHAnsi"/>
          <w:sz w:val="28"/>
          <w:szCs w:val="28"/>
        </w:rPr>
        <w:t xml:space="preserve">Commission </w:t>
      </w:r>
      <w:r>
        <w:rPr>
          <w:rFonts w:eastAsiaTheme="minorHAnsi"/>
          <w:sz w:val="28"/>
          <w:szCs w:val="28"/>
        </w:rPr>
        <w:t xml:space="preserve">that a judge has resigned, retired or been removed as a result of a judicial discipline proceeding, </w:t>
      </w:r>
      <w:r w:rsidR="00554BF3">
        <w:rPr>
          <w:rFonts w:eastAsiaTheme="minorHAnsi"/>
          <w:sz w:val="28"/>
          <w:szCs w:val="28"/>
        </w:rPr>
        <w:t xml:space="preserve">the </w:t>
      </w:r>
      <w:r w:rsidR="00852A3E">
        <w:rPr>
          <w:rFonts w:eastAsiaTheme="minorHAnsi"/>
          <w:sz w:val="28"/>
          <w:szCs w:val="28"/>
        </w:rPr>
        <w:t>S</w:t>
      </w:r>
      <w:r w:rsidR="00554BF3">
        <w:rPr>
          <w:rFonts w:eastAsiaTheme="minorHAnsi"/>
          <w:sz w:val="28"/>
          <w:szCs w:val="28"/>
        </w:rPr>
        <w:t xml:space="preserve">tate </w:t>
      </w:r>
      <w:r w:rsidR="00852A3E">
        <w:rPr>
          <w:rFonts w:eastAsiaTheme="minorHAnsi"/>
          <w:sz w:val="28"/>
          <w:szCs w:val="28"/>
        </w:rPr>
        <w:t>B</w:t>
      </w:r>
      <w:r w:rsidR="00554BF3">
        <w:rPr>
          <w:rFonts w:eastAsiaTheme="minorHAnsi"/>
          <w:sz w:val="28"/>
          <w:szCs w:val="28"/>
        </w:rPr>
        <w:t xml:space="preserve">ar </w:t>
      </w:r>
      <w:r w:rsidR="00B61F99">
        <w:rPr>
          <w:rFonts w:eastAsiaTheme="minorHAnsi"/>
          <w:sz w:val="28"/>
          <w:szCs w:val="28"/>
        </w:rPr>
        <w:t>can</w:t>
      </w:r>
      <w:r>
        <w:rPr>
          <w:rFonts w:eastAsiaTheme="minorHAnsi"/>
          <w:sz w:val="28"/>
          <w:szCs w:val="28"/>
        </w:rPr>
        <w:t xml:space="preserve"> either recommend lawyer discipline to the </w:t>
      </w:r>
      <w:r w:rsidR="00554BF3">
        <w:rPr>
          <w:rFonts w:eastAsiaTheme="minorHAnsi"/>
          <w:sz w:val="28"/>
          <w:szCs w:val="28"/>
        </w:rPr>
        <w:t xml:space="preserve">court </w:t>
      </w:r>
      <w:r>
        <w:rPr>
          <w:rFonts w:eastAsiaTheme="minorHAnsi"/>
          <w:sz w:val="28"/>
          <w:szCs w:val="28"/>
        </w:rPr>
        <w:t xml:space="preserve">based on the record in that judicial discipline proceeding or, in the alternative, notify the </w:t>
      </w:r>
      <w:r w:rsidR="00554BF3">
        <w:rPr>
          <w:rFonts w:eastAsiaTheme="minorHAnsi"/>
          <w:sz w:val="28"/>
          <w:szCs w:val="28"/>
        </w:rPr>
        <w:t xml:space="preserve">court </w:t>
      </w:r>
      <w:r>
        <w:rPr>
          <w:rFonts w:eastAsiaTheme="minorHAnsi"/>
          <w:sz w:val="28"/>
          <w:szCs w:val="28"/>
        </w:rPr>
        <w:t xml:space="preserve">that it </w:t>
      </w:r>
      <w:r w:rsidR="00554BF3">
        <w:rPr>
          <w:rFonts w:eastAsiaTheme="minorHAnsi"/>
          <w:sz w:val="28"/>
          <w:szCs w:val="28"/>
        </w:rPr>
        <w:t xml:space="preserve">intends </w:t>
      </w:r>
      <w:r>
        <w:rPr>
          <w:rFonts w:eastAsiaTheme="minorHAnsi"/>
          <w:sz w:val="28"/>
          <w:szCs w:val="28"/>
        </w:rPr>
        <w:t>to proceed to review the matter under Rule 55, Rules of the Arizona Supreme Court (Initiation of proceedings; investigation)</w:t>
      </w:r>
      <w:r w:rsidR="00A51367">
        <w:rPr>
          <w:rFonts w:eastAsiaTheme="minorHAnsi"/>
          <w:sz w:val="28"/>
          <w:szCs w:val="28"/>
        </w:rPr>
        <w:t xml:space="preserve">. In the latter instance, the </w:t>
      </w:r>
      <w:r w:rsidR="00852A3E">
        <w:rPr>
          <w:rFonts w:eastAsiaTheme="minorHAnsi"/>
          <w:sz w:val="28"/>
          <w:szCs w:val="28"/>
        </w:rPr>
        <w:t xml:space="preserve">State Bar </w:t>
      </w:r>
      <w:r w:rsidR="00554BF3">
        <w:rPr>
          <w:rFonts w:eastAsiaTheme="minorHAnsi"/>
          <w:sz w:val="28"/>
          <w:szCs w:val="28"/>
        </w:rPr>
        <w:t xml:space="preserve">will </w:t>
      </w:r>
      <w:r w:rsidR="00AC0454">
        <w:rPr>
          <w:rFonts w:eastAsiaTheme="minorHAnsi"/>
          <w:sz w:val="28"/>
          <w:szCs w:val="28"/>
        </w:rPr>
        <w:t xml:space="preserve">be able to investigate and act on the matter in the same manner as any other investigation of a lawyer’s conduct. It </w:t>
      </w:r>
      <w:r w:rsidR="00554BF3">
        <w:rPr>
          <w:rFonts w:eastAsiaTheme="minorHAnsi"/>
          <w:sz w:val="28"/>
          <w:szCs w:val="28"/>
        </w:rPr>
        <w:t xml:space="preserve">will </w:t>
      </w:r>
      <w:r w:rsidR="00AC0454">
        <w:rPr>
          <w:rFonts w:eastAsiaTheme="minorHAnsi"/>
          <w:sz w:val="28"/>
          <w:szCs w:val="28"/>
        </w:rPr>
        <w:t xml:space="preserve">no longer be </w:t>
      </w:r>
      <w:r w:rsidR="00B06220">
        <w:rPr>
          <w:rFonts w:eastAsiaTheme="minorHAnsi"/>
          <w:sz w:val="28"/>
          <w:szCs w:val="28"/>
        </w:rPr>
        <w:t xml:space="preserve">constrained </w:t>
      </w:r>
      <w:r w:rsidR="00AC0454">
        <w:rPr>
          <w:rFonts w:eastAsiaTheme="minorHAnsi"/>
          <w:sz w:val="28"/>
          <w:szCs w:val="28"/>
        </w:rPr>
        <w:t>by the restriction in current Rule 46(</w:t>
      </w:r>
      <w:r w:rsidR="00B06220">
        <w:rPr>
          <w:rFonts w:eastAsiaTheme="minorHAnsi"/>
          <w:sz w:val="28"/>
          <w:szCs w:val="28"/>
        </w:rPr>
        <w:t>d</w:t>
      </w:r>
      <w:r w:rsidR="00AC0454">
        <w:rPr>
          <w:rFonts w:eastAsiaTheme="minorHAnsi"/>
          <w:sz w:val="28"/>
          <w:szCs w:val="28"/>
        </w:rPr>
        <w:t xml:space="preserve">) that </w:t>
      </w:r>
      <w:r w:rsidR="00B06220">
        <w:rPr>
          <w:rFonts w:eastAsiaTheme="minorHAnsi"/>
          <w:sz w:val="28"/>
          <w:szCs w:val="28"/>
        </w:rPr>
        <w:t xml:space="preserve">only allows for an opportunity to submit to the court a recommendation on lawyer discipline based on the record in the judicial </w:t>
      </w:r>
      <w:r w:rsidR="00554BF3">
        <w:rPr>
          <w:rFonts w:eastAsiaTheme="minorHAnsi"/>
          <w:sz w:val="28"/>
          <w:szCs w:val="28"/>
        </w:rPr>
        <w:t xml:space="preserve">discipline </w:t>
      </w:r>
      <w:r w:rsidR="00B06220">
        <w:rPr>
          <w:rFonts w:eastAsiaTheme="minorHAnsi"/>
          <w:sz w:val="28"/>
          <w:szCs w:val="28"/>
        </w:rPr>
        <w:t>proceeding.</w:t>
      </w:r>
    </w:p>
    <w:p w:rsidR="009C44A6" w:rsidRDefault="002F41E8" w:rsidP="0043305D">
      <w:pPr>
        <w:pStyle w:val="ListParagraph"/>
        <w:numPr>
          <w:ilvl w:val="0"/>
          <w:numId w:val="1"/>
        </w:numPr>
        <w:spacing w:line="480" w:lineRule="auto"/>
        <w:ind w:left="720"/>
        <w:jc w:val="both"/>
        <w:rPr>
          <w:rFonts w:ascii="Times New Roman" w:hAnsi="Times New Roman"/>
          <w:b/>
          <w:sz w:val="28"/>
          <w:szCs w:val="28"/>
        </w:rPr>
      </w:pPr>
      <w:r w:rsidRPr="00E9248E">
        <w:rPr>
          <w:rFonts w:ascii="Times New Roman" w:hAnsi="Times New Roman"/>
          <w:b/>
          <w:sz w:val="28"/>
          <w:szCs w:val="28"/>
        </w:rPr>
        <w:lastRenderedPageBreak/>
        <w:t>Contents of the Proposed Rule Amendment</w:t>
      </w:r>
    </w:p>
    <w:p w:rsidR="009C44A6" w:rsidRDefault="002F41E8" w:rsidP="0043305D">
      <w:pPr>
        <w:ind w:left="720" w:right="720"/>
        <w:jc w:val="both"/>
        <w:rPr>
          <w:b/>
          <w:bCs/>
          <w:color w:val="000000"/>
          <w:sz w:val="28"/>
          <w:szCs w:val="28"/>
        </w:rPr>
      </w:pPr>
      <w:r w:rsidRPr="00A22F0B">
        <w:rPr>
          <w:b/>
          <w:sz w:val="28"/>
          <w:szCs w:val="28"/>
        </w:rPr>
        <w:t xml:space="preserve"> </w:t>
      </w:r>
      <w:r w:rsidR="009C44A6" w:rsidRPr="00A22F0B">
        <w:rPr>
          <w:b/>
          <w:bCs/>
          <w:color w:val="000000"/>
          <w:sz w:val="28"/>
          <w:szCs w:val="28"/>
        </w:rPr>
        <w:t>Rule 46. Jurisdiction in Discipline and Disability matters; Definitions</w:t>
      </w:r>
    </w:p>
    <w:p w:rsidR="00B61F99" w:rsidRPr="00A22F0B" w:rsidRDefault="00B61F99" w:rsidP="0043305D">
      <w:pPr>
        <w:ind w:left="720" w:right="720"/>
        <w:jc w:val="both"/>
        <w:rPr>
          <w:b/>
          <w:bCs/>
          <w:color w:val="000000"/>
          <w:sz w:val="28"/>
          <w:szCs w:val="28"/>
        </w:rPr>
      </w:pPr>
    </w:p>
    <w:p w:rsidR="009C44A6" w:rsidRPr="009C44A6" w:rsidRDefault="009C44A6" w:rsidP="00B40811">
      <w:pPr>
        <w:widowControl/>
        <w:autoSpaceDE/>
        <w:autoSpaceDN/>
        <w:adjustRightInd/>
        <w:spacing w:after="160" w:line="259" w:lineRule="auto"/>
        <w:ind w:left="720" w:right="720"/>
        <w:jc w:val="center"/>
        <w:rPr>
          <w:color w:val="000000"/>
          <w:sz w:val="28"/>
          <w:szCs w:val="28"/>
        </w:rPr>
      </w:pPr>
      <w:r w:rsidRPr="009C44A6">
        <w:rPr>
          <w:color w:val="000000"/>
          <w:sz w:val="28"/>
          <w:szCs w:val="28"/>
        </w:rPr>
        <w:t>* * *</w:t>
      </w:r>
    </w:p>
    <w:p w:rsidR="009C44A6" w:rsidRPr="00A22F0B" w:rsidRDefault="009C44A6" w:rsidP="0043305D">
      <w:pPr>
        <w:widowControl/>
        <w:autoSpaceDE/>
        <w:autoSpaceDN/>
        <w:adjustRightInd/>
        <w:spacing w:after="160" w:line="259" w:lineRule="auto"/>
        <w:ind w:left="720" w:right="720"/>
        <w:jc w:val="both"/>
        <w:rPr>
          <w:strike/>
          <w:color w:val="000000"/>
          <w:sz w:val="28"/>
          <w:szCs w:val="28"/>
        </w:rPr>
      </w:pPr>
      <w:bookmarkStart w:id="0" w:name="SP;8b3b0000958a4"/>
      <w:bookmarkStart w:id="1" w:name="IN;2"/>
      <w:bookmarkStart w:id="2" w:name="IN;1"/>
      <w:bookmarkStart w:id="3" w:name="SP;4b24000003ba5"/>
      <w:bookmarkStart w:id="4" w:name="IN;4"/>
      <w:bookmarkEnd w:id="0"/>
      <w:bookmarkEnd w:id="1"/>
      <w:bookmarkEnd w:id="2"/>
      <w:bookmarkEnd w:id="3"/>
      <w:bookmarkEnd w:id="4"/>
      <w:r w:rsidRPr="009C44A6">
        <w:rPr>
          <w:b/>
          <w:bCs/>
          <w:strike/>
          <w:color w:val="000000"/>
          <w:sz w:val="28"/>
          <w:szCs w:val="28"/>
        </w:rPr>
        <w:t>(c) Former Judges.</w:t>
      </w:r>
      <w:r w:rsidRPr="009C44A6">
        <w:rPr>
          <w:strike/>
          <w:color w:val="000000"/>
          <w:sz w:val="28"/>
          <w:szCs w:val="28"/>
        </w:rPr>
        <w:t xml:space="preserve"> A former judge who has resumed the status of a lawyer is subject to the jurisdiction of the state bar and the court not only for that person's conduct as a lawyer, but also for misconduct that occurred while serving as a judge that would have been grounds for lawyer discipline, provided that the misconduct was not the subject of a judicial discipline proceeding as to which there has been a final determination by the court.</w:t>
      </w:r>
    </w:p>
    <w:p w:rsidR="00642199" w:rsidRDefault="009C44A6" w:rsidP="00642199">
      <w:pPr>
        <w:widowControl/>
        <w:autoSpaceDE/>
        <w:autoSpaceDN/>
        <w:adjustRightInd/>
        <w:spacing w:line="259" w:lineRule="auto"/>
        <w:ind w:left="720" w:right="720"/>
        <w:jc w:val="both"/>
        <w:rPr>
          <w:b/>
          <w:color w:val="000000"/>
          <w:sz w:val="28"/>
          <w:szCs w:val="28"/>
          <w:u w:val="single"/>
        </w:rPr>
      </w:pPr>
      <w:r w:rsidRPr="00353DFA">
        <w:rPr>
          <w:b/>
          <w:color w:val="000000"/>
          <w:sz w:val="28"/>
          <w:szCs w:val="28"/>
          <w:u w:val="single"/>
        </w:rPr>
        <w:t>(c) Conduct Prior to Assumption of Judicial Office.</w:t>
      </w:r>
    </w:p>
    <w:p w:rsidR="009C44A6" w:rsidRPr="009C44A6" w:rsidRDefault="009C44A6" w:rsidP="0043305D">
      <w:pPr>
        <w:widowControl/>
        <w:autoSpaceDE/>
        <w:autoSpaceDN/>
        <w:adjustRightInd/>
        <w:spacing w:after="160" w:line="259" w:lineRule="auto"/>
        <w:ind w:left="720" w:right="720"/>
        <w:jc w:val="both"/>
        <w:rPr>
          <w:color w:val="000000"/>
          <w:sz w:val="28"/>
          <w:szCs w:val="28"/>
          <w:u w:val="single"/>
        </w:rPr>
      </w:pPr>
      <w:r w:rsidRPr="00353DFA">
        <w:rPr>
          <w:color w:val="000000"/>
          <w:sz w:val="28"/>
          <w:szCs w:val="28"/>
          <w:u w:val="single"/>
        </w:rPr>
        <w:t>The state bar</w:t>
      </w:r>
      <w:r w:rsidRPr="009C44A6">
        <w:rPr>
          <w:color w:val="000000"/>
          <w:sz w:val="28"/>
          <w:szCs w:val="28"/>
          <w:u w:val="single"/>
        </w:rPr>
        <w:t xml:space="preserve"> and commission on judicial conduct have concurrent jurisdiction over judges for misconduct as lawyers before becoming judicial officers.</w:t>
      </w:r>
    </w:p>
    <w:p w:rsidR="009C44A6" w:rsidRPr="00A22F0B" w:rsidRDefault="009C44A6" w:rsidP="0043305D">
      <w:pPr>
        <w:widowControl/>
        <w:autoSpaceDE/>
        <w:autoSpaceDN/>
        <w:adjustRightInd/>
        <w:spacing w:after="160" w:line="259" w:lineRule="auto"/>
        <w:ind w:left="720" w:right="720"/>
        <w:jc w:val="both"/>
        <w:rPr>
          <w:strike/>
          <w:color w:val="000000"/>
          <w:sz w:val="28"/>
          <w:szCs w:val="28"/>
        </w:rPr>
      </w:pPr>
      <w:bookmarkStart w:id="5" w:name="SP;5ba1000067d06"/>
      <w:bookmarkStart w:id="6" w:name="IN;5"/>
      <w:bookmarkEnd w:id="5"/>
      <w:bookmarkEnd w:id="6"/>
      <w:r w:rsidRPr="009C44A6">
        <w:rPr>
          <w:b/>
          <w:bCs/>
          <w:strike/>
          <w:color w:val="000000"/>
          <w:sz w:val="28"/>
          <w:szCs w:val="28"/>
        </w:rPr>
        <w:t>(d) Incumbent Judges.</w:t>
      </w:r>
      <w:r w:rsidRPr="009C44A6">
        <w:rPr>
          <w:strike/>
          <w:color w:val="000000"/>
          <w:sz w:val="28"/>
          <w:szCs w:val="28"/>
        </w:rPr>
        <w:t xml:space="preserve"> Upon removal or resignation from office of an incumbent judge as the result of a judicial discipline or disability proceeding, the court shall afford the state bar and the judge an opportunity to submit to the </w:t>
      </w:r>
      <w:bookmarkStart w:id="7" w:name="SDU_3"/>
      <w:bookmarkEnd w:id="7"/>
      <w:r w:rsidRPr="009C44A6">
        <w:rPr>
          <w:strike/>
          <w:color w:val="000000"/>
          <w:sz w:val="28"/>
          <w:szCs w:val="28"/>
        </w:rPr>
        <w:t>court a recommendation whether lawyer discipline or disability status should be imposed based on the record in the judicial proceeding, and if so, the extent thereof.</w:t>
      </w:r>
    </w:p>
    <w:p w:rsidR="00642199" w:rsidRDefault="009C44A6" w:rsidP="00642199">
      <w:pPr>
        <w:widowControl/>
        <w:autoSpaceDE/>
        <w:autoSpaceDN/>
        <w:adjustRightInd/>
        <w:spacing w:line="259" w:lineRule="auto"/>
        <w:ind w:left="720" w:right="720"/>
        <w:jc w:val="both"/>
        <w:rPr>
          <w:rFonts w:eastAsiaTheme="minorHAnsi"/>
          <w:b/>
          <w:bCs/>
          <w:color w:val="000000"/>
          <w:sz w:val="28"/>
          <w:szCs w:val="28"/>
          <w:u w:val="single"/>
        </w:rPr>
      </w:pPr>
      <w:r w:rsidRPr="009C44A6">
        <w:rPr>
          <w:rFonts w:eastAsiaTheme="minorHAnsi"/>
          <w:b/>
          <w:bCs/>
          <w:color w:val="000000"/>
          <w:sz w:val="28"/>
          <w:szCs w:val="28"/>
          <w:u w:val="single"/>
        </w:rPr>
        <w:t>(d) Former Judges.</w:t>
      </w:r>
    </w:p>
    <w:p w:rsidR="00A22F0B" w:rsidRDefault="009C44A6" w:rsidP="0043305D">
      <w:pPr>
        <w:widowControl/>
        <w:autoSpaceDE/>
        <w:autoSpaceDN/>
        <w:adjustRightInd/>
        <w:spacing w:after="160" w:line="259" w:lineRule="auto"/>
        <w:ind w:left="720" w:right="720"/>
        <w:jc w:val="both"/>
        <w:rPr>
          <w:rFonts w:eastAsiaTheme="minorHAnsi"/>
          <w:color w:val="000000"/>
          <w:sz w:val="28"/>
          <w:szCs w:val="28"/>
          <w:u w:val="single"/>
        </w:rPr>
      </w:pPr>
      <w:r w:rsidRPr="009C44A6">
        <w:rPr>
          <w:rFonts w:eastAsiaTheme="minorHAnsi"/>
          <w:color w:val="000000"/>
          <w:sz w:val="28"/>
          <w:szCs w:val="28"/>
          <w:u w:val="single"/>
        </w:rPr>
        <w:t xml:space="preserve">A former judge is subject to the jurisdiction of the state bar and the court not only for that person’s conduct as a lawyer, but also for conduct while serving as a judge that may constitute grounds for lawyer discipline. If a judge is removed, retires or resigns from office as a result of a judicial discipline or disability proceeding, the state bar shall have the discretion to recommend to the court whether lawyer discipline or disability status should be imposed based on the record of the judicial discipline or disability proceeding, or, in the alternative, proceed under Rule 55, Ariz. R. Sup. Ct.  The commission on judicial conduct shall provide written notice to the state bar within ten business days of the effective date of such a removal, retirement or resignation and the state </w:t>
      </w:r>
      <w:r w:rsidRPr="009C44A6">
        <w:rPr>
          <w:rFonts w:eastAsiaTheme="minorHAnsi"/>
          <w:color w:val="000000"/>
          <w:sz w:val="28"/>
          <w:szCs w:val="28"/>
          <w:u w:val="single"/>
        </w:rPr>
        <w:lastRenderedPageBreak/>
        <w:t>bar shall have thirty days from the date of that notice to inform the court in writing of its intent. Should the state bar notify the court of its intent to recommend lawyer discipline or disability status based on the record of the judicial discipline or disability proceeding, the court shall by order set the due date for the state bar’s recommendation.</w:t>
      </w:r>
    </w:p>
    <w:p w:rsidR="009C44A6" w:rsidRPr="009C44A6" w:rsidRDefault="009C44A6" w:rsidP="00B40811">
      <w:pPr>
        <w:widowControl/>
        <w:autoSpaceDE/>
        <w:autoSpaceDN/>
        <w:adjustRightInd/>
        <w:spacing w:after="160" w:line="259" w:lineRule="auto"/>
        <w:ind w:left="720" w:right="720"/>
        <w:jc w:val="center"/>
        <w:rPr>
          <w:color w:val="000000"/>
          <w:sz w:val="28"/>
          <w:szCs w:val="28"/>
        </w:rPr>
      </w:pPr>
      <w:r w:rsidRPr="009C44A6">
        <w:rPr>
          <w:color w:val="000000"/>
          <w:sz w:val="28"/>
          <w:szCs w:val="28"/>
        </w:rPr>
        <w:t>* * *</w:t>
      </w:r>
    </w:p>
    <w:p w:rsidR="002F41E8" w:rsidRPr="00A86A58" w:rsidRDefault="009C44A6" w:rsidP="0043305D">
      <w:pPr>
        <w:widowControl/>
        <w:autoSpaceDE/>
        <w:autoSpaceDN/>
        <w:adjustRightInd/>
        <w:spacing w:after="160" w:line="259" w:lineRule="auto"/>
        <w:jc w:val="both"/>
        <w:rPr>
          <w:sz w:val="28"/>
          <w:szCs w:val="28"/>
        </w:rPr>
      </w:pPr>
      <w:r w:rsidRPr="009C44A6">
        <w:rPr>
          <w:rFonts w:ascii="Century Schoolbook" w:eastAsiaTheme="minorHAnsi" w:hAnsi="Century Schoolbook" w:cstheme="minorBidi"/>
          <w:sz w:val="22"/>
          <w:szCs w:val="22"/>
        </w:rPr>
        <w:tab/>
      </w:r>
      <w:r w:rsidR="007A0629">
        <w:rPr>
          <w:sz w:val="28"/>
          <w:szCs w:val="28"/>
        </w:rPr>
        <w:t xml:space="preserve"> </w:t>
      </w:r>
      <w:r w:rsidR="002F41E8" w:rsidRPr="00A86A58">
        <w:rPr>
          <w:sz w:val="28"/>
          <w:szCs w:val="28"/>
        </w:rPr>
        <w:t>RESPEC</w:t>
      </w:r>
      <w:r w:rsidR="004C0376" w:rsidRPr="00A86A58">
        <w:rPr>
          <w:sz w:val="28"/>
          <w:szCs w:val="28"/>
        </w:rPr>
        <w:t>T</w:t>
      </w:r>
      <w:r w:rsidR="002F41E8" w:rsidRPr="00A86A58">
        <w:rPr>
          <w:sz w:val="28"/>
          <w:szCs w:val="28"/>
        </w:rPr>
        <w:t>FULLY SUBMITTED this</w:t>
      </w:r>
      <w:r w:rsidR="004C0376" w:rsidRPr="00A86A58">
        <w:rPr>
          <w:sz w:val="28"/>
          <w:szCs w:val="28"/>
        </w:rPr>
        <w:t xml:space="preserve"> </w:t>
      </w:r>
      <w:r w:rsidR="00642199">
        <w:rPr>
          <w:sz w:val="28"/>
          <w:szCs w:val="28"/>
        </w:rPr>
        <w:t>3rd</w:t>
      </w:r>
      <w:r w:rsidR="004C0376" w:rsidRPr="00A86A58">
        <w:rPr>
          <w:sz w:val="28"/>
          <w:szCs w:val="28"/>
        </w:rPr>
        <w:t xml:space="preserve"> day</w:t>
      </w:r>
      <w:r w:rsidR="002F41E8" w:rsidRPr="00A86A58">
        <w:rPr>
          <w:sz w:val="28"/>
          <w:szCs w:val="28"/>
        </w:rPr>
        <w:t xml:space="preserve"> of </w:t>
      </w:r>
      <w:r w:rsidR="0043305D">
        <w:rPr>
          <w:sz w:val="28"/>
          <w:szCs w:val="28"/>
        </w:rPr>
        <w:t>December</w:t>
      </w:r>
      <w:r w:rsidR="002F41E8" w:rsidRPr="00A86A58">
        <w:rPr>
          <w:sz w:val="28"/>
          <w:szCs w:val="28"/>
        </w:rPr>
        <w:t>, 20</w:t>
      </w:r>
      <w:r w:rsidR="0043305D">
        <w:rPr>
          <w:sz w:val="28"/>
          <w:szCs w:val="28"/>
        </w:rPr>
        <w:t>15</w:t>
      </w:r>
      <w:r w:rsidR="003C22D5">
        <w:rPr>
          <w:sz w:val="28"/>
          <w:szCs w:val="28"/>
        </w:rPr>
        <w:t>.</w:t>
      </w:r>
    </w:p>
    <w:p w:rsidR="002F41E8" w:rsidRDefault="002F41E8" w:rsidP="0043305D">
      <w:pPr>
        <w:ind w:left="1080"/>
        <w:jc w:val="both"/>
      </w:pPr>
    </w:p>
    <w:p w:rsidR="002F41E8" w:rsidRPr="001E144F" w:rsidRDefault="00E36A12" w:rsidP="0043305D">
      <w:pPr>
        <w:ind w:firstLine="4320"/>
        <w:jc w:val="both"/>
        <w:rPr>
          <w:sz w:val="28"/>
          <w:szCs w:val="28"/>
        </w:rPr>
      </w:pPr>
      <w:r w:rsidRPr="001E144F">
        <w:rPr>
          <w:sz w:val="28"/>
          <w:szCs w:val="28"/>
        </w:rPr>
        <w:t xml:space="preserve">By </w:t>
      </w:r>
      <w:r w:rsidRPr="001E144F">
        <w:rPr>
          <w:i/>
          <w:sz w:val="28"/>
          <w:szCs w:val="28"/>
          <w:u w:val="single"/>
        </w:rPr>
        <w:t>/s/ Lawrence F. Winthrop</w:t>
      </w:r>
    </w:p>
    <w:p w:rsidR="00E9248E" w:rsidRDefault="0043305D" w:rsidP="001E144F">
      <w:pPr>
        <w:tabs>
          <w:tab w:val="center" w:pos="4680"/>
        </w:tabs>
        <w:ind w:left="4680"/>
        <w:rPr>
          <w:sz w:val="28"/>
          <w:szCs w:val="28"/>
        </w:rPr>
      </w:pPr>
      <w:r>
        <w:rPr>
          <w:sz w:val="28"/>
          <w:szCs w:val="28"/>
        </w:rPr>
        <w:t>Hon. Lawrence F. Winthrop</w:t>
      </w:r>
    </w:p>
    <w:p w:rsidR="0043305D" w:rsidRDefault="0043305D" w:rsidP="001E144F">
      <w:pPr>
        <w:tabs>
          <w:tab w:val="center" w:pos="4680"/>
        </w:tabs>
        <w:ind w:left="4680"/>
      </w:pPr>
      <w:r>
        <w:rPr>
          <w:sz w:val="28"/>
          <w:szCs w:val="28"/>
        </w:rPr>
        <w:t>Chair,</w:t>
      </w:r>
      <w:bookmarkStart w:id="8" w:name="_GoBack"/>
      <w:bookmarkEnd w:id="8"/>
      <w:r>
        <w:rPr>
          <w:sz w:val="28"/>
          <w:szCs w:val="28"/>
        </w:rPr>
        <w:t xml:space="preserve"> Attorney Regulation Advisory Committee</w:t>
      </w:r>
    </w:p>
    <w:sectPr w:rsidR="0043305D"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C39" w:rsidRDefault="00824C39" w:rsidP="007B1902">
      <w:r>
        <w:separator/>
      </w:r>
    </w:p>
  </w:endnote>
  <w:endnote w:type="continuationSeparator" w:id="0">
    <w:p w:rsidR="00824C39" w:rsidRDefault="00824C39"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49806"/>
      <w:docPartObj>
        <w:docPartGallery w:val="Page Numbers (Bottom of Page)"/>
        <w:docPartUnique/>
      </w:docPartObj>
    </w:sdtPr>
    <w:sdtEndPr>
      <w:rPr>
        <w:noProof/>
        <w:sz w:val="28"/>
        <w:szCs w:val="28"/>
      </w:rPr>
    </w:sdtEndPr>
    <w:sdtContent>
      <w:p w:rsidR="00353DFA" w:rsidRPr="00353DFA" w:rsidRDefault="00353DFA">
        <w:pPr>
          <w:pStyle w:val="Footer"/>
          <w:jc w:val="center"/>
          <w:rPr>
            <w:sz w:val="28"/>
            <w:szCs w:val="28"/>
          </w:rPr>
        </w:pPr>
        <w:r w:rsidRPr="00353DFA">
          <w:rPr>
            <w:sz w:val="28"/>
            <w:szCs w:val="28"/>
          </w:rPr>
          <w:fldChar w:fldCharType="begin"/>
        </w:r>
        <w:r w:rsidRPr="00353DFA">
          <w:rPr>
            <w:sz w:val="28"/>
            <w:szCs w:val="28"/>
          </w:rPr>
          <w:instrText xml:space="preserve"> PAGE   \* MERGEFORMAT </w:instrText>
        </w:r>
        <w:r w:rsidRPr="00353DFA">
          <w:rPr>
            <w:sz w:val="28"/>
            <w:szCs w:val="28"/>
          </w:rPr>
          <w:fldChar w:fldCharType="separate"/>
        </w:r>
        <w:r w:rsidR="001E144F">
          <w:rPr>
            <w:noProof/>
            <w:sz w:val="28"/>
            <w:szCs w:val="28"/>
          </w:rPr>
          <w:t>1</w:t>
        </w:r>
        <w:r w:rsidRPr="00353DFA">
          <w:rPr>
            <w:noProof/>
            <w:sz w:val="28"/>
            <w:szCs w:val="28"/>
          </w:rPr>
          <w:fldChar w:fldCharType="end"/>
        </w:r>
      </w:p>
    </w:sdtContent>
  </w:sdt>
  <w:p w:rsidR="00353DFA" w:rsidRDefault="00353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C39" w:rsidRDefault="00824C39" w:rsidP="007B1902">
      <w:r>
        <w:separator/>
      </w:r>
    </w:p>
  </w:footnote>
  <w:footnote w:type="continuationSeparator" w:id="0">
    <w:p w:rsidR="00824C39" w:rsidRDefault="00824C39" w:rsidP="007B1902">
      <w:r>
        <w:continuationSeparator/>
      </w:r>
    </w:p>
  </w:footnote>
  <w:footnote w:id="1">
    <w:p w:rsidR="0038135C" w:rsidRPr="0038135C" w:rsidRDefault="0038135C" w:rsidP="0038135C">
      <w:pPr>
        <w:pStyle w:val="FootnoteText"/>
        <w:jc w:val="both"/>
        <w:rPr>
          <w:sz w:val="28"/>
          <w:szCs w:val="28"/>
        </w:rPr>
      </w:pPr>
      <w:r w:rsidRPr="0038135C">
        <w:rPr>
          <w:rStyle w:val="FootnoteReference"/>
          <w:sz w:val="28"/>
          <w:szCs w:val="28"/>
        </w:rPr>
        <w:footnoteRef/>
      </w:r>
      <w:r w:rsidRPr="0038135C">
        <w:rPr>
          <w:sz w:val="28"/>
          <w:szCs w:val="28"/>
        </w:rPr>
        <w:t xml:space="preserve"> </w:t>
      </w:r>
      <w:r w:rsidRPr="00B40811">
        <w:rPr>
          <w:i/>
          <w:sz w:val="28"/>
          <w:szCs w:val="28"/>
        </w:rPr>
        <w:t>See also</w:t>
      </w:r>
      <w:r>
        <w:rPr>
          <w:sz w:val="28"/>
          <w:szCs w:val="28"/>
        </w:rPr>
        <w:t xml:space="preserve"> </w:t>
      </w:r>
      <w:r w:rsidRPr="0038135C">
        <w:rPr>
          <w:sz w:val="28"/>
          <w:szCs w:val="28"/>
        </w:rPr>
        <w:t xml:space="preserve">Rule 2 of the Rules of the Commission on Judicial Conduct </w:t>
      </w:r>
      <w:r>
        <w:rPr>
          <w:sz w:val="28"/>
          <w:szCs w:val="28"/>
        </w:rPr>
        <w:t xml:space="preserve">which </w:t>
      </w:r>
      <w:r w:rsidRPr="0038135C">
        <w:rPr>
          <w:sz w:val="28"/>
          <w:szCs w:val="28"/>
        </w:rPr>
        <w:t xml:space="preserve">provides, in part, as follows: </w:t>
      </w:r>
      <w:r w:rsidR="00B40811">
        <w:rPr>
          <w:sz w:val="28"/>
          <w:szCs w:val="28"/>
        </w:rPr>
        <w:t>“</w:t>
      </w:r>
      <w:r w:rsidRPr="0038135C">
        <w:rPr>
          <w:sz w:val="28"/>
          <w:szCs w:val="28"/>
        </w:rPr>
        <w:t>The commission has jurisdiction over judges and former judges concerning allegations of misconduct occurring prior to or during service as a judge and allegations of incapacity during service as a judge.”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7A"/>
    <w:rsid w:val="0000412D"/>
    <w:rsid w:val="000129DE"/>
    <w:rsid w:val="00013480"/>
    <w:rsid w:val="00015EF8"/>
    <w:rsid w:val="000165CE"/>
    <w:rsid w:val="0002191D"/>
    <w:rsid w:val="00025175"/>
    <w:rsid w:val="0002675D"/>
    <w:rsid w:val="0003216B"/>
    <w:rsid w:val="000434D0"/>
    <w:rsid w:val="00062D8B"/>
    <w:rsid w:val="00064B3B"/>
    <w:rsid w:val="0007020D"/>
    <w:rsid w:val="00083D7A"/>
    <w:rsid w:val="0008675F"/>
    <w:rsid w:val="00086A2C"/>
    <w:rsid w:val="00092683"/>
    <w:rsid w:val="000C7860"/>
    <w:rsid w:val="000D1B07"/>
    <w:rsid w:val="000D405F"/>
    <w:rsid w:val="000D6713"/>
    <w:rsid w:val="000D78AB"/>
    <w:rsid w:val="000F2721"/>
    <w:rsid w:val="000F6188"/>
    <w:rsid w:val="000F723D"/>
    <w:rsid w:val="00102ADC"/>
    <w:rsid w:val="00116074"/>
    <w:rsid w:val="00116676"/>
    <w:rsid w:val="00136D96"/>
    <w:rsid w:val="00156155"/>
    <w:rsid w:val="00162A9E"/>
    <w:rsid w:val="00162ACF"/>
    <w:rsid w:val="00162BC2"/>
    <w:rsid w:val="00162DA6"/>
    <w:rsid w:val="001709B9"/>
    <w:rsid w:val="00170C01"/>
    <w:rsid w:val="00174886"/>
    <w:rsid w:val="00176991"/>
    <w:rsid w:val="00182572"/>
    <w:rsid w:val="00191BFD"/>
    <w:rsid w:val="001B509F"/>
    <w:rsid w:val="001B7D2B"/>
    <w:rsid w:val="001C31D0"/>
    <w:rsid w:val="001C45C2"/>
    <w:rsid w:val="001C6E50"/>
    <w:rsid w:val="001D2E70"/>
    <w:rsid w:val="001D41C2"/>
    <w:rsid w:val="001E12C9"/>
    <w:rsid w:val="001E144F"/>
    <w:rsid w:val="001E1475"/>
    <w:rsid w:val="001E37B7"/>
    <w:rsid w:val="001E3BCF"/>
    <w:rsid w:val="001F1128"/>
    <w:rsid w:val="001F40ED"/>
    <w:rsid w:val="00202DB0"/>
    <w:rsid w:val="00210BDE"/>
    <w:rsid w:val="002110DD"/>
    <w:rsid w:val="002170D3"/>
    <w:rsid w:val="00225A67"/>
    <w:rsid w:val="00230115"/>
    <w:rsid w:val="00240548"/>
    <w:rsid w:val="00240A5E"/>
    <w:rsid w:val="0026391D"/>
    <w:rsid w:val="002665A7"/>
    <w:rsid w:val="002750DF"/>
    <w:rsid w:val="00277FEA"/>
    <w:rsid w:val="00284FBD"/>
    <w:rsid w:val="00287BC0"/>
    <w:rsid w:val="00291C6C"/>
    <w:rsid w:val="002941F1"/>
    <w:rsid w:val="00294AD7"/>
    <w:rsid w:val="00294D35"/>
    <w:rsid w:val="00297270"/>
    <w:rsid w:val="00297E31"/>
    <w:rsid w:val="002A7CE6"/>
    <w:rsid w:val="002B1B1F"/>
    <w:rsid w:val="002B7C7E"/>
    <w:rsid w:val="002C5711"/>
    <w:rsid w:val="002C7394"/>
    <w:rsid w:val="002C7824"/>
    <w:rsid w:val="002D6DCB"/>
    <w:rsid w:val="002E08D2"/>
    <w:rsid w:val="002E0A67"/>
    <w:rsid w:val="002E5402"/>
    <w:rsid w:val="002F2277"/>
    <w:rsid w:val="002F41E8"/>
    <w:rsid w:val="002F4B26"/>
    <w:rsid w:val="002F5D60"/>
    <w:rsid w:val="002F6B54"/>
    <w:rsid w:val="003235E1"/>
    <w:rsid w:val="003267A3"/>
    <w:rsid w:val="00336232"/>
    <w:rsid w:val="0034408B"/>
    <w:rsid w:val="00344655"/>
    <w:rsid w:val="00353DFA"/>
    <w:rsid w:val="003640FD"/>
    <w:rsid w:val="003672AB"/>
    <w:rsid w:val="00372CAE"/>
    <w:rsid w:val="00375B35"/>
    <w:rsid w:val="00376CDD"/>
    <w:rsid w:val="0038135C"/>
    <w:rsid w:val="003816DE"/>
    <w:rsid w:val="00383F5C"/>
    <w:rsid w:val="00386B61"/>
    <w:rsid w:val="00393BA1"/>
    <w:rsid w:val="003A06CC"/>
    <w:rsid w:val="003A098E"/>
    <w:rsid w:val="003C0C10"/>
    <w:rsid w:val="003C22D5"/>
    <w:rsid w:val="003D4469"/>
    <w:rsid w:val="003D4BF2"/>
    <w:rsid w:val="003E093F"/>
    <w:rsid w:val="003E1715"/>
    <w:rsid w:val="003E45D1"/>
    <w:rsid w:val="003F46D6"/>
    <w:rsid w:val="003F63EE"/>
    <w:rsid w:val="00401DCA"/>
    <w:rsid w:val="00402DEF"/>
    <w:rsid w:val="0040695C"/>
    <w:rsid w:val="00410B01"/>
    <w:rsid w:val="00421B56"/>
    <w:rsid w:val="0042356C"/>
    <w:rsid w:val="00426F92"/>
    <w:rsid w:val="00430DF4"/>
    <w:rsid w:val="0043305D"/>
    <w:rsid w:val="00436459"/>
    <w:rsid w:val="00443BB2"/>
    <w:rsid w:val="00451CC7"/>
    <w:rsid w:val="00461060"/>
    <w:rsid w:val="0046218B"/>
    <w:rsid w:val="00465102"/>
    <w:rsid w:val="00466918"/>
    <w:rsid w:val="00466ECC"/>
    <w:rsid w:val="004673EC"/>
    <w:rsid w:val="00473A50"/>
    <w:rsid w:val="004805F2"/>
    <w:rsid w:val="00493DA5"/>
    <w:rsid w:val="00494378"/>
    <w:rsid w:val="004A1116"/>
    <w:rsid w:val="004A1DA1"/>
    <w:rsid w:val="004B27F7"/>
    <w:rsid w:val="004C0376"/>
    <w:rsid w:val="004D5309"/>
    <w:rsid w:val="004E4130"/>
    <w:rsid w:val="004E68C8"/>
    <w:rsid w:val="004F084A"/>
    <w:rsid w:val="005007D4"/>
    <w:rsid w:val="00503987"/>
    <w:rsid w:val="0050664A"/>
    <w:rsid w:val="00514A65"/>
    <w:rsid w:val="00526CA6"/>
    <w:rsid w:val="0052767A"/>
    <w:rsid w:val="00541978"/>
    <w:rsid w:val="005448E7"/>
    <w:rsid w:val="005504F6"/>
    <w:rsid w:val="00553568"/>
    <w:rsid w:val="00554BF3"/>
    <w:rsid w:val="00560228"/>
    <w:rsid w:val="00560513"/>
    <w:rsid w:val="00561949"/>
    <w:rsid w:val="00562A43"/>
    <w:rsid w:val="00565EF5"/>
    <w:rsid w:val="00567E2B"/>
    <w:rsid w:val="00576CAF"/>
    <w:rsid w:val="00577254"/>
    <w:rsid w:val="005822C8"/>
    <w:rsid w:val="005827C9"/>
    <w:rsid w:val="00585AF9"/>
    <w:rsid w:val="005876B8"/>
    <w:rsid w:val="0059191C"/>
    <w:rsid w:val="00596A0D"/>
    <w:rsid w:val="005A27B7"/>
    <w:rsid w:val="005A4C3D"/>
    <w:rsid w:val="005A5E42"/>
    <w:rsid w:val="005A7296"/>
    <w:rsid w:val="005B1229"/>
    <w:rsid w:val="005B3E39"/>
    <w:rsid w:val="005B5AB0"/>
    <w:rsid w:val="005C3BB7"/>
    <w:rsid w:val="005C79FC"/>
    <w:rsid w:val="005D47A0"/>
    <w:rsid w:val="005F1408"/>
    <w:rsid w:val="00600400"/>
    <w:rsid w:val="00606348"/>
    <w:rsid w:val="00613C70"/>
    <w:rsid w:val="00624B14"/>
    <w:rsid w:val="00625535"/>
    <w:rsid w:val="00627CC3"/>
    <w:rsid w:val="00636AE7"/>
    <w:rsid w:val="00637A48"/>
    <w:rsid w:val="00642199"/>
    <w:rsid w:val="00644D09"/>
    <w:rsid w:val="00645C22"/>
    <w:rsid w:val="0065723A"/>
    <w:rsid w:val="0066148B"/>
    <w:rsid w:val="006641CF"/>
    <w:rsid w:val="00675A7F"/>
    <w:rsid w:val="00680C65"/>
    <w:rsid w:val="006826A5"/>
    <w:rsid w:val="00685757"/>
    <w:rsid w:val="006939DF"/>
    <w:rsid w:val="006B6CE9"/>
    <w:rsid w:val="006C0082"/>
    <w:rsid w:val="006D3DB7"/>
    <w:rsid w:val="006D55AC"/>
    <w:rsid w:val="006D5736"/>
    <w:rsid w:val="006D6DCA"/>
    <w:rsid w:val="006F27C6"/>
    <w:rsid w:val="006F5418"/>
    <w:rsid w:val="00713DA4"/>
    <w:rsid w:val="00717609"/>
    <w:rsid w:val="00722197"/>
    <w:rsid w:val="00724929"/>
    <w:rsid w:val="00733D11"/>
    <w:rsid w:val="007455C3"/>
    <w:rsid w:val="007547BE"/>
    <w:rsid w:val="0075733D"/>
    <w:rsid w:val="00757EB1"/>
    <w:rsid w:val="0076155F"/>
    <w:rsid w:val="007669F2"/>
    <w:rsid w:val="00766F51"/>
    <w:rsid w:val="007673DC"/>
    <w:rsid w:val="007703C2"/>
    <w:rsid w:val="007748C1"/>
    <w:rsid w:val="007A0629"/>
    <w:rsid w:val="007A352A"/>
    <w:rsid w:val="007A6ADA"/>
    <w:rsid w:val="007B0DA8"/>
    <w:rsid w:val="007B1902"/>
    <w:rsid w:val="007B6CBC"/>
    <w:rsid w:val="007C1076"/>
    <w:rsid w:val="007C19AF"/>
    <w:rsid w:val="007C3DE0"/>
    <w:rsid w:val="007D40B5"/>
    <w:rsid w:val="007D4FE9"/>
    <w:rsid w:val="007D5E7F"/>
    <w:rsid w:val="007E4483"/>
    <w:rsid w:val="007E4C2B"/>
    <w:rsid w:val="00805406"/>
    <w:rsid w:val="00812C56"/>
    <w:rsid w:val="008158A0"/>
    <w:rsid w:val="00824C39"/>
    <w:rsid w:val="00830A61"/>
    <w:rsid w:val="0083612D"/>
    <w:rsid w:val="008403F6"/>
    <w:rsid w:val="008425DF"/>
    <w:rsid w:val="008523FC"/>
    <w:rsid w:val="00852A3E"/>
    <w:rsid w:val="0085745A"/>
    <w:rsid w:val="00857FE8"/>
    <w:rsid w:val="0086011A"/>
    <w:rsid w:val="00862988"/>
    <w:rsid w:val="00862F13"/>
    <w:rsid w:val="0086744D"/>
    <w:rsid w:val="00882783"/>
    <w:rsid w:val="00887320"/>
    <w:rsid w:val="00890A6C"/>
    <w:rsid w:val="00893B3D"/>
    <w:rsid w:val="00896428"/>
    <w:rsid w:val="008B14A9"/>
    <w:rsid w:val="008C61E3"/>
    <w:rsid w:val="008C70B4"/>
    <w:rsid w:val="008E14BB"/>
    <w:rsid w:val="008F475F"/>
    <w:rsid w:val="008F6C85"/>
    <w:rsid w:val="0091254C"/>
    <w:rsid w:val="0091506E"/>
    <w:rsid w:val="0091657E"/>
    <w:rsid w:val="00921467"/>
    <w:rsid w:val="0092191B"/>
    <w:rsid w:val="00922309"/>
    <w:rsid w:val="00923807"/>
    <w:rsid w:val="00925489"/>
    <w:rsid w:val="00930BED"/>
    <w:rsid w:val="00932777"/>
    <w:rsid w:val="00955E00"/>
    <w:rsid w:val="00960A85"/>
    <w:rsid w:val="00962CA8"/>
    <w:rsid w:val="00972C2A"/>
    <w:rsid w:val="0097400C"/>
    <w:rsid w:val="00974A6A"/>
    <w:rsid w:val="00977D51"/>
    <w:rsid w:val="0098375C"/>
    <w:rsid w:val="00992719"/>
    <w:rsid w:val="009949B1"/>
    <w:rsid w:val="009A2FE7"/>
    <w:rsid w:val="009B66D0"/>
    <w:rsid w:val="009C0717"/>
    <w:rsid w:val="009C3A5C"/>
    <w:rsid w:val="009C44A6"/>
    <w:rsid w:val="009C6753"/>
    <w:rsid w:val="009D0E12"/>
    <w:rsid w:val="009D2533"/>
    <w:rsid w:val="009D2F9F"/>
    <w:rsid w:val="009D66E4"/>
    <w:rsid w:val="009D6BA9"/>
    <w:rsid w:val="009E0F16"/>
    <w:rsid w:val="009F09C0"/>
    <w:rsid w:val="00A1796D"/>
    <w:rsid w:val="00A17C23"/>
    <w:rsid w:val="00A20CC6"/>
    <w:rsid w:val="00A22F0B"/>
    <w:rsid w:val="00A25E68"/>
    <w:rsid w:val="00A325A3"/>
    <w:rsid w:val="00A51367"/>
    <w:rsid w:val="00A57D87"/>
    <w:rsid w:val="00A60403"/>
    <w:rsid w:val="00A645E3"/>
    <w:rsid w:val="00A65D0D"/>
    <w:rsid w:val="00A70C62"/>
    <w:rsid w:val="00A77882"/>
    <w:rsid w:val="00A81E4D"/>
    <w:rsid w:val="00A86A58"/>
    <w:rsid w:val="00A928E2"/>
    <w:rsid w:val="00A9296D"/>
    <w:rsid w:val="00AA296E"/>
    <w:rsid w:val="00AA2A80"/>
    <w:rsid w:val="00AA32F9"/>
    <w:rsid w:val="00AB565A"/>
    <w:rsid w:val="00AB6BBE"/>
    <w:rsid w:val="00AC0454"/>
    <w:rsid w:val="00AC1F88"/>
    <w:rsid w:val="00AC28A4"/>
    <w:rsid w:val="00AC301D"/>
    <w:rsid w:val="00AC6A09"/>
    <w:rsid w:val="00AD4854"/>
    <w:rsid w:val="00AD4D2B"/>
    <w:rsid w:val="00AE0357"/>
    <w:rsid w:val="00AE1476"/>
    <w:rsid w:val="00AF1656"/>
    <w:rsid w:val="00AF6152"/>
    <w:rsid w:val="00B03E1B"/>
    <w:rsid w:val="00B06220"/>
    <w:rsid w:val="00B07C4C"/>
    <w:rsid w:val="00B10F58"/>
    <w:rsid w:val="00B204AD"/>
    <w:rsid w:val="00B33FBB"/>
    <w:rsid w:val="00B352CC"/>
    <w:rsid w:val="00B371C0"/>
    <w:rsid w:val="00B40811"/>
    <w:rsid w:val="00B422DB"/>
    <w:rsid w:val="00B43CFC"/>
    <w:rsid w:val="00B510B3"/>
    <w:rsid w:val="00B516D7"/>
    <w:rsid w:val="00B53ACF"/>
    <w:rsid w:val="00B61F99"/>
    <w:rsid w:val="00B654E0"/>
    <w:rsid w:val="00B7220C"/>
    <w:rsid w:val="00B73227"/>
    <w:rsid w:val="00B756B6"/>
    <w:rsid w:val="00B86175"/>
    <w:rsid w:val="00B959E9"/>
    <w:rsid w:val="00B95C1A"/>
    <w:rsid w:val="00BB0150"/>
    <w:rsid w:val="00BB46D3"/>
    <w:rsid w:val="00BB6F57"/>
    <w:rsid w:val="00BC1932"/>
    <w:rsid w:val="00BD10EE"/>
    <w:rsid w:val="00BD36CE"/>
    <w:rsid w:val="00BE127E"/>
    <w:rsid w:val="00BE1CEA"/>
    <w:rsid w:val="00BE5938"/>
    <w:rsid w:val="00BF6BD2"/>
    <w:rsid w:val="00C02E1A"/>
    <w:rsid w:val="00C1609D"/>
    <w:rsid w:val="00C223A6"/>
    <w:rsid w:val="00C27E0E"/>
    <w:rsid w:val="00C32090"/>
    <w:rsid w:val="00C34485"/>
    <w:rsid w:val="00C40F81"/>
    <w:rsid w:val="00C426EC"/>
    <w:rsid w:val="00C44805"/>
    <w:rsid w:val="00C568CC"/>
    <w:rsid w:val="00C60832"/>
    <w:rsid w:val="00C657AC"/>
    <w:rsid w:val="00C76CE7"/>
    <w:rsid w:val="00C8079B"/>
    <w:rsid w:val="00C83C5D"/>
    <w:rsid w:val="00C855B8"/>
    <w:rsid w:val="00C86DCA"/>
    <w:rsid w:val="00C9779C"/>
    <w:rsid w:val="00CA6109"/>
    <w:rsid w:val="00CB3035"/>
    <w:rsid w:val="00CB59F5"/>
    <w:rsid w:val="00CB5EE5"/>
    <w:rsid w:val="00CB6FDA"/>
    <w:rsid w:val="00CC4367"/>
    <w:rsid w:val="00CC6986"/>
    <w:rsid w:val="00CE16E0"/>
    <w:rsid w:val="00CE3CFC"/>
    <w:rsid w:val="00CE5F8C"/>
    <w:rsid w:val="00CF0FD2"/>
    <w:rsid w:val="00CF18E0"/>
    <w:rsid w:val="00CF2A97"/>
    <w:rsid w:val="00CF3F51"/>
    <w:rsid w:val="00D01C0A"/>
    <w:rsid w:val="00D10473"/>
    <w:rsid w:val="00D10CF3"/>
    <w:rsid w:val="00D118C8"/>
    <w:rsid w:val="00D13467"/>
    <w:rsid w:val="00D1603B"/>
    <w:rsid w:val="00D168DA"/>
    <w:rsid w:val="00D275E4"/>
    <w:rsid w:val="00D32CE6"/>
    <w:rsid w:val="00D36169"/>
    <w:rsid w:val="00D50316"/>
    <w:rsid w:val="00D52570"/>
    <w:rsid w:val="00D53AF7"/>
    <w:rsid w:val="00D60454"/>
    <w:rsid w:val="00D7508B"/>
    <w:rsid w:val="00D85135"/>
    <w:rsid w:val="00D95C50"/>
    <w:rsid w:val="00D95C5A"/>
    <w:rsid w:val="00DA20EB"/>
    <w:rsid w:val="00DA6E0F"/>
    <w:rsid w:val="00DB063A"/>
    <w:rsid w:val="00DB441D"/>
    <w:rsid w:val="00DB7F9D"/>
    <w:rsid w:val="00DC023C"/>
    <w:rsid w:val="00DC0A98"/>
    <w:rsid w:val="00DC61AD"/>
    <w:rsid w:val="00DD24FC"/>
    <w:rsid w:val="00DF4B7C"/>
    <w:rsid w:val="00E1229F"/>
    <w:rsid w:val="00E1592D"/>
    <w:rsid w:val="00E1756C"/>
    <w:rsid w:val="00E2124E"/>
    <w:rsid w:val="00E32BC5"/>
    <w:rsid w:val="00E33990"/>
    <w:rsid w:val="00E36A12"/>
    <w:rsid w:val="00E44300"/>
    <w:rsid w:val="00E633CE"/>
    <w:rsid w:val="00E67CB9"/>
    <w:rsid w:val="00E80875"/>
    <w:rsid w:val="00E85DDE"/>
    <w:rsid w:val="00E9248E"/>
    <w:rsid w:val="00EA6B09"/>
    <w:rsid w:val="00EB5B91"/>
    <w:rsid w:val="00EC1ED2"/>
    <w:rsid w:val="00EC4032"/>
    <w:rsid w:val="00EC4763"/>
    <w:rsid w:val="00ED178A"/>
    <w:rsid w:val="00EE13EB"/>
    <w:rsid w:val="00EE467B"/>
    <w:rsid w:val="00EE7486"/>
    <w:rsid w:val="00EF36B1"/>
    <w:rsid w:val="00EF3E5E"/>
    <w:rsid w:val="00F0171F"/>
    <w:rsid w:val="00F067EF"/>
    <w:rsid w:val="00F068A8"/>
    <w:rsid w:val="00F07228"/>
    <w:rsid w:val="00F11D1A"/>
    <w:rsid w:val="00F16C36"/>
    <w:rsid w:val="00F31451"/>
    <w:rsid w:val="00F32E10"/>
    <w:rsid w:val="00F43B2D"/>
    <w:rsid w:val="00F56A9B"/>
    <w:rsid w:val="00F66C0C"/>
    <w:rsid w:val="00F70E7B"/>
    <w:rsid w:val="00F7183C"/>
    <w:rsid w:val="00F834EA"/>
    <w:rsid w:val="00F84088"/>
    <w:rsid w:val="00F95015"/>
    <w:rsid w:val="00F97434"/>
    <w:rsid w:val="00F9752D"/>
    <w:rsid w:val="00FA280C"/>
    <w:rsid w:val="00FA3F8B"/>
    <w:rsid w:val="00FA462E"/>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4D6B63D-235A-45D3-AEA0-23D13CD0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semiHidden/>
    <w:unhideWhenUsed/>
    <w:rsid w:val="0038135C"/>
    <w:rPr>
      <w:sz w:val="20"/>
      <w:szCs w:val="20"/>
    </w:rPr>
  </w:style>
  <w:style w:type="character" w:customStyle="1" w:styleId="FootnoteTextChar">
    <w:name w:val="Footnote Text Char"/>
    <w:basedOn w:val="DefaultParagraphFont"/>
    <w:link w:val="FootnoteText"/>
    <w:uiPriority w:val="99"/>
    <w:semiHidden/>
    <w:rsid w:val="0038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92BD-F365-4CB3-B339-E7AC3888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1729</Words>
  <Characters>8784</Characters>
  <Application>Microsoft Office Word</Application>
  <DocSecurity>0</DocSecurity>
  <Lines>175</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Riemer, George</cp:lastModifiedBy>
  <cp:revision>6</cp:revision>
  <cp:lastPrinted>2009-12-01T00:22:00Z</cp:lastPrinted>
  <dcterms:created xsi:type="dcterms:W3CDTF">2015-12-02T16:37:00Z</dcterms:created>
  <dcterms:modified xsi:type="dcterms:W3CDTF">2015-12-02T23:17:00Z</dcterms:modified>
</cp:coreProperties>
</file>