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F9" w:rsidRPr="00B800E7" w:rsidRDefault="00460681">
      <w:pPr>
        <w:rPr>
          <w:b/>
          <w:sz w:val="28"/>
          <w:szCs w:val="28"/>
        </w:rPr>
      </w:pPr>
      <w:r w:rsidRPr="00B800E7">
        <w:rPr>
          <w:b/>
          <w:sz w:val="28"/>
          <w:szCs w:val="28"/>
        </w:rPr>
        <w:t>Office of the Legal Defender</w:t>
      </w:r>
    </w:p>
    <w:p w:rsidR="00460681" w:rsidRPr="00B800E7" w:rsidRDefault="002735D0">
      <w:pPr>
        <w:rPr>
          <w:sz w:val="28"/>
          <w:szCs w:val="28"/>
        </w:rPr>
      </w:pPr>
      <w:r w:rsidRPr="00B800E7">
        <w:rPr>
          <w:sz w:val="28"/>
          <w:szCs w:val="28"/>
        </w:rPr>
        <w:fldChar w:fldCharType="begin"/>
      </w:r>
      <w:r w:rsidRPr="00B800E7">
        <w:rPr>
          <w:sz w:val="28"/>
          <w:szCs w:val="28"/>
        </w:rPr>
        <w:instrText xml:space="preserve"> DOCVARIABLE  Atty  \* MERGEFORMAT </w:instrText>
      </w:r>
      <w:r w:rsidRPr="00B800E7">
        <w:rPr>
          <w:sz w:val="28"/>
          <w:szCs w:val="28"/>
        </w:rPr>
        <w:fldChar w:fldCharType="separate"/>
      </w:r>
      <w:r w:rsidR="004C5DE3" w:rsidRPr="00B800E7">
        <w:rPr>
          <w:sz w:val="28"/>
          <w:szCs w:val="28"/>
        </w:rPr>
        <w:t>Marty Lieberman</w:t>
      </w:r>
      <w:r w:rsidRPr="00B800E7">
        <w:rPr>
          <w:sz w:val="28"/>
          <w:szCs w:val="28"/>
        </w:rPr>
        <w:fldChar w:fldCharType="end"/>
      </w:r>
      <w:r w:rsidR="004C5DE3" w:rsidRPr="00B800E7">
        <w:rPr>
          <w:sz w:val="28"/>
          <w:szCs w:val="28"/>
        </w:rPr>
        <w:t>, Bar No. 007442</w:t>
      </w:r>
    </w:p>
    <w:p w:rsidR="00460681" w:rsidRPr="00B800E7" w:rsidRDefault="00460681">
      <w:pPr>
        <w:rPr>
          <w:sz w:val="28"/>
          <w:szCs w:val="28"/>
        </w:rPr>
      </w:pPr>
      <w:r w:rsidRPr="00B800E7">
        <w:rPr>
          <w:sz w:val="28"/>
          <w:szCs w:val="28"/>
        </w:rPr>
        <w:t>222</w:t>
      </w:r>
      <w:r w:rsidR="00F67046" w:rsidRPr="00B800E7">
        <w:rPr>
          <w:sz w:val="28"/>
          <w:szCs w:val="28"/>
        </w:rPr>
        <w:t xml:space="preserve"> North Central Avenue, Suite 81</w:t>
      </w:r>
      <w:r w:rsidR="002E4D27" w:rsidRPr="00B800E7">
        <w:rPr>
          <w:sz w:val="28"/>
          <w:szCs w:val="28"/>
        </w:rPr>
        <w:t>00</w:t>
      </w:r>
    </w:p>
    <w:p w:rsidR="00460681" w:rsidRPr="00B800E7" w:rsidRDefault="00460681">
      <w:pPr>
        <w:rPr>
          <w:sz w:val="28"/>
          <w:szCs w:val="28"/>
        </w:rPr>
      </w:pPr>
      <w:r w:rsidRPr="00B800E7">
        <w:rPr>
          <w:sz w:val="28"/>
          <w:szCs w:val="28"/>
        </w:rPr>
        <w:t>Phoenix, Arizona 85004</w:t>
      </w:r>
    </w:p>
    <w:p w:rsidR="00460681" w:rsidRPr="00B800E7" w:rsidRDefault="00E9426C">
      <w:pPr>
        <w:rPr>
          <w:sz w:val="28"/>
          <w:szCs w:val="28"/>
        </w:rPr>
      </w:pPr>
      <w:r w:rsidRPr="00B800E7">
        <w:rPr>
          <w:sz w:val="28"/>
          <w:szCs w:val="28"/>
        </w:rPr>
        <w:t>Telephone (602) 506-8</w:t>
      </w:r>
      <w:r w:rsidR="00460681" w:rsidRPr="00B800E7">
        <w:rPr>
          <w:sz w:val="28"/>
          <w:szCs w:val="28"/>
        </w:rPr>
        <w:t>800</w:t>
      </w:r>
    </w:p>
    <w:p w:rsidR="00460681" w:rsidRPr="00B800E7" w:rsidRDefault="00D01F3E">
      <w:pPr>
        <w:rPr>
          <w:sz w:val="28"/>
          <w:szCs w:val="28"/>
        </w:rPr>
      </w:pPr>
      <w:r w:rsidRPr="00B800E7">
        <w:rPr>
          <w:sz w:val="28"/>
          <w:szCs w:val="28"/>
        </w:rPr>
        <w:t xml:space="preserve">Facsimile </w:t>
      </w:r>
      <w:r w:rsidR="00E9426C" w:rsidRPr="00B800E7">
        <w:rPr>
          <w:sz w:val="28"/>
          <w:szCs w:val="28"/>
        </w:rPr>
        <w:t>(602) 506-8862</w:t>
      </w:r>
    </w:p>
    <w:p w:rsidR="005C5D5C" w:rsidRPr="00B800E7" w:rsidRDefault="003C17F8" w:rsidP="005C5D5C">
      <w:pPr>
        <w:rPr>
          <w:sz w:val="28"/>
          <w:szCs w:val="28"/>
        </w:rPr>
      </w:pPr>
      <w:hyperlink r:id="rId9" w:history="1">
        <w:r w:rsidR="00F8051C" w:rsidRPr="002A6C3E">
          <w:rPr>
            <w:rStyle w:val="Hyperlink"/>
            <w:sz w:val="28"/>
            <w:szCs w:val="28"/>
          </w:rPr>
          <w:t>marty.lieberman@old.maricopa.gov</w:t>
        </w:r>
      </w:hyperlink>
    </w:p>
    <w:p w:rsidR="005C5D5C" w:rsidRPr="00B800E7" w:rsidRDefault="005C5D5C">
      <w:pPr>
        <w:rPr>
          <w:sz w:val="28"/>
          <w:szCs w:val="28"/>
        </w:rPr>
      </w:pPr>
    </w:p>
    <w:p w:rsidR="00D97168" w:rsidRPr="00B800E7" w:rsidRDefault="00D97168">
      <w:pPr>
        <w:rPr>
          <w:sz w:val="28"/>
          <w:szCs w:val="28"/>
        </w:rPr>
      </w:pPr>
    </w:p>
    <w:p w:rsidR="00460681" w:rsidRPr="00B800E7" w:rsidRDefault="004C5DE3" w:rsidP="00460681">
      <w:pPr>
        <w:jc w:val="center"/>
        <w:rPr>
          <w:sz w:val="28"/>
          <w:szCs w:val="28"/>
        </w:rPr>
      </w:pPr>
      <w:r w:rsidRPr="00B800E7">
        <w:rPr>
          <w:sz w:val="28"/>
          <w:szCs w:val="28"/>
        </w:rPr>
        <w:t>IN THE SUPREME COURT</w:t>
      </w:r>
      <w:r w:rsidR="00460681" w:rsidRPr="00B800E7">
        <w:rPr>
          <w:sz w:val="28"/>
          <w:szCs w:val="28"/>
        </w:rPr>
        <w:br/>
      </w:r>
    </w:p>
    <w:p w:rsidR="00460681" w:rsidRPr="00B800E7" w:rsidRDefault="004C5DE3" w:rsidP="00460681">
      <w:pPr>
        <w:jc w:val="center"/>
        <w:rPr>
          <w:sz w:val="28"/>
          <w:szCs w:val="28"/>
        </w:rPr>
      </w:pPr>
      <w:r w:rsidRPr="00B800E7">
        <w:rPr>
          <w:sz w:val="28"/>
          <w:szCs w:val="28"/>
        </w:rPr>
        <w:t>STATE OF ARIZONA</w:t>
      </w:r>
    </w:p>
    <w:p w:rsidR="004C5DE3" w:rsidRPr="00B800E7" w:rsidRDefault="004C5DE3" w:rsidP="00460681">
      <w:pPr>
        <w:jc w:val="center"/>
        <w:rPr>
          <w:sz w:val="28"/>
          <w:szCs w:val="28"/>
        </w:rPr>
      </w:pPr>
    </w:p>
    <w:p w:rsidR="00460681" w:rsidRPr="00B800E7" w:rsidRDefault="00460681">
      <w:pPr>
        <w:rPr>
          <w:sz w:val="28"/>
          <w:szCs w:val="28"/>
        </w:rPr>
      </w:pPr>
    </w:p>
    <w:tbl>
      <w:tblPr>
        <w:tblW w:w="0" w:type="auto"/>
        <w:tblLook w:val="01E0" w:firstRow="1" w:lastRow="1" w:firstColumn="1" w:lastColumn="1" w:noHBand="0" w:noVBand="0"/>
      </w:tblPr>
      <w:tblGrid>
        <w:gridCol w:w="4788"/>
        <w:gridCol w:w="4788"/>
      </w:tblGrid>
      <w:tr w:rsidR="00460681" w:rsidRPr="00B800E7" w:rsidTr="00846293">
        <w:tc>
          <w:tcPr>
            <w:tcW w:w="4788" w:type="dxa"/>
            <w:tcBorders>
              <w:right w:val="single" w:sz="4" w:space="0" w:color="auto"/>
            </w:tcBorders>
          </w:tcPr>
          <w:p w:rsidR="00460681" w:rsidRPr="00B800E7" w:rsidRDefault="004C5DE3" w:rsidP="004C5DE3">
            <w:pPr>
              <w:rPr>
                <w:sz w:val="28"/>
                <w:szCs w:val="28"/>
              </w:rPr>
            </w:pPr>
            <w:r w:rsidRPr="00B800E7">
              <w:rPr>
                <w:sz w:val="28"/>
                <w:szCs w:val="28"/>
              </w:rPr>
              <w:t>In the Matter of:</w:t>
            </w:r>
          </w:p>
          <w:p w:rsidR="004C5DE3" w:rsidRPr="00B800E7" w:rsidRDefault="004C5DE3" w:rsidP="004C5DE3">
            <w:pPr>
              <w:rPr>
                <w:sz w:val="28"/>
                <w:szCs w:val="28"/>
              </w:rPr>
            </w:pPr>
          </w:p>
          <w:p w:rsidR="004C5DE3" w:rsidRPr="00B800E7" w:rsidRDefault="004C5DE3" w:rsidP="004C5DE3">
            <w:pPr>
              <w:rPr>
                <w:sz w:val="28"/>
                <w:szCs w:val="28"/>
              </w:rPr>
            </w:pPr>
            <w:r w:rsidRPr="00B800E7">
              <w:rPr>
                <w:sz w:val="28"/>
                <w:szCs w:val="28"/>
              </w:rPr>
              <w:t>Petition to Amend Rule 16.</w:t>
            </w:r>
            <w:r w:rsidR="003A5161">
              <w:rPr>
                <w:sz w:val="28"/>
                <w:szCs w:val="28"/>
              </w:rPr>
              <w:t>4</w:t>
            </w:r>
            <w:r w:rsidRPr="00B800E7">
              <w:rPr>
                <w:sz w:val="28"/>
                <w:szCs w:val="28"/>
              </w:rPr>
              <w:t xml:space="preserve"> of</w:t>
            </w:r>
          </w:p>
          <w:p w:rsidR="004C5DE3" w:rsidRPr="00B800E7" w:rsidRDefault="004C5DE3" w:rsidP="004C5DE3">
            <w:pPr>
              <w:rPr>
                <w:sz w:val="28"/>
                <w:szCs w:val="28"/>
              </w:rPr>
            </w:pPr>
            <w:r w:rsidRPr="00B800E7">
              <w:rPr>
                <w:sz w:val="28"/>
                <w:szCs w:val="28"/>
              </w:rPr>
              <w:t xml:space="preserve">The Arizona Rules of Criminal </w:t>
            </w:r>
          </w:p>
          <w:p w:rsidR="004C5DE3" w:rsidRPr="00B800E7" w:rsidRDefault="004C5DE3" w:rsidP="004C5DE3">
            <w:pPr>
              <w:rPr>
                <w:sz w:val="28"/>
                <w:szCs w:val="28"/>
              </w:rPr>
            </w:pPr>
            <w:r w:rsidRPr="00B800E7">
              <w:rPr>
                <w:sz w:val="28"/>
                <w:szCs w:val="28"/>
              </w:rPr>
              <w:t>Procedure</w:t>
            </w:r>
          </w:p>
        </w:tc>
        <w:tc>
          <w:tcPr>
            <w:tcW w:w="4788" w:type="dxa"/>
            <w:tcBorders>
              <w:left w:val="single" w:sz="4" w:space="0" w:color="auto"/>
            </w:tcBorders>
          </w:tcPr>
          <w:p w:rsidR="004C5DE3" w:rsidRPr="00B800E7" w:rsidRDefault="004C5DE3" w:rsidP="00846293">
            <w:pPr>
              <w:ind w:left="446" w:hanging="446"/>
              <w:rPr>
                <w:sz w:val="28"/>
                <w:szCs w:val="28"/>
              </w:rPr>
            </w:pPr>
          </w:p>
          <w:p w:rsidR="00460681" w:rsidRPr="00B800E7" w:rsidRDefault="004C5DE3" w:rsidP="00846293">
            <w:pPr>
              <w:ind w:left="446" w:hanging="446"/>
              <w:rPr>
                <w:sz w:val="28"/>
                <w:szCs w:val="28"/>
              </w:rPr>
            </w:pPr>
            <w:r w:rsidRPr="00B800E7">
              <w:rPr>
                <w:sz w:val="28"/>
                <w:szCs w:val="28"/>
              </w:rPr>
              <w:t>Supreme Court No. R-16 ____________</w:t>
            </w:r>
            <w:r w:rsidR="00460681" w:rsidRPr="00B800E7">
              <w:rPr>
                <w:sz w:val="28"/>
                <w:szCs w:val="28"/>
              </w:rPr>
              <w:t xml:space="preserve"> </w:t>
            </w:r>
            <w:bookmarkStart w:id="0" w:name="OLE_LINK1"/>
            <w:bookmarkStart w:id="1" w:name="OLE_LINK2"/>
            <w:r w:rsidR="00226B72" w:rsidRPr="00B800E7">
              <w:rPr>
                <w:sz w:val="28"/>
                <w:szCs w:val="28"/>
              </w:rPr>
              <w:fldChar w:fldCharType="begin"/>
            </w:r>
            <w:r w:rsidR="00226B72" w:rsidRPr="00B800E7">
              <w:rPr>
                <w:sz w:val="28"/>
                <w:szCs w:val="28"/>
              </w:rPr>
              <w:instrText xml:space="preserve"> DOCVARIABLE  CaseNo  \* MERGEFORMAT </w:instrText>
            </w:r>
            <w:r w:rsidR="00226B72" w:rsidRPr="00B800E7">
              <w:rPr>
                <w:sz w:val="28"/>
                <w:szCs w:val="28"/>
              </w:rPr>
              <w:fldChar w:fldCharType="separate"/>
            </w:r>
            <w:r w:rsidRPr="00B800E7">
              <w:rPr>
                <w:sz w:val="28"/>
                <w:szCs w:val="28"/>
              </w:rPr>
              <w:t xml:space="preserve"> </w:t>
            </w:r>
            <w:r w:rsidR="00226B72" w:rsidRPr="00B800E7">
              <w:rPr>
                <w:sz w:val="28"/>
                <w:szCs w:val="28"/>
              </w:rPr>
              <w:fldChar w:fldCharType="end"/>
            </w:r>
            <w:bookmarkEnd w:id="0"/>
            <w:bookmarkEnd w:id="1"/>
          </w:p>
          <w:p w:rsidR="002E4D27" w:rsidRPr="00B800E7" w:rsidRDefault="002E4D27" w:rsidP="00846293">
            <w:pPr>
              <w:ind w:left="446" w:hanging="446"/>
              <w:rPr>
                <w:sz w:val="28"/>
                <w:szCs w:val="28"/>
              </w:rPr>
            </w:pPr>
          </w:p>
        </w:tc>
      </w:tr>
      <w:tr w:rsidR="008B2962" w:rsidRPr="00B800E7" w:rsidTr="00846293">
        <w:trPr>
          <w:trHeight w:val="673"/>
        </w:trPr>
        <w:tc>
          <w:tcPr>
            <w:tcW w:w="4788" w:type="dxa"/>
            <w:tcBorders>
              <w:right w:val="single" w:sz="4" w:space="0" w:color="auto"/>
            </w:tcBorders>
            <w:vAlign w:val="center"/>
          </w:tcPr>
          <w:p w:rsidR="008B2962" w:rsidRPr="00B800E7" w:rsidRDefault="008B2962" w:rsidP="00846293">
            <w:pPr>
              <w:jc w:val="center"/>
              <w:rPr>
                <w:sz w:val="28"/>
                <w:szCs w:val="28"/>
              </w:rPr>
            </w:pPr>
          </w:p>
        </w:tc>
        <w:tc>
          <w:tcPr>
            <w:tcW w:w="4788" w:type="dxa"/>
            <w:tcBorders>
              <w:left w:val="single" w:sz="4" w:space="0" w:color="auto"/>
            </w:tcBorders>
            <w:vAlign w:val="center"/>
          </w:tcPr>
          <w:p w:rsidR="00A2674D" w:rsidRPr="00B800E7" w:rsidRDefault="00833210">
            <w:pPr>
              <w:rPr>
                <w:sz w:val="28"/>
                <w:szCs w:val="28"/>
              </w:rPr>
            </w:pPr>
            <w:r w:rsidRPr="00B800E7">
              <w:rPr>
                <w:sz w:val="28"/>
                <w:szCs w:val="28"/>
              </w:rPr>
              <w:fldChar w:fldCharType="begin"/>
            </w:r>
            <w:r w:rsidR="00934E79" w:rsidRPr="00B800E7">
              <w:rPr>
                <w:sz w:val="28"/>
                <w:szCs w:val="28"/>
              </w:rPr>
              <w:instrText xml:space="preserve"> DOCVARIABLE  Title</w:instrText>
            </w:r>
            <w:r w:rsidRPr="00B800E7">
              <w:rPr>
                <w:sz w:val="28"/>
                <w:szCs w:val="28"/>
              </w:rPr>
              <w:instrText xml:space="preserve">Motion  \* MERGEFORMAT </w:instrText>
            </w:r>
            <w:r w:rsidRPr="00B800E7">
              <w:rPr>
                <w:sz w:val="28"/>
                <w:szCs w:val="28"/>
              </w:rPr>
              <w:fldChar w:fldCharType="separate"/>
            </w:r>
            <w:r w:rsidR="004C5DE3" w:rsidRPr="00B800E7">
              <w:rPr>
                <w:sz w:val="28"/>
                <w:szCs w:val="28"/>
              </w:rPr>
              <w:t xml:space="preserve"> </w:t>
            </w:r>
            <w:r w:rsidRPr="00B800E7">
              <w:rPr>
                <w:sz w:val="28"/>
                <w:szCs w:val="28"/>
              </w:rPr>
              <w:fldChar w:fldCharType="end"/>
            </w:r>
          </w:p>
        </w:tc>
      </w:tr>
      <w:tr w:rsidR="008B2962" w:rsidRPr="00B800E7" w:rsidTr="00846293">
        <w:tc>
          <w:tcPr>
            <w:tcW w:w="4788" w:type="dxa"/>
            <w:tcBorders>
              <w:bottom w:val="single" w:sz="4" w:space="0" w:color="auto"/>
              <w:right w:val="single" w:sz="4" w:space="0" w:color="auto"/>
            </w:tcBorders>
          </w:tcPr>
          <w:p w:rsidR="008B2962" w:rsidRPr="00B800E7" w:rsidRDefault="008B2962" w:rsidP="00846293">
            <w:pPr>
              <w:tabs>
                <w:tab w:val="left" w:pos="2144"/>
              </w:tabs>
              <w:rPr>
                <w:sz w:val="28"/>
                <w:szCs w:val="28"/>
              </w:rPr>
            </w:pPr>
          </w:p>
        </w:tc>
        <w:tc>
          <w:tcPr>
            <w:tcW w:w="4788" w:type="dxa"/>
            <w:tcBorders>
              <w:left w:val="single" w:sz="4" w:space="0" w:color="auto"/>
            </w:tcBorders>
          </w:tcPr>
          <w:p w:rsidR="008B2962" w:rsidRPr="00B800E7" w:rsidRDefault="008B2962" w:rsidP="004C5DE3">
            <w:pPr>
              <w:rPr>
                <w:sz w:val="28"/>
                <w:szCs w:val="28"/>
              </w:rPr>
            </w:pPr>
          </w:p>
        </w:tc>
      </w:tr>
    </w:tbl>
    <w:p w:rsidR="00460681" w:rsidRPr="00B800E7" w:rsidRDefault="00460681">
      <w:pPr>
        <w:rPr>
          <w:sz w:val="28"/>
          <w:szCs w:val="28"/>
        </w:rPr>
      </w:pPr>
    </w:p>
    <w:p w:rsidR="00F26509" w:rsidRPr="00B800E7" w:rsidRDefault="00F26509">
      <w:pPr>
        <w:rPr>
          <w:sz w:val="28"/>
          <w:szCs w:val="28"/>
        </w:rPr>
      </w:pPr>
    </w:p>
    <w:p w:rsidR="00F133D1" w:rsidRPr="00B800E7" w:rsidRDefault="004C5DE3" w:rsidP="004C5DE3">
      <w:pPr>
        <w:spacing w:line="480" w:lineRule="auto"/>
        <w:ind w:firstLine="720"/>
        <w:rPr>
          <w:sz w:val="28"/>
          <w:szCs w:val="28"/>
        </w:rPr>
      </w:pPr>
      <w:r w:rsidRPr="00B800E7">
        <w:rPr>
          <w:sz w:val="28"/>
          <w:szCs w:val="28"/>
        </w:rPr>
        <w:t xml:space="preserve">Pursuant to Rule 28 of the Rules of the Arizona Supreme Court, </w:t>
      </w:r>
      <w:r w:rsidRPr="00B800E7">
        <w:rPr>
          <w:sz w:val="28"/>
          <w:szCs w:val="28"/>
          <w:highlight w:val="white"/>
        </w:rPr>
        <w:t>the Maricopa County Office of the Legal Defender</w:t>
      </w:r>
      <w:r w:rsidR="006976B0">
        <w:rPr>
          <w:sz w:val="28"/>
          <w:szCs w:val="28"/>
        </w:rPr>
        <w:t xml:space="preserve"> </w:t>
      </w:r>
      <w:r w:rsidRPr="00B800E7">
        <w:rPr>
          <w:sz w:val="28"/>
          <w:szCs w:val="28"/>
        </w:rPr>
        <w:t>respectfully petitions this Court to adopt the attached proposed amendment to Rule 16.</w:t>
      </w:r>
      <w:r w:rsidR="00BB1B76" w:rsidRPr="00B800E7">
        <w:rPr>
          <w:sz w:val="28"/>
          <w:szCs w:val="28"/>
        </w:rPr>
        <w:t>4</w:t>
      </w:r>
      <w:r w:rsidRPr="00B800E7">
        <w:rPr>
          <w:sz w:val="28"/>
          <w:szCs w:val="28"/>
        </w:rPr>
        <w:t xml:space="preserve"> of the Rules of Criminal Procedure. The text of the proposed amendment is set out in the accompanying Appendix A.</w:t>
      </w:r>
    </w:p>
    <w:p w:rsidR="00F133D1" w:rsidRPr="00B800E7" w:rsidRDefault="00F133D1" w:rsidP="004C5DE3">
      <w:pPr>
        <w:spacing w:line="480" w:lineRule="auto"/>
        <w:ind w:firstLine="720"/>
        <w:rPr>
          <w:b/>
          <w:sz w:val="28"/>
          <w:szCs w:val="28"/>
        </w:rPr>
      </w:pPr>
      <w:r w:rsidRPr="00B800E7">
        <w:rPr>
          <w:sz w:val="28"/>
          <w:szCs w:val="28"/>
        </w:rPr>
        <w:t>I</w:t>
      </w:r>
      <w:r w:rsidR="008D3892" w:rsidRPr="00B800E7">
        <w:rPr>
          <w:sz w:val="28"/>
          <w:szCs w:val="28"/>
        </w:rPr>
        <w:t>f adopted, th</w:t>
      </w:r>
      <w:r w:rsidRPr="00B800E7">
        <w:rPr>
          <w:sz w:val="28"/>
          <w:szCs w:val="28"/>
        </w:rPr>
        <w:t xml:space="preserve">e </w:t>
      </w:r>
      <w:r w:rsidR="008D3892" w:rsidRPr="00B800E7">
        <w:rPr>
          <w:sz w:val="28"/>
          <w:szCs w:val="28"/>
        </w:rPr>
        <w:t xml:space="preserve">Superior </w:t>
      </w:r>
      <w:r w:rsidRPr="00B800E7">
        <w:rPr>
          <w:sz w:val="28"/>
          <w:szCs w:val="28"/>
        </w:rPr>
        <w:t xml:space="preserve">Court, at an early stage in the proceedings, </w:t>
      </w:r>
      <w:r w:rsidR="008D3892" w:rsidRPr="00B800E7">
        <w:rPr>
          <w:sz w:val="28"/>
          <w:szCs w:val="28"/>
        </w:rPr>
        <w:t xml:space="preserve">would </w:t>
      </w:r>
      <w:r w:rsidRPr="00B800E7">
        <w:rPr>
          <w:sz w:val="28"/>
          <w:szCs w:val="28"/>
        </w:rPr>
        <w:t xml:space="preserve">ensure that the prosecution has complied with its </w:t>
      </w:r>
      <w:r w:rsidRPr="00B800E7">
        <w:rPr>
          <w:i/>
          <w:sz w:val="28"/>
          <w:szCs w:val="28"/>
        </w:rPr>
        <w:t>Brady</w:t>
      </w:r>
      <w:r w:rsidRPr="00B800E7">
        <w:rPr>
          <w:sz w:val="28"/>
          <w:szCs w:val="28"/>
        </w:rPr>
        <w:t xml:space="preserve"> and Rule 15.1(b</w:t>
      </w:r>
      <w:proofErr w:type="gramStart"/>
      <w:r w:rsidRPr="00B800E7">
        <w:rPr>
          <w:sz w:val="28"/>
          <w:szCs w:val="28"/>
        </w:rPr>
        <w:t>)(</w:t>
      </w:r>
      <w:proofErr w:type="gramEnd"/>
      <w:r w:rsidRPr="00B800E7">
        <w:rPr>
          <w:sz w:val="28"/>
          <w:szCs w:val="28"/>
        </w:rPr>
        <w:t xml:space="preserve">8) obligations to affirmatively search its files to ensure that all material and </w:t>
      </w:r>
      <w:r w:rsidRPr="00B800E7">
        <w:rPr>
          <w:sz w:val="28"/>
          <w:szCs w:val="28"/>
        </w:rPr>
        <w:lastRenderedPageBreak/>
        <w:t>information tending to mitigate or negate the defendant’s guilt or punishment is disclosed.</w:t>
      </w:r>
    </w:p>
    <w:p w:rsidR="004C5DE3" w:rsidRPr="00B800E7" w:rsidRDefault="004C5DE3" w:rsidP="00D200FC">
      <w:pPr>
        <w:pStyle w:val="BodyText"/>
        <w:numPr>
          <w:ilvl w:val="0"/>
          <w:numId w:val="1"/>
        </w:numPr>
        <w:tabs>
          <w:tab w:val="left" w:pos="720"/>
        </w:tabs>
        <w:spacing w:line="480" w:lineRule="auto"/>
        <w:rPr>
          <w:b/>
          <w:szCs w:val="28"/>
        </w:rPr>
      </w:pPr>
      <w:r w:rsidRPr="00B800E7">
        <w:rPr>
          <w:b/>
          <w:szCs w:val="28"/>
        </w:rPr>
        <w:t xml:space="preserve">Background and Purpose of the Proposed Rule Amendments.  </w:t>
      </w:r>
    </w:p>
    <w:p w:rsidR="0030728E" w:rsidRPr="00B800E7" w:rsidRDefault="00D200FC" w:rsidP="0030728E">
      <w:pPr>
        <w:pStyle w:val="BodyText"/>
        <w:tabs>
          <w:tab w:val="left" w:pos="720"/>
        </w:tabs>
        <w:spacing w:line="480" w:lineRule="auto"/>
        <w:jc w:val="left"/>
        <w:rPr>
          <w:szCs w:val="28"/>
        </w:rPr>
      </w:pPr>
      <w:r w:rsidRPr="00B800E7">
        <w:rPr>
          <w:b/>
          <w:szCs w:val="28"/>
        </w:rPr>
        <w:tab/>
      </w:r>
      <w:r w:rsidRPr="00B800E7">
        <w:rPr>
          <w:szCs w:val="28"/>
        </w:rPr>
        <w:t>The prosecution in a criminal case has a duty to disclose</w:t>
      </w:r>
      <w:r w:rsidR="00756195" w:rsidRPr="00B800E7">
        <w:rPr>
          <w:szCs w:val="28"/>
        </w:rPr>
        <w:t xml:space="preserve"> exculpatory information.  There are two main sources for this duty.  The Fifth and Fourteenth Amendments to the United States Constitution require disclosure of evidence favorable to the accused if material to guilt or punishment</w:t>
      </w:r>
      <w:r w:rsidR="006976B0">
        <w:rPr>
          <w:szCs w:val="28"/>
        </w:rPr>
        <w:t>,</w:t>
      </w:r>
      <w:r w:rsidR="00756195" w:rsidRPr="00B800E7">
        <w:rPr>
          <w:szCs w:val="28"/>
        </w:rPr>
        <w:t xml:space="preserve">  </w:t>
      </w:r>
      <w:r w:rsidR="00756195" w:rsidRPr="00B800E7">
        <w:rPr>
          <w:i/>
          <w:szCs w:val="28"/>
        </w:rPr>
        <w:t>Brady v. Maryland</w:t>
      </w:r>
      <w:r w:rsidR="00756195" w:rsidRPr="00B800E7">
        <w:rPr>
          <w:szCs w:val="28"/>
        </w:rPr>
        <w:t>, 373 U.S. 83 (1963), whether or not a request is made</w:t>
      </w:r>
      <w:r w:rsidR="006976B0">
        <w:rPr>
          <w:szCs w:val="28"/>
        </w:rPr>
        <w:t>.</w:t>
      </w:r>
      <w:r w:rsidR="00756195" w:rsidRPr="00B800E7">
        <w:rPr>
          <w:szCs w:val="28"/>
        </w:rPr>
        <w:t xml:space="preserve"> </w:t>
      </w:r>
      <w:proofErr w:type="gramStart"/>
      <w:r w:rsidR="00756195" w:rsidRPr="00B800E7">
        <w:rPr>
          <w:i/>
          <w:szCs w:val="28"/>
        </w:rPr>
        <w:t>United States v. Bagley</w:t>
      </w:r>
      <w:r w:rsidR="00756195" w:rsidRPr="00B800E7">
        <w:rPr>
          <w:szCs w:val="28"/>
        </w:rPr>
        <w:t>, 473 U.S. 667 (1985).</w:t>
      </w:r>
      <w:proofErr w:type="gramEnd"/>
      <w:r w:rsidR="00756195" w:rsidRPr="00B800E7">
        <w:rPr>
          <w:szCs w:val="28"/>
        </w:rPr>
        <w:t xml:space="preserve">  The prosecution’s </w:t>
      </w:r>
      <w:r w:rsidR="0030728E" w:rsidRPr="00B800E7">
        <w:rPr>
          <w:szCs w:val="28"/>
        </w:rPr>
        <w:t xml:space="preserve">constitutional </w:t>
      </w:r>
      <w:r w:rsidR="00756195" w:rsidRPr="00B800E7">
        <w:rPr>
          <w:szCs w:val="28"/>
        </w:rPr>
        <w:t>duty of disclosure</w:t>
      </w:r>
      <w:r w:rsidR="0030728E" w:rsidRPr="00B800E7">
        <w:rPr>
          <w:szCs w:val="28"/>
        </w:rPr>
        <w:t xml:space="preserve"> also</w:t>
      </w:r>
      <w:r w:rsidR="00756195" w:rsidRPr="00B800E7">
        <w:rPr>
          <w:szCs w:val="28"/>
        </w:rPr>
        <w:t xml:space="preserve"> includes impeachment evidence.  </w:t>
      </w:r>
      <w:proofErr w:type="spellStart"/>
      <w:proofErr w:type="gramStart"/>
      <w:r w:rsidR="00E9502E">
        <w:rPr>
          <w:i/>
          <w:szCs w:val="28"/>
        </w:rPr>
        <w:t>Giglio</w:t>
      </w:r>
      <w:proofErr w:type="spellEnd"/>
      <w:r w:rsidR="00E9502E">
        <w:rPr>
          <w:i/>
          <w:szCs w:val="28"/>
        </w:rPr>
        <w:t xml:space="preserve"> v. United </w:t>
      </w:r>
      <w:r w:rsidR="00756195" w:rsidRPr="00B800E7">
        <w:rPr>
          <w:i/>
          <w:szCs w:val="28"/>
        </w:rPr>
        <w:t>S</w:t>
      </w:r>
      <w:r w:rsidR="00E9502E">
        <w:rPr>
          <w:i/>
          <w:szCs w:val="28"/>
        </w:rPr>
        <w:t>tates</w:t>
      </w:r>
      <w:r w:rsidR="00756195" w:rsidRPr="00B800E7">
        <w:rPr>
          <w:szCs w:val="28"/>
        </w:rPr>
        <w:t>, 405 U.S. 150 (1972).</w:t>
      </w:r>
      <w:proofErr w:type="gramEnd"/>
      <w:r w:rsidR="0030728E" w:rsidRPr="00B800E7">
        <w:rPr>
          <w:szCs w:val="28"/>
        </w:rPr>
        <w:t xml:space="preserve">  Moreover, the prosecution “has a duty to learn of any favorable evidence” held by others acting on the prosecution’s behalf, including the police.  </w:t>
      </w:r>
      <w:proofErr w:type="gramStart"/>
      <w:r w:rsidR="0030728E" w:rsidRPr="00B800E7">
        <w:rPr>
          <w:i/>
          <w:szCs w:val="28"/>
        </w:rPr>
        <w:t>Kyles v. Whitley</w:t>
      </w:r>
      <w:r w:rsidR="0030728E" w:rsidRPr="00B800E7">
        <w:rPr>
          <w:szCs w:val="28"/>
        </w:rPr>
        <w:t>, 514 U.S. 419, 438 (1995).</w:t>
      </w:r>
      <w:proofErr w:type="gramEnd"/>
    </w:p>
    <w:p w:rsidR="00756195" w:rsidRPr="00B800E7" w:rsidRDefault="00756195" w:rsidP="00F86EF2">
      <w:pPr>
        <w:pStyle w:val="BodyText"/>
        <w:tabs>
          <w:tab w:val="left" w:pos="720"/>
        </w:tabs>
        <w:spacing w:line="480" w:lineRule="auto"/>
        <w:jc w:val="left"/>
        <w:rPr>
          <w:szCs w:val="28"/>
        </w:rPr>
      </w:pPr>
      <w:r w:rsidRPr="00B800E7">
        <w:rPr>
          <w:szCs w:val="28"/>
        </w:rPr>
        <w:tab/>
        <w:t>Rule 15.1(b) (8), Ariz. R. Crim. Pro., is broader.  It requires the prosecution to disclose all material and information “which tends to” mitigate or negate guilt, or “would tend to” reduce punishment.</w:t>
      </w:r>
    </w:p>
    <w:p w:rsidR="00F26509" w:rsidRPr="00B800E7" w:rsidRDefault="00D200FC" w:rsidP="00F86EF2">
      <w:pPr>
        <w:spacing w:line="480" w:lineRule="auto"/>
        <w:rPr>
          <w:sz w:val="28"/>
          <w:szCs w:val="28"/>
        </w:rPr>
      </w:pPr>
      <w:r w:rsidRPr="00B800E7">
        <w:rPr>
          <w:i/>
          <w:sz w:val="28"/>
          <w:szCs w:val="28"/>
        </w:rPr>
        <w:tab/>
        <w:t>Brady</w:t>
      </w:r>
      <w:r w:rsidRPr="00B800E7">
        <w:rPr>
          <w:sz w:val="28"/>
          <w:szCs w:val="28"/>
        </w:rPr>
        <w:t xml:space="preserve"> problems</w:t>
      </w:r>
      <w:r w:rsidRPr="00B800E7">
        <w:rPr>
          <w:rStyle w:val="FootnoteReference"/>
          <w:sz w:val="28"/>
          <w:szCs w:val="28"/>
        </w:rPr>
        <w:footnoteReference w:id="1"/>
      </w:r>
      <w:r w:rsidRPr="00B800E7">
        <w:rPr>
          <w:sz w:val="28"/>
          <w:szCs w:val="28"/>
        </w:rPr>
        <w:t xml:space="preserve"> have existed for years throughout the country and in Arizona.  </w:t>
      </w:r>
      <w:r w:rsidR="00A47CB5" w:rsidRPr="00B800E7">
        <w:rPr>
          <w:sz w:val="28"/>
          <w:szCs w:val="28"/>
        </w:rPr>
        <w:t xml:space="preserve">A quick review of some of the </w:t>
      </w:r>
      <w:r w:rsidR="0030728E" w:rsidRPr="00B800E7">
        <w:rPr>
          <w:sz w:val="28"/>
          <w:szCs w:val="28"/>
        </w:rPr>
        <w:t xml:space="preserve">Arizona </w:t>
      </w:r>
      <w:r w:rsidR="00A47CB5" w:rsidRPr="00B800E7">
        <w:rPr>
          <w:sz w:val="28"/>
          <w:szCs w:val="28"/>
        </w:rPr>
        <w:t xml:space="preserve">cases reported (both published </w:t>
      </w:r>
      <w:r w:rsidR="00A47CB5" w:rsidRPr="00B800E7">
        <w:rPr>
          <w:sz w:val="28"/>
          <w:szCs w:val="28"/>
        </w:rPr>
        <w:lastRenderedPageBreak/>
        <w:t>and unpublished</w:t>
      </w:r>
      <w:r w:rsidR="00A47CB5" w:rsidRPr="00B800E7">
        <w:rPr>
          <w:rStyle w:val="FootnoteReference"/>
          <w:sz w:val="28"/>
          <w:szCs w:val="28"/>
        </w:rPr>
        <w:footnoteReference w:id="2"/>
      </w:r>
      <w:r w:rsidR="00A47CB5" w:rsidRPr="00B800E7">
        <w:rPr>
          <w:sz w:val="28"/>
          <w:szCs w:val="28"/>
        </w:rPr>
        <w:t xml:space="preserve">) reveals this is to be longstanding problem </w:t>
      </w:r>
      <w:r w:rsidR="00E9502E">
        <w:rPr>
          <w:sz w:val="28"/>
          <w:szCs w:val="28"/>
        </w:rPr>
        <w:t>that</w:t>
      </w:r>
      <w:r w:rsidR="00A47CB5" w:rsidRPr="00B800E7">
        <w:rPr>
          <w:sz w:val="28"/>
          <w:szCs w:val="28"/>
        </w:rPr>
        <w:t xml:space="preserve"> continues to the present</w:t>
      </w:r>
      <w:r w:rsidR="008F271C" w:rsidRPr="00B800E7">
        <w:rPr>
          <w:rStyle w:val="FootnoteReference"/>
          <w:sz w:val="28"/>
          <w:szCs w:val="28"/>
        </w:rPr>
        <w:footnoteReference w:id="3"/>
      </w:r>
      <w:r w:rsidR="00A47CB5" w:rsidRPr="00B800E7">
        <w:rPr>
          <w:sz w:val="28"/>
          <w:szCs w:val="28"/>
        </w:rPr>
        <w:t>:</w:t>
      </w:r>
    </w:p>
    <w:p w:rsidR="0074727D" w:rsidRPr="00B800E7" w:rsidRDefault="0074727D" w:rsidP="0074727D">
      <w:pPr>
        <w:pStyle w:val="ListParagraph"/>
        <w:numPr>
          <w:ilvl w:val="0"/>
          <w:numId w:val="2"/>
        </w:numPr>
        <w:rPr>
          <w:sz w:val="28"/>
          <w:szCs w:val="28"/>
        </w:rPr>
      </w:pPr>
      <w:r w:rsidRPr="00B800E7">
        <w:rPr>
          <w:i/>
          <w:sz w:val="28"/>
          <w:szCs w:val="28"/>
        </w:rPr>
        <w:t xml:space="preserve">State v. </w:t>
      </w:r>
      <w:proofErr w:type="spellStart"/>
      <w:r w:rsidRPr="00B800E7">
        <w:rPr>
          <w:i/>
          <w:sz w:val="28"/>
          <w:szCs w:val="28"/>
        </w:rPr>
        <w:t>LaBarre</w:t>
      </w:r>
      <w:proofErr w:type="spellEnd"/>
      <w:r w:rsidRPr="00B800E7">
        <w:rPr>
          <w:sz w:val="28"/>
          <w:szCs w:val="28"/>
        </w:rPr>
        <w:t>, 114 Ariz. 440, 446, 561 P.2d 764, 770 (1977) (“We do not approve of the State’s conduct with respect to the discovery in this case . . . but we cannot hold that the court was constitutionally required to declare a mistrial, nor can we say that its failure to do so was an abuse of discretion under our rules.”</w:t>
      </w:r>
      <w:r w:rsidR="00420498">
        <w:rPr>
          <w:sz w:val="28"/>
          <w:szCs w:val="28"/>
        </w:rPr>
        <w:t>)</w:t>
      </w:r>
    </w:p>
    <w:p w:rsidR="0074727D" w:rsidRPr="00B800E7" w:rsidRDefault="0074727D" w:rsidP="0074727D">
      <w:pPr>
        <w:pStyle w:val="ListParagraph"/>
        <w:rPr>
          <w:sz w:val="28"/>
          <w:szCs w:val="28"/>
        </w:rPr>
      </w:pPr>
    </w:p>
    <w:p w:rsidR="008F271C" w:rsidRPr="00B800E7" w:rsidRDefault="008F271C" w:rsidP="007A055F">
      <w:pPr>
        <w:pStyle w:val="ListParagraph"/>
        <w:numPr>
          <w:ilvl w:val="0"/>
          <w:numId w:val="2"/>
        </w:numPr>
        <w:rPr>
          <w:sz w:val="28"/>
          <w:szCs w:val="28"/>
        </w:rPr>
      </w:pPr>
      <w:r w:rsidRPr="00B800E7">
        <w:rPr>
          <w:i/>
          <w:sz w:val="28"/>
          <w:szCs w:val="28"/>
        </w:rPr>
        <w:t xml:space="preserve">State v. </w:t>
      </w:r>
      <w:proofErr w:type="spellStart"/>
      <w:r w:rsidRPr="00B800E7">
        <w:rPr>
          <w:i/>
          <w:sz w:val="28"/>
          <w:szCs w:val="28"/>
        </w:rPr>
        <w:t>Lukezic</w:t>
      </w:r>
      <w:proofErr w:type="spellEnd"/>
      <w:r w:rsidRPr="00B800E7">
        <w:rPr>
          <w:sz w:val="28"/>
          <w:szCs w:val="28"/>
        </w:rPr>
        <w:t>, 143 Ariz. 60, 691 P.2d 1086 (1984) (failure to disclose state aid to witnesses</w:t>
      </w:r>
      <w:r w:rsidR="006976B0">
        <w:rPr>
          <w:sz w:val="28"/>
          <w:szCs w:val="28"/>
        </w:rPr>
        <w:t xml:space="preserve">: </w:t>
      </w:r>
      <w:r w:rsidRPr="00B800E7">
        <w:rPr>
          <w:sz w:val="28"/>
          <w:szCs w:val="28"/>
        </w:rPr>
        <w:t xml:space="preserve">car payments, prescription drugs, and alteration of pre-sentence reports; grant of new trial affirmed)  </w:t>
      </w:r>
    </w:p>
    <w:p w:rsidR="007A055F" w:rsidRPr="00B800E7" w:rsidRDefault="007A055F" w:rsidP="007A055F">
      <w:pPr>
        <w:pStyle w:val="ListParagraph"/>
        <w:rPr>
          <w:sz w:val="28"/>
          <w:szCs w:val="28"/>
        </w:rPr>
      </w:pPr>
    </w:p>
    <w:p w:rsidR="007A055F" w:rsidRPr="00B800E7" w:rsidRDefault="008F271C" w:rsidP="007A055F">
      <w:pPr>
        <w:pStyle w:val="ListParagraph"/>
        <w:numPr>
          <w:ilvl w:val="0"/>
          <w:numId w:val="2"/>
        </w:numPr>
        <w:rPr>
          <w:sz w:val="28"/>
          <w:szCs w:val="28"/>
        </w:rPr>
      </w:pPr>
      <w:r w:rsidRPr="00B800E7">
        <w:rPr>
          <w:i/>
          <w:sz w:val="28"/>
          <w:szCs w:val="28"/>
        </w:rPr>
        <w:t xml:space="preserve">State v. </w:t>
      </w:r>
      <w:proofErr w:type="spellStart"/>
      <w:r w:rsidRPr="00B800E7">
        <w:rPr>
          <w:i/>
          <w:sz w:val="28"/>
          <w:szCs w:val="28"/>
        </w:rPr>
        <w:t>Bracy</w:t>
      </w:r>
      <w:proofErr w:type="spellEnd"/>
      <w:r w:rsidRPr="00B800E7">
        <w:rPr>
          <w:sz w:val="28"/>
          <w:szCs w:val="28"/>
        </w:rPr>
        <w:t>, 145 Ariz. 520, 703 P.2d 464 (1985) (</w:t>
      </w:r>
      <w:r w:rsidR="006976B0">
        <w:rPr>
          <w:sz w:val="28"/>
          <w:szCs w:val="28"/>
        </w:rPr>
        <w:t xml:space="preserve">similar failure to disclose as </w:t>
      </w:r>
      <w:proofErr w:type="spellStart"/>
      <w:r w:rsidR="006976B0">
        <w:rPr>
          <w:i/>
          <w:sz w:val="28"/>
          <w:szCs w:val="28"/>
        </w:rPr>
        <w:t>Lukezic</w:t>
      </w:r>
      <w:proofErr w:type="spellEnd"/>
      <w:r w:rsidRPr="00B800E7">
        <w:rPr>
          <w:sz w:val="28"/>
          <w:szCs w:val="28"/>
        </w:rPr>
        <w:t>; death sentence affirmed despite finding that prosecution suppressed exculpatory evidence)</w:t>
      </w:r>
    </w:p>
    <w:p w:rsidR="00D3727F" w:rsidRPr="00B800E7" w:rsidRDefault="00D3727F" w:rsidP="00D3727F">
      <w:pPr>
        <w:pStyle w:val="ListParagraph"/>
        <w:rPr>
          <w:sz w:val="28"/>
          <w:szCs w:val="28"/>
        </w:rPr>
      </w:pPr>
    </w:p>
    <w:p w:rsidR="00D3727F" w:rsidRPr="00B800E7" w:rsidRDefault="00D3727F" w:rsidP="007A055F">
      <w:pPr>
        <w:pStyle w:val="ListParagraph"/>
        <w:numPr>
          <w:ilvl w:val="0"/>
          <w:numId w:val="2"/>
        </w:numPr>
        <w:rPr>
          <w:sz w:val="28"/>
          <w:szCs w:val="28"/>
        </w:rPr>
      </w:pPr>
      <w:r w:rsidRPr="00B800E7">
        <w:rPr>
          <w:i/>
          <w:sz w:val="28"/>
          <w:szCs w:val="28"/>
        </w:rPr>
        <w:t>State v. Van Den Berg</w:t>
      </w:r>
      <w:r w:rsidRPr="00B800E7">
        <w:rPr>
          <w:sz w:val="28"/>
          <w:szCs w:val="28"/>
        </w:rPr>
        <w:t xml:space="preserve">, 164 Ariz. 192, 196, 791 P.2d 1075, 1079 (App. 1990) (“The above suggests an issue that bears mention to prevent repetition. . . . It appears from the record that the prosecutor failed to comply with the dictates of </w:t>
      </w:r>
      <w:r w:rsidRPr="00B800E7">
        <w:rPr>
          <w:i/>
          <w:sz w:val="28"/>
          <w:szCs w:val="28"/>
        </w:rPr>
        <w:t>Brady</w:t>
      </w:r>
      <w:r w:rsidRPr="00B800E7">
        <w:rPr>
          <w:sz w:val="28"/>
          <w:szCs w:val="28"/>
        </w:rPr>
        <w:t>.  This failure precipitated the necessity of a remand in this case to ascertain whether a new trial is necessary.”)</w:t>
      </w:r>
    </w:p>
    <w:p w:rsidR="00585AE2" w:rsidRPr="00B800E7" w:rsidRDefault="00585AE2" w:rsidP="00585AE2">
      <w:pPr>
        <w:pStyle w:val="ListParagraph"/>
        <w:rPr>
          <w:sz w:val="28"/>
          <w:szCs w:val="28"/>
        </w:rPr>
      </w:pPr>
    </w:p>
    <w:p w:rsidR="00585AE2" w:rsidRPr="00B800E7" w:rsidRDefault="00585AE2" w:rsidP="007A055F">
      <w:pPr>
        <w:pStyle w:val="ListParagraph"/>
        <w:numPr>
          <w:ilvl w:val="0"/>
          <w:numId w:val="2"/>
        </w:numPr>
        <w:rPr>
          <w:sz w:val="28"/>
          <w:szCs w:val="28"/>
        </w:rPr>
      </w:pPr>
      <w:proofErr w:type="spellStart"/>
      <w:r w:rsidRPr="00B800E7">
        <w:rPr>
          <w:i/>
          <w:sz w:val="28"/>
          <w:szCs w:val="28"/>
        </w:rPr>
        <w:t>Carriger</w:t>
      </w:r>
      <w:proofErr w:type="spellEnd"/>
      <w:r w:rsidRPr="00B800E7">
        <w:rPr>
          <w:i/>
          <w:sz w:val="28"/>
          <w:szCs w:val="28"/>
        </w:rPr>
        <w:t xml:space="preserve"> v. Stewart</w:t>
      </w:r>
      <w:r w:rsidRPr="00B800E7">
        <w:rPr>
          <w:sz w:val="28"/>
          <w:szCs w:val="28"/>
        </w:rPr>
        <w:t>, 132 F.3d 463 (9</w:t>
      </w:r>
      <w:r w:rsidRPr="00B800E7">
        <w:rPr>
          <w:sz w:val="28"/>
          <w:szCs w:val="28"/>
          <w:vertAlign w:val="superscript"/>
        </w:rPr>
        <w:t>th</w:t>
      </w:r>
      <w:r w:rsidRPr="00B800E7">
        <w:rPr>
          <w:sz w:val="28"/>
          <w:szCs w:val="28"/>
        </w:rPr>
        <w:t xml:space="preserve"> Cir. 1997) (1978 trial; failure to disclose prison file revealing star witness’s long history of lying to law enforcement and blaming his crimes on others) </w:t>
      </w:r>
    </w:p>
    <w:p w:rsidR="0074727D" w:rsidRPr="00B800E7" w:rsidRDefault="0074727D" w:rsidP="0074727D">
      <w:pPr>
        <w:pStyle w:val="ListParagraph"/>
        <w:rPr>
          <w:sz w:val="28"/>
          <w:szCs w:val="28"/>
        </w:rPr>
      </w:pPr>
    </w:p>
    <w:p w:rsidR="0074727D" w:rsidRPr="00B800E7" w:rsidRDefault="0074727D" w:rsidP="0074727D">
      <w:pPr>
        <w:pStyle w:val="ListParagraph"/>
        <w:numPr>
          <w:ilvl w:val="0"/>
          <w:numId w:val="2"/>
        </w:numPr>
        <w:rPr>
          <w:sz w:val="28"/>
          <w:szCs w:val="28"/>
        </w:rPr>
      </w:pPr>
      <w:r w:rsidRPr="00B800E7">
        <w:rPr>
          <w:i/>
          <w:sz w:val="28"/>
          <w:szCs w:val="28"/>
        </w:rPr>
        <w:lastRenderedPageBreak/>
        <w:t>State v. Rice</w:t>
      </w:r>
      <w:r w:rsidRPr="00B800E7">
        <w:rPr>
          <w:sz w:val="28"/>
          <w:szCs w:val="28"/>
        </w:rPr>
        <w:t>, 2007 WL 5187935 (2007) (unpublished) (failure to disclose jail tapes of defendant was disclosure violation (statement of defendant); no sanction imposed)</w:t>
      </w:r>
    </w:p>
    <w:p w:rsidR="007A055F" w:rsidRPr="00B800E7" w:rsidRDefault="007A055F" w:rsidP="007A055F">
      <w:pPr>
        <w:pStyle w:val="ListParagraph"/>
        <w:rPr>
          <w:sz w:val="28"/>
          <w:szCs w:val="28"/>
        </w:rPr>
      </w:pPr>
    </w:p>
    <w:p w:rsidR="00A67390" w:rsidRPr="00B800E7" w:rsidRDefault="008F271C" w:rsidP="007A055F">
      <w:pPr>
        <w:pStyle w:val="ListParagraph"/>
        <w:numPr>
          <w:ilvl w:val="0"/>
          <w:numId w:val="2"/>
        </w:numPr>
        <w:rPr>
          <w:sz w:val="28"/>
          <w:szCs w:val="28"/>
        </w:rPr>
      </w:pPr>
      <w:r w:rsidRPr="00B800E7">
        <w:rPr>
          <w:i/>
          <w:sz w:val="28"/>
          <w:szCs w:val="28"/>
        </w:rPr>
        <w:t xml:space="preserve">State v. </w:t>
      </w:r>
      <w:proofErr w:type="spellStart"/>
      <w:r w:rsidRPr="00B800E7">
        <w:rPr>
          <w:i/>
          <w:sz w:val="28"/>
          <w:szCs w:val="28"/>
        </w:rPr>
        <w:t>Grabinski</w:t>
      </w:r>
      <w:proofErr w:type="spellEnd"/>
      <w:r w:rsidRPr="00B800E7">
        <w:rPr>
          <w:sz w:val="28"/>
          <w:szCs w:val="28"/>
        </w:rPr>
        <w:t>, 2009 WL 1531020</w:t>
      </w:r>
      <w:r w:rsidR="00A67390" w:rsidRPr="00B800E7">
        <w:rPr>
          <w:sz w:val="28"/>
          <w:szCs w:val="28"/>
        </w:rPr>
        <w:t xml:space="preserve"> (2009)</w:t>
      </w:r>
      <w:r w:rsidRPr="00B800E7">
        <w:rPr>
          <w:sz w:val="28"/>
          <w:szCs w:val="28"/>
        </w:rPr>
        <w:t xml:space="preserve"> (unpublished)</w:t>
      </w:r>
      <w:r w:rsidR="00063823" w:rsidRPr="00B800E7">
        <w:rPr>
          <w:sz w:val="28"/>
          <w:szCs w:val="28"/>
        </w:rPr>
        <w:t xml:space="preserve"> and  </w:t>
      </w:r>
      <w:r w:rsidR="00063823" w:rsidRPr="00B800E7">
        <w:rPr>
          <w:i/>
          <w:sz w:val="28"/>
          <w:szCs w:val="28"/>
        </w:rPr>
        <w:t xml:space="preserve">State v. </w:t>
      </w:r>
      <w:proofErr w:type="spellStart"/>
      <w:r w:rsidR="00063823" w:rsidRPr="00B800E7">
        <w:rPr>
          <w:i/>
          <w:sz w:val="28"/>
          <w:szCs w:val="28"/>
        </w:rPr>
        <w:t>Crotts</w:t>
      </w:r>
      <w:proofErr w:type="spellEnd"/>
      <w:r w:rsidR="00063823" w:rsidRPr="00B800E7">
        <w:rPr>
          <w:sz w:val="28"/>
          <w:szCs w:val="28"/>
        </w:rPr>
        <w:t xml:space="preserve">, 2009 WL 1531024 </w:t>
      </w:r>
      <w:r w:rsidRPr="00B800E7">
        <w:rPr>
          <w:sz w:val="28"/>
          <w:szCs w:val="28"/>
        </w:rPr>
        <w:t xml:space="preserve"> (</w:t>
      </w:r>
      <w:r w:rsidR="00A67390" w:rsidRPr="00B800E7">
        <w:rPr>
          <w:sz w:val="28"/>
          <w:szCs w:val="28"/>
        </w:rPr>
        <w:t>Rule 15 violation for failing to disclose admission of perjury by state’s witness until trial even though prosecutor was aware of the perjury admission earlier; denial of request for mistrial affirmed)</w:t>
      </w:r>
    </w:p>
    <w:p w:rsidR="007A055F" w:rsidRPr="00B800E7" w:rsidRDefault="007A055F" w:rsidP="0074727D">
      <w:pPr>
        <w:rPr>
          <w:sz w:val="28"/>
          <w:szCs w:val="28"/>
        </w:rPr>
      </w:pPr>
    </w:p>
    <w:p w:rsidR="007A055F" w:rsidRPr="00B800E7" w:rsidRDefault="006B5992" w:rsidP="007A055F">
      <w:pPr>
        <w:pStyle w:val="ListParagraph"/>
        <w:numPr>
          <w:ilvl w:val="0"/>
          <w:numId w:val="2"/>
        </w:numPr>
        <w:rPr>
          <w:sz w:val="28"/>
          <w:szCs w:val="28"/>
        </w:rPr>
      </w:pPr>
      <w:r w:rsidRPr="00B800E7">
        <w:rPr>
          <w:i/>
          <w:sz w:val="28"/>
          <w:szCs w:val="28"/>
        </w:rPr>
        <w:t>State v. Powell</w:t>
      </w:r>
      <w:r w:rsidRPr="00B800E7">
        <w:rPr>
          <w:sz w:val="28"/>
          <w:szCs w:val="28"/>
        </w:rPr>
        <w:t xml:space="preserve">, 2011 WL 193367 (2011) (unpublished) (prosecution failed to disclose witness conviction; </w:t>
      </w:r>
      <w:r w:rsidR="00F16EF6">
        <w:rPr>
          <w:sz w:val="28"/>
          <w:szCs w:val="28"/>
        </w:rPr>
        <w:t>conviction affirmed</w:t>
      </w:r>
      <w:r w:rsidRPr="00B800E7">
        <w:rPr>
          <w:sz w:val="28"/>
          <w:szCs w:val="28"/>
        </w:rPr>
        <w:t xml:space="preserve"> because court determined that there was no reasonable probability that disclosure would have rendered the result different)</w:t>
      </w:r>
    </w:p>
    <w:p w:rsidR="0074727D" w:rsidRPr="00B800E7" w:rsidRDefault="0074727D" w:rsidP="0074727D">
      <w:pPr>
        <w:pStyle w:val="ListParagraph"/>
        <w:rPr>
          <w:sz w:val="28"/>
          <w:szCs w:val="28"/>
        </w:rPr>
      </w:pPr>
    </w:p>
    <w:p w:rsidR="0074727D" w:rsidRPr="00B800E7" w:rsidRDefault="0074727D" w:rsidP="0074727D">
      <w:pPr>
        <w:pStyle w:val="ListParagraph"/>
        <w:numPr>
          <w:ilvl w:val="0"/>
          <w:numId w:val="2"/>
        </w:numPr>
        <w:rPr>
          <w:sz w:val="28"/>
          <w:szCs w:val="28"/>
        </w:rPr>
      </w:pPr>
      <w:r w:rsidRPr="00B800E7">
        <w:rPr>
          <w:i/>
          <w:sz w:val="28"/>
          <w:szCs w:val="28"/>
        </w:rPr>
        <w:t>State v. Cota</w:t>
      </w:r>
      <w:r w:rsidRPr="00B800E7">
        <w:rPr>
          <w:sz w:val="28"/>
          <w:szCs w:val="28"/>
        </w:rPr>
        <w:t>, 229 Ariz. 136, 272 P.3d 1027 (2012) (failure to provide exculpatory electronic DNA data until the eve of trial, other data unavailable, missing, destroyed;  trial court determined the evidence was improperly withheld</w:t>
      </w:r>
      <w:r w:rsidR="00F16EF6">
        <w:rPr>
          <w:sz w:val="28"/>
          <w:szCs w:val="28"/>
        </w:rPr>
        <w:t>,</w:t>
      </w:r>
      <w:r w:rsidRPr="00B800E7">
        <w:rPr>
          <w:sz w:val="28"/>
          <w:szCs w:val="28"/>
        </w:rPr>
        <w:t xml:space="preserve"> struck one witness’s testimony but permitted 2</w:t>
      </w:r>
      <w:r w:rsidRPr="00B800E7">
        <w:rPr>
          <w:sz w:val="28"/>
          <w:szCs w:val="28"/>
          <w:vertAlign w:val="superscript"/>
        </w:rPr>
        <w:t>nd</w:t>
      </w:r>
      <w:r w:rsidRPr="00B800E7">
        <w:rPr>
          <w:sz w:val="28"/>
          <w:szCs w:val="28"/>
        </w:rPr>
        <w:t xml:space="preserve"> witness testimony</w:t>
      </w:r>
      <w:r w:rsidR="00F16EF6">
        <w:rPr>
          <w:sz w:val="28"/>
          <w:szCs w:val="28"/>
        </w:rPr>
        <w:t xml:space="preserve">, </w:t>
      </w:r>
      <w:r w:rsidRPr="00B800E7">
        <w:rPr>
          <w:sz w:val="28"/>
          <w:szCs w:val="28"/>
        </w:rPr>
        <w:t>gave additional time to review new materials;  no abuse of discretion in imposing the limited sanction)</w:t>
      </w:r>
    </w:p>
    <w:p w:rsidR="0074727D" w:rsidRPr="00B800E7" w:rsidRDefault="0074727D" w:rsidP="0074727D">
      <w:pPr>
        <w:pStyle w:val="ListParagraph"/>
        <w:rPr>
          <w:sz w:val="28"/>
          <w:szCs w:val="28"/>
        </w:rPr>
      </w:pPr>
    </w:p>
    <w:p w:rsidR="0074727D" w:rsidRPr="00B800E7" w:rsidRDefault="0074727D" w:rsidP="0074727D">
      <w:pPr>
        <w:pStyle w:val="ListParagraph"/>
        <w:numPr>
          <w:ilvl w:val="0"/>
          <w:numId w:val="2"/>
        </w:numPr>
        <w:rPr>
          <w:sz w:val="28"/>
          <w:szCs w:val="28"/>
        </w:rPr>
      </w:pPr>
      <w:r w:rsidRPr="00B800E7">
        <w:rPr>
          <w:i/>
          <w:sz w:val="28"/>
          <w:szCs w:val="28"/>
        </w:rPr>
        <w:t>State v. Lopez</w:t>
      </w:r>
      <w:r w:rsidRPr="00B800E7">
        <w:rPr>
          <w:sz w:val="28"/>
          <w:szCs w:val="28"/>
        </w:rPr>
        <w:t>, 2012 WL 3020071 (2012) (unpublished) (upholding continuance as a sanction for State’s failure to timely disclose “free talks” of cooperating defendant and cooperating defendant’s prior convictions including providing false information to police officers)</w:t>
      </w:r>
    </w:p>
    <w:p w:rsidR="006B5992" w:rsidRPr="00B800E7" w:rsidRDefault="006B5992" w:rsidP="006B5992">
      <w:pPr>
        <w:pStyle w:val="ListParagraph"/>
        <w:rPr>
          <w:sz w:val="28"/>
          <w:szCs w:val="28"/>
        </w:rPr>
      </w:pPr>
    </w:p>
    <w:p w:rsidR="006B5992" w:rsidRPr="00B800E7" w:rsidRDefault="006B5992" w:rsidP="007A055F">
      <w:pPr>
        <w:pStyle w:val="ListParagraph"/>
        <w:numPr>
          <w:ilvl w:val="0"/>
          <w:numId w:val="2"/>
        </w:numPr>
        <w:rPr>
          <w:sz w:val="28"/>
          <w:szCs w:val="28"/>
        </w:rPr>
      </w:pPr>
      <w:r w:rsidRPr="00B800E7">
        <w:rPr>
          <w:i/>
          <w:sz w:val="28"/>
          <w:szCs w:val="28"/>
        </w:rPr>
        <w:t xml:space="preserve">State v. </w:t>
      </w:r>
      <w:r w:rsidR="003C03F9" w:rsidRPr="00B800E7">
        <w:rPr>
          <w:i/>
          <w:sz w:val="28"/>
          <w:szCs w:val="28"/>
        </w:rPr>
        <w:t>Cloud</w:t>
      </w:r>
      <w:r w:rsidR="003C03F9" w:rsidRPr="00B800E7">
        <w:rPr>
          <w:sz w:val="28"/>
          <w:szCs w:val="28"/>
        </w:rPr>
        <w:t>, 2014 WL 645185 (2014) (unpublished) (hundreds of pages of witness interviews and other material disclosed in the middle of trial due to ‘inadvertence;’ sanction of one month continuance affirmed)</w:t>
      </w:r>
    </w:p>
    <w:p w:rsidR="0023705A" w:rsidRPr="00B800E7" w:rsidRDefault="0023705A" w:rsidP="0023705A">
      <w:pPr>
        <w:pStyle w:val="ListParagraph"/>
        <w:rPr>
          <w:sz w:val="28"/>
          <w:szCs w:val="28"/>
        </w:rPr>
      </w:pPr>
    </w:p>
    <w:p w:rsidR="0023705A" w:rsidRPr="00B800E7" w:rsidRDefault="0023705A" w:rsidP="007A055F">
      <w:pPr>
        <w:pStyle w:val="ListParagraph"/>
        <w:numPr>
          <w:ilvl w:val="0"/>
          <w:numId w:val="2"/>
        </w:numPr>
        <w:rPr>
          <w:sz w:val="28"/>
          <w:szCs w:val="28"/>
        </w:rPr>
      </w:pPr>
      <w:proofErr w:type="spellStart"/>
      <w:r w:rsidRPr="00B800E7">
        <w:rPr>
          <w:i/>
          <w:sz w:val="28"/>
          <w:szCs w:val="28"/>
        </w:rPr>
        <w:t>Milke</w:t>
      </w:r>
      <w:proofErr w:type="spellEnd"/>
      <w:r w:rsidRPr="00B800E7">
        <w:rPr>
          <w:i/>
          <w:sz w:val="28"/>
          <w:szCs w:val="28"/>
        </w:rPr>
        <w:t xml:space="preserve"> v. </w:t>
      </w:r>
      <w:proofErr w:type="spellStart"/>
      <w:r w:rsidRPr="00B800E7">
        <w:rPr>
          <w:i/>
          <w:sz w:val="28"/>
          <w:szCs w:val="28"/>
        </w:rPr>
        <w:t>Mroz</w:t>
      </w:r>
      <w:proofErr w:type="spellEnd"/>
      <w:r w:rsidRPr="00B800E7">
        <w:rPr>
          <w:sz w:val="28"/>
          <w:szCs w:val="28"/>
        </w:rPr>
        <w:t>, 236 Ariz. 276, 339 P.3d 659 (App. 2015) (</w:t>
      </w:r>
      <w:r w:rsidR="0074727D" w:rsidRPr="00B800E7">
        <w:rPr>
          <w:sz w:val="28"/>
          <w:szCs w:val="28"/>
        </w:rPr>
        <w:t xml:space="preserve">trial in 1990; </w:t>
      </w:r>
      <w:r w:rsidRPr="00B800E7">
        <w:rPr>
          <w:sz w:val="28"/>
          <w:szCs w:val="28"/>
        </w:rPr>
        <w:t xml:space="preserve">failure to disclose evidence of detective’s dishonesty and </w:t>
      </w:r>
      <w:r w:rsidRPr="00B800E7">
        <w:rPr>
          <w:i/>
          <w:sz w:val="28"/>
          <w:szCs w:val="28"/>
        </w:rPr>
        <w:t>Miranda</w:t>
      </w:r>
      <w:r w:rsidRPr="00B800E7">
        <w:rPr>
          <w:sz w:val="28"/>
          <w:szCs w:val="28"/>
        </w:rPr>
        <w:t xml:space="preserve"> violations in other cases; retrial barred by double jeopardy)</w:t>
      </w:r>
    </w:p>
    <w:p w:rsidR="0023705A" w:rsidRPr="00B800E7" w:rsidRDefault="0023705A" w:rsidP="0023705A">
      <w:pPr>
        <w:pStyle w:val="ListParagraph"/>
        <w:rPr>
          <w:sz w:val="28"/>
          <w:szCs w:val="28"/>
        </w:rPr>
      </w:pPr>
    </w:p>
    <w:p w:rsidR="00F17873" w:rsidRPr="00B800E7" w:rsidRDefault="00F17873" w:rsidP="00AD3032">
      <w:pPr>
        <w:pStyle w:val="ListParagraph"/>
        <w:numPr>
          <w:ilvl w:val="0"/>
          <w:numId w:val="2"/>
        </w:numPr>
        <w:rPr>
          <w:sz w:val="28"/>
          <w:szCs w:val="28"/>
        </w:rPr>
      </w:pPr>
      <w:r w:rsidRPr="00B800E7">
        <w:rPr>
          <w:i/>
          <w:sz w:val="28"/>
          <w:szCs w:val="28"/>
        </w:rPr>
        <w:t>State v. Miles</w:t>
      </w:r>
      <w:r w:rsidRPr="00B800E7">
        <w:rPr>
          <w:sz w:val="28"/>
          <w:szCs w:val="28"/>
        </w:rPr>
        <w:t xml:space="preserve">, 2015 WL 848298 (2015) (unpublished) (State disclosed seven additional witnesses less than two weeks before trial and late disclosure of </w:t>
      </w:r>
      <w:r w:rsidRPr="00B800E7">
        <w:rPr>
          <w:i/>
          <w:sz w:val="28"/>
          <w:szCs w:val="28"/>
        </w:rPr>
        <w:t>Brady</w:t>
      </w:r>
      <w:r w:rsidRPr="00B800E7">
        <w:rPr>
          <w:sz w:val="28"/>
          <w:szCs w:val="28"/>
        </w:rPr>
        <w:t xml:space="preserve"> information;  trial court found violation as to two witnesses and </w:t>
      </w:r>
      <w:r w:rsidRPr="00B800E7">
        <w:rPr>
          <w:sz w:val="28"/>
          <w:szCs w:val="28"/>
        </w:rPr>
        <w:lastRenderedPageBreak/>
        <w:t>preclude</w:t>
      </w:r>
      <w:r w:rsidR="005E7772">
        <w:rPr>
          <w:sz w:val="28"/>
          <w:szCs w:val="28"/>
        </w:rPr>
        <w:t>d</w:t>
      </w:r>
      <w:r w:rsidRPr="00B800E7">
        <w:rPr>
          <w:sz w:val="28"/>
          <w:szCs w:val="28"/>
        </w:rPr>
        <w:t xml:space="preserve"> them</w:t>
      </w:r>
      <w:r w:rsidR="00AD3032" w:rsidRPr="00B800E7">
        <w:rPr>
          <w:sz w:val="28"/>
          <w:szCs w:val="28"/>
        </w:rPr>
        <w:t>,</w:t>
      </w:r>
      <w:r w:rsidR="005E7772">
        <w:rPr>
          <w:sz w:val="28"/>
          <w:szCs w:val="28"/>
        </w:rPr>
        <w:t xml:space="preserve"> and ordered</w:t>
      </w:r>
      <w:r w:rsidRPr="00B800E7">
        <w:rPr>
          <w:sz w:val="28"/>
          <w:szCs w:val="28"/>
        </w:rPr>
        <w:t xml:space="preserve"> reinstatement of final plea offer; </w:t>
      </w:r>
      <w:r w:rsidR="00AD3032" w:rsidRPr="00B800E7">
        <w:rPr>
          <w:sz w:val="28"/>
          <w:szCs w:val="28"/>
        </w:rPr>
        <w:t>Court of Appeals vacated order requiring reinstatement of plea offer)</w:t>
      </w:r>
    </w:p>
    <w:p w:rsidR="00AD3032" w:rsidRPr="00B800E7" w:rsidRDefault="00AD3032" w:rsidP="00AD3032">
      <w:pPr>
        <w:pStyle w:val="ListParagraph"/>
        <w:rPr>
          <w:sz w:val="28"/>
          <w:szCs w:val="28"/>
        </w:rPr>
      </w:pPr>
    </w:p>
    <w:p w:rsidR="00AD3032" w:rsidRPr="00B800E7" w:rsidRDefault="00AD3032" w:rsidP="00AD3032">
      <w:pPr>
        <w:pStyle w:val="ListParagraph"/>
        <w:numPr>
          <w:ilvl w:val="0"/>
          <w:numId w:val="2"/>
        </w:numPr>
        <w:rPr>
          <w:sz w:val="28"/>
          <w:szCs w:val="28"/>
        </w:rPr>
      </w:pPr>
      <w:r w:rsidRPr="00B800E7">
        <w:rPr>
          <w:i/>
          <w:sz w:val="28"/>
          <w:szCs w:val="28"/>
        </w:rPr>
        <w:t>State v. Simmons</w:t>
      </w:r>
      <w:r w:rsidRPr="00B800E7">
        <w:rPr>
          <w:sz w:val="28"/>
          <w:szCs w:val="28"/>
        </w:rPr>
        <w:t xml:space="preserve">, 2014 WL 4437673 (2015) (unpublished)  (Maricopa County Attorney </w:t>
      </w:r>
      <w:r w:rsidR="002F6AF9" w:rsidRPr="00B800E7">
        <w:rPr>
          <w:sz w:val="28"/>
          <w:szCs w:val="28"/>
        </w:rPr>
        <w:t xml:space="preserve">announced that it </w:t>
      </w:r>
      <w:r w:rsidRPr="00B800E7">
        <w:rPr>
          <w:sz w:val="28"/>
          <w:szCs w:val="28"/>
        </w:rPr>
        <w:t xml:space="preserve">delegates police officer file review to law enforcement to determine existence of </w:t>
      </w:r>
      <w:r w:rsidRPr="00B800E7">
        <w:rPr>
          <w:i/>
          <w:sz w:val="28"/>
          <w:szCs w:val="28"/>
        </w:rPr>
        <w:t>Brady</w:t>
      </w:r>
      <w:r w:rsidRPr="00B800E7">
        <w:rPr>
          <w:sz w:val="28"/>
          <w:szCs w:val="28"/>
        </w:rPr>
        <w:t xml:space="preserve"> material; </w:t>
      </w:r>
      <w:r w:rsidR="002F6AF9" w:rsidRPr="00B800E7">
        <w:rPr>
          <w:sz w:val="28"/>
          <w:szCs w:val="28"/>
        </w:rPr>
        <w:t>Court ordered prosecutor to personally review files or submit to court for inspection; prosecutor could not obtain the files before trial and moved to dismiss without prejudice;  trial court’s order dismissing with prejudice reversed by Court of Appeals)</w:t>
      </w:r>
    </w:p>
    <w:p w:rsidR="002F6AF9" w:rsidRPr="00B800E7" w:rsidRDefault="002F6AF9" w:rsidP="002F6AF9">
      <w:pPr>
        <w:pStyle w:val="ListParagraph"/>
        <w:rPr>
          <w:sz w:val="28"/>
          <w:szCs w:val="28"/>
        </w:rPr>
      </w:pPr>
    </w:p>
    <w:p w:rsidR="00F86EF2" w:rsidRPr="00B800E7" w:rsidRDefault="007A055F" w:rsidP="00F86EF2">
      <w:pPr>
        <w:spacing w:line="480" w:lineRule="auto"/>
        <w:ind w:left="360" w:firstLine="360"/>
        <w:rPr>
          <w:sz w:val="28"/>
          <w:szCs w:val="28"/>
        </w:rPr>
      </w:pPr>
      <w:r w:rsidRPr="00B800E7">
        <w:rPr>
          <w:sz w:val="28"/>
          <w:szCs w:val="28"/>
        </w:rPr>
        <w:t>Although no sanction was imposed in many of these cases, there was no question that a discovery violation occurred.</w:t>
      </w:r>
      <w:r w:rsidR="005E7772">
        <w:rPr>
          <w:rStyle w:val="FootnoteReference"/>
          <w:sz w:val="28"/>
          <w:szCs w:val="28"/>
        </w:rPr>
        <w:footnoteReference w:id="4"/>
      </w:r>
      <w:r w:rsidRPr="00B800E7">
        <w:rPr>
          <w:sz w:val="28"/>
          <w:szCs w:val="28"/>
        </w:rPr>
        <w:t xml:space="preserve">  </w:t>
      </w:r>
      <w:r w:rsidR="002C5CFE">
        <w:rPr>
          <w:sz w:val="28"/>
          <w:szCs w:val="28"/>
        </w:rPr>
        <w:t>And the practice continues despite the appellate courts’ continued recognition of the problem.  T</w:t>
      </w:r>
      <w:r w:rsidRPr="002C5CFE">
        <w:rPr>
          <w:sz w:val="28"/>
          <w:szCs w:val="28"/>
        </w:rPr>
        <w:t>his</w:t>
      </w:r>
      <w:r w:rsidRPr="00B800E7">
        <w:rPr>
          <w:sz w:val="28"/>
          <w:szCs w:val="28"/>
        </w:rPr>
        <w:t xml:space="preserve"> proposal is</w:t>
      </w:r>
      <w:r w:rsidR="002C5CFE">
        <w:rPr>
          <w:sz w:val="28"/>
          <w:szCs w:val="28"/>
        </w:rPr>
        <w:t xml:space="preserve"> designed</w:t>
      </w:r>
      <w:r w:rsidRPr="00B800E7">
        <w:rPr>
          <w:sz w:val="28"/>
          <w:szCs w:val="28"/>
        </w:rPr>
        <w:t xml:space="preserve"> to </w:t>
      </w:r>
      <w:r w:rsidR="002C5CFE">
        <w:rPr>
          <w:sz w:val="28"/>
          <w:szCs w:val="28"/>
        </w:rPr>
        <w:t>help</w:t>
      </w:r>
      <w:r w:rsidRPr="00B800E7">
        <w:rPr>
          <w:sz w:val="28"/>
          <w:szCs w:val="28"/>
        </w:rPr>
        <w:t xml:space="preserve"> ensure that discovery violations become less commonplace</w:t>
      </w:r>
      <w:r w:rsidR="002C5CFE">
        <w:rPr>
          <w:sz w:val="28"/>
          <w:szCs w:val="28"/>
        </w:rPr>
        <w:t xml:space="preserve">.  The Superior Court will affirmatively ensure that discovery obligations are being met, and, hopefully, the appellate courts will not </w:t>
      </w:r>
      <w:r w:rsidR="00B66FD8">
        <w:rPr>
          <w:sz w:val="28"/>
          <w:szCs w:val="28"/>
        </w:rPr>
        <w:t>have to</w:t>
      </w:r>
      <w:r w:rsidR="002C5CFE">
        <w:rPr>
          <w:sz w:val="28"/>
          <w:szCs w:val="28"/>
        </w:rPr>
        <w:t xml:space="preserve"> address the issue as often as they are now.</w:t>
      </w:r>
    </w:p>
    <w:p w:rsidR="00F86EF2" w:rsidRPr="00B800E7" w:rsidRDefault="00F86EF2" w:rsidP="00F86EF2">
      <w:pPr>
        <w:ind w:left="360" w:firstLine="360"/>
        <w:jc w:val="center"/>
        <w:rPr>
          <w:b/>
          <w:sz w:val="28"/>
          <w:szCs w:val="28"/>
        </w:rPr>
      </w:pPr>
      <w:r w:rsidRPr="00B800E7">
        <w:rPr>
          <w:b/>
          <w:sz w:val="28"/>
          <w:szCs w:val="28"/>
        </w:rPr>
        <w:t xml:space="preserve">II. </w:t>
      </w:r>
      <w:proofErr w:type="gramStart"/>
      <w:r w:rsidRPr="00B800E7">
        <w:rPr>
          <w:b/>
          <w:sz w:val="28"/>
          <w:szCs w:val="28"/>
        </w:rPr>
        <w:t>The</w:t>
      </w:r>
      <w:proofErr w:type="gramEnd"/>
      <w:r w:rsidRPr="00B800E7">
        <w:rPr>
          <w:b/>
          <w:sz w:val="28"/>
          <w:szCs w:val="28"/>
        </w:rPr>
        <w:t xml:space="preserve"> Proposed Amendment to Rule 16.</w:t>
      </w:r>
      <w:r w:rsidR="00BB1B76" w:rsidRPr="00B800E7">
        <w:rPr>
          <w:b/>
          <w:sz w:val="28"/>
          <w:szCs w:val="28"/>
        </w:rPr>
        <w:t>4</w:t>
      </w:r>
      <w:r w:rsidRPr="00B800E7">
        <w:rPr>
          <w:b/>
          <w:sz w:val="28"/>
          <w:szCs w:val="28"/>
        </w:rPr>
        <w:t xml:space="preserve"> is Meant to Address Disclosure Early in the Criminal Trial Process</w:t>
      </w:r>
    </w:p>
    <w:p w:rsidR="00F86EF2" w:rsidRPr="00B800E7" w:rsidRDefault="00F86EF2" w:rsidP="00F86EF2">
      <w:pPr>
        <w:ind w:left="360" w:firstLine="360"/>
        <w:rPr>
          <w:b/>
          <w:sz w:val="28"/>
          <w:szCs w:val="28"/>
        </w:rPr>
      </w:pPr>
    </w:p>
    <w:p w:rsidR="005E7772" w:rsidRDefault="00F86EF2" w:rsidP="00F86EF2">
      <w:pPr>
        <w:spacing w:line="480" w:lineRule="auto"/>
        <w:ind w:left="360" w:firstLine="360"/>
        <w:rPr>
          <w:sz w:val="28"/>
          <w:szCs w:val="28"/>
        </w:rPr>
      </w:pPr>
      <w:r w:rsidRPr="00B800E7">
        <w:rPr>
          <w:sz w:val="28"/>
          <w:szCs w:val="28"/>
        </w:rPr>
        <w:t>This proposal requires the Court to enter into a colloquy with the prosecutor to ensure that proper measures have been or are being taken to ensure that disclosure obligations are met.  As any frequent visitor to the criminal courts in Arizona know</w:t>
      </w:r>
      <w:r w:rsidR="00BB1B76" w:rsidRPr="00B800E7">
        <w:rPr>
          <w:sz w:val="28"/>
          <w:szCs w:val="28"/>
        </w:rPr>
        <w:t>s</w:t>
      </w:r>
      <w:r w:rsidRPr="00B800E7">
        <w:rPr>
          <w:sz w:val="28"/>
          <w:szCs w:val="28"/>
        </w:rPr>
        <w:t xml:space="preserve">, the familiar mantra by the prosecutor is:  </w:t>
      </w:r>
      <w:r w:rsidR="009204C0" w:rsidRPr="00B800E7">
        <w:rPr>
          <w:sz w:val="28"/>
          <w:szCs w:val="28"/>
        </w:rPr>
        <w:t>“w</w:t>
      </w:r>
      <w:r w:rsidRPr="00B800E7">
        <w:rPr>
          <w:sz w:val="28"/>
          <w:szCs w:val="28"/>
        </w:rPr>
        <w:t xml:space="preserve">e are aware of our </w:t>
      </w:r>
      <w:r w:rsidRPr="00B800E7">
        <w:rPr>
          <w:sz w:val="28"/>
          <w:szCs w:val="28"/>
        </w:rPr>
        <w:lastRenderedPageBreak/>
        <w:t>discovery obligations and we are complying with them.</w:t>
      </w:r>
      <w:r w:rsidR="009204C0" w:rsidRPr="00B800E7">
        <w:rPr>
          <w:sz w:val="28"/>
          <w:szCs w:val="28"/>
        </w:rPr>
        <w:t>”</w:t>
      </w:r>
      <w:r w:rsidRPr="00B800E7">
        <w:rPr>
          <w:sz w:val="28"/>
          <w:szCs w:val="28"/>
        </w:rPr>
        <w:t xml:space="preserve">  The cases, however, reveal that discovery obligations frequently are not met.  </w:t>
      </w:r>
      <w:r w:rsidR="005E7772">
        <w:rPr>
          <w:sz w:val="28"/>
          <w:szCs w:val="28"/>
        </w:rPr>
        <w:t xml:space="preserve">Indeed, twenty-five years ago in </w:t>
      </w:r>
      <w:r w:rsidR="005E7772">
        <w:rPr>
          <w:i/>
          <w:sz w:val="28"/>
          <w:szCs w:val="28"/>
        </w:rPr>
        <w:t xml:space="preserve">Van Den Berg, </w:t>
      </w:r>
      <w:proofErr w:type="gramStart"/>
      <w:r w:rsidR="005E7772">
        <w:rPr>
          <w:i/>
          <w:sz w:val="28"/>
          <w:szCs w:val="28"/>
        </w:rPr>
        <w:t>supra.,</w:t>
      </w:r>
      <w:proofErr w:type="gramEnd"/>
      <w:r w:rsidR="005E7772">
        <w:rPr>
          <w:i/>
          <w:sz w:val="28"/>
          <w:szCs w:val="28"/>
        </w:rPr>
        <w:t xml:space="preserve"> </w:t>
      </w:r>
      <w:r w:rsidR="005E7772">
        <w:rPr>
          <w:sz w:val="28"/>
          <w:szCs w:val="28"/>
        </w:rPr>
        <w:t xml:space="preserve">the Court of Appeals specifically addressed the issue “to prevent repetition.”  </w:t>
      </w:r>
      <w:proofErr w:type="gramStart"/>
      <w:r w:rsidR="005E7772">
        <w:rPr>
          <w:i/>
          <w:sz w:val="28"/>
          <w:szCs w:val="28"/>
        </w:rPr>
        <w:t>Id.</w:t>
      </w:r>
      <w:r w:rsidR="005E7772">
        <w:rPr>
          <w:sz w:val="28"/>
          <w:szCs w:val="28"/>
        </w:rPr>
        <w:t>, at 196, 1079.</w:t>
      </w:r>
      <w:proofErr w:type="gramEnd"/>
      <w:r w:rsidR="005E7772">
        <w:rPr>
          <w:sz w:val="28"/>
          <w:szCs w:val="28"/>
        </w:rPr>
        <w:t xml:space="preserve">  Unfortunately, the problem keeps repeating itself.  </w:t>
      </w:r>
    </w:p>
    <w:p w:rsidR="009204C0" w:rsidRPr="00B800E7" w:rsidRDefault="009204C0" w:rsidP="00F86EF2">
      <w:pPr>
        <w:spacing w:line="480" w:lineRule="auto"/>
        <w:ind w:left="360" w:firstLine="360"/>
        <w:rPr>
          <w:sz w:val="28"/>
          <w:szCs w:val="28"/>
        </w:rPr>
      </w:pPr>
      <w:r w:rsidRPr="00B800E7">
        <w:rPr>
          <w:sz w:val="28"/>
          <w:szCs w:val="28"/>
        </w:rPr>
        <w:t xml:space="preserve">This problem is not unique to Arizona.  </w:t>
      </w:r>
      <w:r w:rsidRPr="00B800E7">
        <w:rPr>
          <w:i/>
          <w:sz w:val="28"/>
          <w:szCs w:val="28"/>
        </w:rPr>
        <w:t>See</w:t>
      </w:r>
      <w:r w:rsidRPr="00B800E7">
        <w:rPr>
          <w:sz w:val="28"/>
          <w:szCs w:val="28"/>
        </w:rPr>
        <w:t xml:space="preserve">, </w:t>
      </w:r>
      <w:r w:rsidRPr="00B800E7">
        <w:rPr>
          <w:i/>
          <w:sz w:val="28"/>
          <w:szCs w:val="28"/>
        </w:rPr>
        <w:t>e.g.</w:t>
      </w:r>
      <w:r w:rsidRPr="00B800E7">
        <w:rPr>
          <w:sz w:val="28"/>
          <w:szCs w:val="28"/>
        </w:rPr>
        <w:t xml:space="preserve">, </w:t>
      </w:r>
      <w:r w:rsidRPr="00B800E7">
        <w:rPr>
          <w:i/>
          <w:sz w:val="28"/>
          <w:szCs w:val="28"/>
        </w:rPr>
        <w:t>United States v. Olsen</w:t>
      </w:r>
      <w:r w:rsidRPr="00B800E7">
        <w:rPr>
          <w:sz w:val="28"/>
          <w:szCs w:val="28"/>
        </w:rPr>
        <w:t>, 737 F.3d 625, 626 (9</w:t>
      </w:r>
      <w:r w:rsidRPr="00B800E7">
        <w:rPr>
          <w:sz w:val="28"/>
          <w:szCs w:val="28"/>
          <w:vertAlign w:val="superscript"/>
        </w:rPr>
        <w:t>th</w:t>
      </w:r>
      <w:r w:rsidRPr="00B800E7">
        <w:rPr>
          <w:sz w:val="28"/>
          <w:szCs w:val="28"/>
        </w:rPr>
        <w:t xml:space="preserve"> </w:t>
      </w:r>
      <w:proofErr w:type="gramStart"/>
      <w:r w:rsidRPr="00B800E7">
        <w:rPr>
          <w:sz w:val="28"/>
          <w:szCs w:val="28"/>
        </w:rPr>
        <w:t>Cir.,</w:t>
      </w:r>
      <w:proofErr w:type="gramEnd"/>
      <w:r w:rsidRPr="00B800E7">
        <w:rPr>
          <w:sz w:val="28"/>
          <w:szCs w:val="28"/>
        </w:rPr>
        <w:t xml:space="preserve"> 2013) (</w:t>
      </w:r>
      <w:proofErr w:type="spellStart"/>
      <w:r w:rsidRPr="00B800E7">
        <w:rPr>
          <w:sz w:val="28"/>
          <w:szCs w:val="28"/>
        </w:rPr>
        <w:t>Kozinski</w:t>
      </w:r>
      <w:proofErr w:type="spellEnd"/>
      <w:r w:rsidRPr="00B800E7">
        <w:rPr>
          <w:sz w:val="28"/>
          <w:szCs w:val="28"/>
        </w:rPr>
        <w:t xml:space="preserve">, J., dissenting from denial of rehearing </w:t>
      </w:r>
      <w:proofErr w:type="spellStart"/>
      <w:r w:rsidRPr="00B800E7">
        <w:rPr>
          <w:sz w:val="28"/>
          <w:szCs w:val="28"/>
        </w:rPr>
        <w:t>en</w:t>
      </w:r>
      <w:proofErr w:type="spellEnd"/>
      <w:r w:rsidRPr="00B800E7">
        <w:rPr>
          <w:sz w:val="28"/>
          <w:szCs w:val="28"/>
        </w:rPr>
        <w:t xml:space="preserve"> banc) (describing an “epidemic of </w:t>
      </w:r>
      <w:r w:rsidRPr="00B800E7">
        <w:rPr>
          <w:i/>
          <w:sz w:val="28"/>
          <w:szCs w:val="28"/>
        </w:rPr>
        <w:t xml:space="preserve">Brady violations </w:t>
      </w:r>
      <w:r w:rsidRPr="00B800E7">
        <w:rPr>
          <w:sz w:val="28"/>
          <w:szCs w:val="28"/>
        </w:rPr>
        <w:t>abroad in the land”</w:t>
      </w:r>
      <w:r w:rsidR="00317CCE" w:rsidRPr="00B800E7">
        <w:rPr>
          <w:sz w:val="28"/>
          <w:szCs w:val="28"/>
        </w:rPr>
        <w:t>); Jones, A Reason to Doubt:  The Suppression of Evidence and the Inference of Innoce</w:t>
      </w:r>
      <w:r w:rsidR="00960CF5" w:rsidRPr="00B800E7">
        <w:rPr>
          <w:sz w:val="28"/>
          <w:szCs w:val="28"/>
        </w:rPr>
        <w:t>nce</w:t>
      </w:r>
      <w:r w:rsidR="00317CCE" w:rsidRPr="00B800E7">
        <w:rPr>
          <w:sz w:val="28"/>
          <w:szCs w:val="28"/>
        </w:rPr>
        <w:t>.  100 Journal of Crim. Law and Criminology 415 (</w:t>
      </w:r>
      <w:proofErr w:type="gramStart"/>
      <w:r w:rsidR="00317CCE" w:rsidRPr="00B800E7">
        <w:rPr>
          <w:sz w:val="28"/>
          <w:szCs w:val="28"/>
        </w:rPr>
        <w:t>Spring</w:t>
      </w:r>
      <w:proofErr w:type="gramEnd"/>
      <w:r w:rsidR="00317CCE" w:rsidRPr="00B800E7">
        <w:rPr>
          <w:sz w:val="28"/>
          <w:szCs w:val="28"/>
        </w:rPr>
        <w:t>, 2010).</w:t>
      </w:r>
    </w:p>
    <w:p w:rsidR="009204C0" w:rsidRPr="00B800E7" w:rsidRDefault="009204C0" w:rsidP="00F86EF2">
      <w:pPr>
        <w:spacing w:line="480" w:lineRule="auto"/>
        <w:ind w:left="360" w:firstLine="360"/>
        <w:rPr>
          <w:sz w:val="28"/>
          <w:szCs w:val="28"/>
        </w:rPr>
      </w:pPr>
      <w:r w:rsidRPr="00B800E7">
        <w:rPr>
          <w:sz w:val="28"/>
          <w:szCs w:val="28"/>
        </w:rPr>
        <w:t xml:space="preserve">Policing the prosecutor’s </w:t>
      </w:r>
      <w:r w:rsidRPr="00B800E7">
        <w:rPr>
          <w:i/>
          <w:sz w:val="28"/>
          <w:szCs w:val="28"/>
        </w:rPr>
        <w:t>Brady</w:t>
      </w:r>
      <w:r w:rsidRPr="00B800E7">
        <w:rPr>
          <w:sz w:val="28"/>
          <w:szCs w:val="28"/>
        </w:rPr>
        <w:t xml:space="preserve"> obligations is difficult, as evidenced by the multitude of cases cited earlier.  As described in one article, “</w:t>
      </w:r>
      <w:r w:rsidRPr="00B800E7">
        <w:rPr>
          <w:i/>
          <w:sz w:val="28"/>
          <w:szCs w:val="28"/>
        </w:rPr>
        <w:t>Brady</w:t>
      </w:r>
      <w:r w:rsidRPr="00B800E7">
        <w:rPr>
          <w:sz w:val="28"/>
          <w:szCs w:val="28"/>
        </w:rPr>
        <w:t xml:space="preserve"> violations almost always defy detection.  The cops know it.  The prosecutors know it.  The defense and the defendant have no idea whether </w:t>
      </w:r>
      <w:r w:rsidRPr="00B800E7">
        <w:rPr>
          <w:i/>
          <w:sz w:val="28"/>
          <w:szCs w:val="28"/>
        </w:rPr>
        <w:t xml:space="preserve">Brady </w:t>
      </w:r>
      <w:r w:rsidRPr="00B800E7">
        <w:rPr>
          <w:sz w:val="28"/>
          <w:szCs w:val="28"/>
        </w:rPr>
        <w:t xml:space="preserve">material exists.”  </w:t>
      </w:r>
      <w:proofErr w:type="gramStart"/>
      <w:r w:rsidRPr="00B800E7">
        <w:rPr>
          <w:sz w:val="28"/>
          <w:szCs w:val="28"/>
        </w:rPr>
        <w:t xml:space="preserve">Greenfield, </w:t>
      </w:r>
      <w:r w:rsidRPr="00B800E7">
        <w:rPr>
          <w:i/>
          <w:sz w:val="28"/>
          <w:szCs w:val="28"/>
        </w:rPr>
        <w:t>The Flood Gates M</w:t>
      </w:r>
      <w:r w:rsidR="009A7375" w:rsidRPr="00B800E7">
        <w:rPr>
          <w:i/>
          <w:sz w:val="28"/>
          <w:szCs w:val="28"/>
        </w:rPr>
        <w:t>y</w:t>
      </w:r>
      <w:r w:rsidRPr="00B800E7">
        <w:rPr>
          <w:i/>
          <w:sz w:val="28"/>
          <w:szCs w:val="28"/>
        </w:rPr>
        <w:t>th</w:t>
      </w:r>
      <w:r w:rsidR="009A7375" w:rsidRPr="00B800E7">
        <w:rPr>
          <w:sz w:val="28"/>
          <w:szCs w:val="28"/>
        </w:rPr>
        <w:t xml:space="preserve">, Simple Justice, A Criminal Defense Blog </w:t>
      </w:r>
      <w:r w:rsidRPr="00B800E7">
        <w:rPr>
          <w:sz w:val="28"/>
          <w:szCs w:val="28"/>
        </w:rPr>
        <w:t xml:space="preserve">(Feb. 16, 2015), </w:t>
      </w:r>
      <w:hyperlink r:id="rId10" w:history="1">
        <w:r w:rsidRPr="00B800E7">
          <w:rPr>
            <w:rStyle w:val="Hyperlink"/>
            <w:sz w:val="28"/>
            <w:szCs w:val="28"/>
          </w:rPr>
          <w:t>http://blog.simplejustice.us/2015/02/16/the-flood-gates-myth/</w:t>
        </w:r>
      </w:hyperlink>
      <w:r w:rsidRPr="00B800E7">
        <w:rPr>
          <w:sz w:val="28"/>
          <w:szCs w:val="28"/>
        </w:rPr>
        <w:t xml:space="preserve"> </w:t>
      </w:r>
      <w:r w:rsidR="0041466B">
        <w:rPr>
          <w:sz w:val="28"/>
          <w:szCs w:val="28"/>
        </w:rPr>
        <w:t>(last visited Oct. 19, 2015).</w:t>
      </w:r>
      <w:proofErr w:type="gramEnd"/>
      <w:r w:rsidRPr="00B800E7">
        <w:rPr>
          <w:sz w:val="28"/>
          <w:szCs w:val="28"/>
        </w:rPr>
        <w:t xml:space="preserve"> </w:t>
      </w:r>
    </w:p>
    <w:p w:rsidR="00857253" w:rsidRPr="00B800E7" w:rsidRDefault="00857253" w:rsidP="00F86EF2">
      <w:pPr>
        <w:spacing w:line="480" w:lineRule="auto"/>
        <w:ind w:left="360" w:firstLine="360"/>
        <w:rPr>
          <w:sz w:val="28"/>
          <w:szCs w:val="28"/>
        </w:rPr>
      </w:pPr>
      <w:r w:rsidRPr="00B800E7">
        <w:rPr>
          <w:sz w:val="28"/>
          <w:szCs w:val="28"/>
        </w:rPr>
        <w:t xml:space="preserve">As one commentator has noted, the </w:t>
      </w:r>
      <w:r w:rsidRPr="00B800E7">
        <w:rPr>
          <w:i/>
          <w:sz w:val="28"/>
          <w:szCs w:val="28"/>
        </w:rPr>
        <w:t>Brady</w:t>
      </w:r>
      <w:r w:rsidRPr="00B800E7">
        <w:rPr>
          <w:sz w:val="28"/>
          <w:szCs w:val="28"/>
        </w:rPr>
        <w:t xml:space="preserve"> obligation is one of the most unenforced constitutional mandates in the criminal justice system.  </w:t>
      </w:r>
      <w:proofErr w:type="gramStart"/>
      <w:r w:rsidRPr="00B800E7">
        <w:rPr>
          <w:sz w:val="28"/>
          <w:szCs w:val="28"/>
        </w:rPr>
        <w:t xml:space="preserve">Jones, </w:t>
      </w:r>
      <w:r w:rsidRPr="00B800E7">
        <w:rPr>
          <w:i/>
          <w:sz w:val="28"/>
          <w:szCs w:val="28"/>
        </w:rPr>
        <w:t>supra</w:t>
      </w:r>
      <w:r w:rsidRPr="00B800E7">
        <w:rPr>
          <w:sz w:val="28"/>
          <w:szCs w:val="28"/>
        </w:rPr>
        <w:t xml:space="preserve">, at 434, citing </w:t>
      </w:r>
      <w:proofErr w:type="spellStart"/>
      <w:r w:rsidRPr="00B800E7">
        <w:rPr>
          <w:sz w:val="28"/>
          <w:szCs w:val="28"/>
        </w:rPr>
        <w:t>Gershman</w:t>
      </w:r>
      <w:proofErr w:type="spellEnd"/>
      <w:r w:rsidRPr="00B800E7">
        <w:rPr>
          <w:sz w:val="28"/>
          <w:szCs w:val="28"/>
        </w:rPr>
        <w:t xml:space="preserve">, Prosecutorial Misconduct, §§ 5:1, 5:3 (2d ed. </w:t>
      </w:r>
      <w:r w:rsidRPr="00B800E7">
        <w:rPr>
          <w:sz w:val="28"/>
          <w:szCs w:val="28"/>
        </w:rPr>
        <w:lastRenderedPageBreak/>
        <w:t>2002) (“Nondisclosure of exculpatory evidence by prosecutors . . . account[s] for more miscarriages of justice than any other type of prosecutorial infraction.”).</w:t>
      </w:r>
      <w:proofErr w:type="gramEnd"/>
    </w:p>
    <w:p w:rsidR="00317CCE" w:rsidRPr="00B800E7" w:rsidRDefault="003B6FC5" w:rsidP="00317CCE">
      <w:pPr>
        <w:spacing w:line="480" w:lineRule="auto"/>
        <w:ind w:left="360" w:firstLine="360"/>
        <w:rPr>
          <w:sz w:val="28"/>
          <w:szCs w:val="28"/>
        </w:rPr>
      </w:pPr>
      <w:r>
        <w:rPr>
          <w:sz w:val="28"/>
          <w:szCs w:val="28"/>
        </w:rPr>
        <w:t xml:space="preserve">Another solution should be tried because of </w:t>
      </w:r>
      <w:r w:rsidR="00E92C7A" w:rsidRPr="00B800E7">
        <w:rPr>
          <w:sz w:val="28"/>
          <w:szCs w:val="28"/>
        </w:rPr>
        <w:t xml:space="preserve">the demonstrated difficulty in holding prosecutors accountable for complying with </w:t>
      </w:r>
      <w:r w:rsidR="00E92C7A" w:rsidRPr="00B800E7">
        <w:rPr>
          <w:i/>
          <w:sz w:val="28"/>
          <w:szCs w:val="28"/>
        </w:rPr>
        <w:t>Brady</w:t>
      </w:r>
      <w:r w:rsidR="00E92C7A" w:rsidRPr="00B800E7">
        <w:rPr>
          <w:sz w:val="28"/>
          <w:szCs w:val="28"/>
        </w:rPr>
        <w:t xml:space="preserve"> / Rule 15 obligations, the understandable reluctance of the appellate courts to reverse convictions if the misconduct does not appear prejudicial, </w:t>
      </w:r>
      <w:r w:rsidR="00B92484" w:rsidRPr="00B800E7">
        <w:rPr>
          <w:sz w:val="28"/>
          <w:szCs w:val="28"/>
        </w:rPr>
        <w:t xml:space="preserve">and the history of </w:t>
      </w:r>
      <w:r w:rsidR="00B92484" w:rsidRPr="00B800E7">
        <w:rPr>
          <w:i/>
          <w:sz w:val="28"/>
          <w:szCs w:val="28"/>
        </w:rPr>
        <w:t>Brady</w:t>
      </w:r>
      <w:r w:rsidR="00B92484" w:rsidRPr="00B800E7">
        <w:rPr>
          <w:sz w:val="28"/>
          <w:szCs w:val="28"/>
        </w:rPr>
        <w:t xml:space="preserve"> violations within the State</w:t>
      </w:r>
      <w:r>
        <w:rPr>
          <w:sz w:val="28"/>
          <w:szCs w:val="28"/>
        </w:rPr>
        <w:t>.</w:t>
      </w:r>
      <w:r w:rsidR="00317CCE" w:rsidRPr="00B800E7">
        <w:rPr>
          <w:sz w:val="28"/>
          <w:szCs w:val="28"/>
        </w:rPr>
        <w:t xml:space="preserve">  The</w:t>
      </w:r>
      <w:r w:rsidR="00B92484" w:rsidRPr="00B800E7">
        <w:rPr>
          <w:sz w:val="28"/>
          <w:szCs w:val="28"/>
        </w:rPr>
        <w:t xml:space="preserve"> proposed</w:t>
      </w:r>
      <w:r w:rsidR="00317CCE" w:rsidRPr="00B800E7">
        <w:rPr>
          <w:sz w:val="28"/>
          <w:szCs w:val="28"/>
        </w:rPr>
        <w:t xml:space="preserve"> </w:t>
      </w:r>
      <w:r w:rsidR="00317CCE" w:rsidRPr="00B800E7">
        <w:rPr>
          <w:i/>
          <w:sz w:val="28"/>
          <w:szCs w:val="28"/>
        </w:rPr>
        <w:t xml:space="preserve">Brady </w:t>
      </w:r>
      <w:r w:rsidR="00317CCE" w:rsidRPr="00B800E7">
        <w:rPr>
          <w:sz w:val="28"/>
          <w:szCs w:val="28"/>
        </w:rPr>
        <w:t>colloquy will not burden the Court (only asking a few questions at the pre-hearing conferences) and will not burden the prosecutor because she is required to conduct the review in any event</w:t>
      </w:r>
      <w:r w:rsidR="00317CCE" w:rsidRPr="00B800E7">
        <w:rPr>
          <w:rStyle w:val="FootnoteReference"/>
          <w:sz w:val="28"/>
          <w:szCs w:val="28"/>
        </w:rPr>
        <w:footnoteReference w:id="5"/>
      </w:r>
      <w:r w:rsidR="00317CCE" w:rsidRPr="00B800E7">
        <w:rPr>
          <w:sz w:val="28"/>
          <w:szCs w:val="28"/>
        </w:rPr>
        <w:t>.  The colloquy simply reminds the prosecutor of h</w:t>
      </w:r>
      <w:r w:rsidR="00E9502E">
        <w:rPr>
          <w:sz w:val="28"/>
          <w:szCs w:val="28"/>
        </w:rPr>
        <w:t>er</w:t>
      </w:r>
      <w:r w:rsidR="00317CCE" w:rsidRPr="00B800E7">
        <w:rPr>
          <w:sz w:val="28"/>
          <w:szCs w:val="28"/>
        </w:rPr>
        <w:t xml:space="preserve"> obligations.  Once the colloquy becomes part of the culture, it is anticipated that the number of issues will decline significantly.  </w:t>
      </w:r>
      <w:r w:rsidR="00317CCE" w:rsidRPr="00B800E7">
        <w:rPr>
          <w:i/>
          <w:sz w:val="28"/>
          <w:szCs w:val="28"/>
        </w:rPr>
        <w:t>See</w:t>
      </w:r>
      <w:r w:rsidR="00317CCE" w:rsidRPr="00B800E7">
        <w:rPr>
          <w:sz w:val="28"/>
          <w:szCs w:val="28"/>
        </w:rPr>
        <w:t xml:space="preserve">, generally, </w:t>
      </w:r>
      <w:proofErr w:type="spellStart"/>
      <w:r w:rsidR="00317CCE" w:rsidRPr="00B800E7">
        <w:rPr>
          <w:sz w:val="28"/>
          <w:szCs w:val="28"/>
        </w:rPr>
        <w:t>Kreig</w:t>
      </w:r>
      <w:proofErr w:type="spellEnd"/>
      <w:r w:rsidR="00317CCE" w:rsidRPr="00B800E7">
        <w:rPr>
          <w:sz w:val="28"/>
          <w:szCs w:val="28"/>
        </w:rPr>
        <w:t xml:space="preserve">, The </w:t>
      </w:r>
      <w:r w:rsidR="00317CCE" w:rsidRPr="00B800E7">
        <w:rPr>
          <w:i/>
          <w:sz w:val="28"/>
          <w:szCs w:val="28"/>
        </w:rPr>
        <w:t>Brady</w:t>
      </w:r>
      <w:r w:rsidR="00317CCE" w:rsidRPr="00B800E7">
        <w:rPr>
          <w:sz w:val="28"/>
          <w:szCs w:val="28"/>
        </w:rPr>
        <w:t xml:space="preserve"> Colloquy, 67 Stan. L. Rev. Online 47 (2014).</w:t>
      </w:r>
    </w:p>
    <w:p w:rsidR="00AD3F25" w:rsidRDefault="00552149" w:rsidP="00BB1B76">
      <w:pPr>
        <w:tabs>
          <w:tab w:val="left" w:pos="1476"/>
        </w:tabs>
        <w:spacing w:line="480" w:lineRule="auto"/>
        <w:ind w:left="360"/>
        <w:rPr>
          <w:sz w:val="28"/>
          <w:szCs w:val="28"/>
        </w:rPr>
      </w:pPr>
      <w:r>
        <w:rPr>
          <w:sz w:val="28"/>
          <w:szCs w:val="28"/>
        </w:rPr>
        <w:tab/>
      </w:r>
      <w:r w:rsidR="00B92484" w:rsidRPr="00B800E7">
        <w:rPr>
          <w:sz w:val="28"/>
          <w:szCs w:val="28"/>
        </w:rPr>
        <w:t>For these reasons, it is respectfully requested that the Court amend Rule 16.4, as proposed in the Appendix.</w:t>
      </w:r>
    </w:p>
    <w:p w:rsidR="00AD3F25" w:rsidRDefault="00AD3F25">
      <w:pPr>
        <w:rPr>
          <w:sz w:val="28"/>
          <w:szCs w:val="28"/>
        </w:rPr>
      </w:pPr>
      <w:r>
        <w:rPr>
          <w:sz w:val="28"/>
          <w:szCs w:val="28"/>
        </w:rPr>
        <w:br w:type="page"/>
      </w:r>
    </w:p>
    <w:p w:rsidR="00F26509" w:rsidRDefault="00F26509" w:rsidP="00F32FC9">
      <w:pPr>
        <w:rPr>
          <w:sz w:val="28"/>
          <w:szCs w:val="28"/>
        </w:rPr>
      </w:pPr>
      <w:r w:rsidRPr="00B800E7">
        <w:rPr>
          <w:sz w:val="28"/>
          <w:szCs w:val="28"/>
        </w:rPr>
        <w:lastRenderedPageBreak/>
        <w:tab/>
      </w:r>
      <w:r w:rsidR="00205382">
        <w:rPr>
          <w:sz w:val="28"/>
          <w:szCs w:val="28"/>
        </w:rPr>
        <w:tab/>
      </w:r>
      <w:r w:rsidRPr="00B800E7">
        <w:rPr>
          <w:sz w:val="28"/>
          <w:szCs w:val="28"/>
        </w:rPr>
        <w:t xml:space="preserve">Dated this </w:t>
      </w:r>
      <w:r w:rsidR="003C17F8">
        <w:rPr>
          <w:sz w:val="28"/>
          <w:szCs w:val="28"/>
        </w:rPr>
        <w:t>22</w:t>
      </w:r>
      <w:r w:rsidR="003C17F8" w:rsidRPr="003C17F8">
        <w:rPr>
          <w:sz w:val="28"/>
          <w:szCs w:val="28"/>
          <w:vertAlign w:val="superscript"/>
        </w:rPr>
        <w:t>nd</w:t>
      </w:r>
      <w:r w:rsidR="003C17F8">
        <w:rPr>
          <w:sz w:val="28"/>
          <w:szCs w:val="28"/>
        </w:rPr>
        <w:t xml:space="preserve"> d</w:t>
      </w:r>
      <w:bookmarkStart w:id="2" w:name="_GoBack"/>
      <w:bookmarkEnd w:id="2"/>
      <w:r w:rsidRPr="00B800E7">
        <w:rPr>
          <w:sz w:val="28"/>
          <w:szCs w:val="28"/>
        </w:rPr>
        <w:t xml:space="preserve">ay of </w:t>
      </w:r>
      <w:r w:rsidR="00EB2226">
        <w:rPr>
          <w:sz w:val="28"/>
          <w:szCs w:val="28"/>
        </w:rPr>
        <w:t>October, 2015.</w:t>
      </w:r>
    </w:p>
    <w:p w:rsidR="00AD3F25" w:rsidRPr="00B800E7" w:rsidRDefault="00AD3F25" w:rsidP="00F32FC9">
      <w:pPr>
        <w:rPr>
          <w:sz w:val="28"/>
          <w:szCs w:val="28"/>
        </w:rPr>
      </w:pPr>
    </w:p>
    <w:p w:rsidR="00F26509" w:rsidRPr="00B800E7" w:rsidRDefault="00F26509" w:rsidP="00195DD7">
      <w:pPr>
        <w:tabs>
          <w:tab w:val="left" w:pos="3553"/>
        </w:tabs>
        <w:rPr>
          <w:sz w:val="28"/>
          <w:szCs w:val="28"/>
        </w:rPr>
      </w:pPr>
    </w:p>
    <w:p w:rsidR="00F26509" w:rsidRPr="00B800E7" w:rsidRDefault="00F26509" w:rsidP="00195DD7">
      <w:pPr>
        <w:tabs>
          <w:tab w:val="left" w:pos="3553"/>
        </w:tabs>
        <w:rPr>
          <w:sz w:val="28"/>
          <w:szCs w:val="28"/>
        </w:rPr>
      </w:pPr>
      <w:r w:rsidRPr="00B800E7">
        <w:rPr>
          <w:sz w:val="28"/>
          <w:szCs w:val="28"/>
        </w:rPr>
        <w:tab/>
      </w:r>
      <w:r w:rsidR="006300DA" w:rsidRPr="00B800E7">
        <w:rPr>
          <w:sz w:val="28"/>
          <w:szCs w:val="28"/>
        </w:rPr>
        <w:t>MARTY LIEBERMAN</w:t>
      </w:r>
    </w:p>
    <w:p w:rsidR="00F26509" w:rsidRPr="00B800E7" w:rsidRDefault="009E0DE6" w:rsidP="00195DD7">
      <w:pPr>
        <w:tabs>
          <w:tab w:val="left" w:pos="3553"/>
        </w:tabs>
        <w:rPr>
          <w:sz w:val="28"/>
          <w:szCs w:val="28"/>
        </w:rPr>
      </w:pPr>
      <w:r w:rsidRPr="00B800E7">
        <w:rPr>
          <w:sz w:val="28"/>
          <w:szCs w:val="28"/>
        </w:rPr>
        <w:tab/>
        <w:t>Office of t</w:t>
      </w:r>
      <w:r w:rsidR="00F26509" w:rsidRPr="00B800E7">
        <w:rPr>
          <w:sz w:val="28"/>
          <w:szCs w:val="28"/>
        </w:rPr>
        <w:t>he Legal Defender</w:t>
      </w:r>
    </w:p>
    <w:p w:rsidR="00F26509" w:rsidRPr="00B800E7" w:rsidRDefault="00F26509" w:rsidP="00195DD7">
      <w:pPr>
        <w:tabs>
          <w:tab w:val="left" w:pos="3553"/>
        </w:tabs>
        <w:rPr>
          <w:sz w:val="28"/>
          <w:szCs w:val="28"/>
        </w:rPr>
      </w:pPr>
    </w:p>
    <w:p w:rsidR="00F26509" w:rsidRPr="00B800E7" w:rsidRDefault="00F26509" w:rsidP="00195DD7">
      <w:pPr>
        <w:tabs>
          <w:tab w:val="left" w:pos="3553"/>
        </w:tabs>
        <w:rPr>
          <w:sz w:val="28"/>
          <w:szCs w:val="28"/>
        </w:rPr>
      </w:pPr>
    </w:p>
    <w:p w:rsidR="00F26509" w:rsidRPr="00B800E7" w:rsidRDefault="00F26509" w:rsidP="00195DD7">
      <w:pPr>
        <w:tabs>
          <w:tab w:val="left" w:pos="3553"/>
          <w:tab w:val="left" w:pos="3927"/>
        </w:tabs>
        <w:rPr>
          <w:sz w:val="28"/>
          <w:szCs w:val="28"/>
        </w:rPr>
      </w:pPr>
      <w:r w:rsidRPr="00B800E7">
        <w:rPr>
          <w:sz w:val="28"/>
          <w:szCs w:val="28"/>
        </w:rPr>
        <w:tab/>
      </w:r>
      <w:proofErr w:type="gramStart"/>
      <w:r w:rsidRPr="00B800E7">
        <w:rPr>
          <w:sz w:val="28"/>
          <w:szCs w:val="28"/>
        </w:rPr>
        <w:t xml:space="preserve">By </w:t>
      </w:r>
      <w:r w:rsidR="00C73CF7">
        <w:rPr>
          <w:sz w:val="28"/>
          <w:szCs w:val="28"/>
        </w:rPr>
        <w:t xml:space="preserve"> /</w:t>
      </w:r>
      <w:proofErr w:type="gramEnd"/>
      <w:r w:rsidR="00C73CF7">
        <w:rPr>
          <w:sz w:val="28"/>
          <w:szCs w:val="28"/>
        </w:rPr>
        <w:t>s/ Marty Lieberman</w:t>
      </w:r>
    </w:p>
    <w:p w:rsidR="00F26509" w:rsidRPr="00B800E7" w:rsidRDefault="00DA68EF" w:rsidP="00294152">
      <w:pPr>
        <w:tabs>
          <w:tab w:val="left" w:pos="3927"/>
        </w:tabs>
        <w:rPr>
          <w:sz w:val="28"/>
          <w:szCs w:val="28"/>
        </w:rPr>
      </w:pPr>
      <w:r w:rsidRPr="00B800E7">
        <w:rPr>
          <w:noProof/>
          <w:sz w:val="28"/>
          <w:szCs w:val="28"/>
        </w:rPr>
        <mc:AlternateContent>
          <mc:Choice Requires="wps">
            <w:drawing>
              <wp:anchor distT="0" distB="0" distL="114300" distR="114300" simplePos="0" relativeHeight="251657728" behindDoc="0" locked="0" layoutInCell="1" allowOverlap="1" wp14:anchorId="42A5794C" wp14:editId="612B1EBE">
                <wp:simplePos x="0" y="0"/>
                <wp:positionH relativeFrom="column">
                  <wp:posOffset>2493645</wp:posOffset>
                </wp:positionH>
                <wp:positionV relativeFrom="paragraph">
                  <wp:posOffset>24130</wp:posOffset>
                </wp:positionV>
                <wp:extent cx="30873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9pt" to="43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gi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"/>
            </w:pict>
          </mc:Fallback>
        </mc:AlternateContent>
      </w:r>
      <w:r w:rsidR="00C3561D" w:rsidRPr="00B800E7">
        <w:rPr>
          <w:sz w:val="28"/>
          <w:szCs w:val="28"/>
        </w:rPr>
        <w:tab/>
      </w:r>
      <w:r w:rsidR="002735D0" w:rsidRPr="00B800E7">
        <w:rPr>
          <w:sz w:val="28"/>
          <w:szCs w:val="28"/>
        </w:rPr>
        <w:fldChar w:fldCharType="begin"/>
      </w:r>
      <w:r w:rsidR="002735D0" w:rsidRPr="00B800E7">
        <w:rPr>
          <w:sz w:val="28"/>
          <w:szCs w:val="28"/>
        </w:rPr>
        <w:instrText xml:space="preserve"> DOCVARIABLE  Atty  \* MERGEFORMAT </w:instrText>
      </w:r>
      <w:r w:rsidR="002735D0" w:rsidRPr="00B800E7">
        <w:rPr>
          <w:sz w:val="28"/>
          <w:szCs w:val="28"/>
        </w:rPr>
        <w:fldChar w:fldCharType="separate"/>
      </w:r>
      <w:r w:rsidR="004C5DE3" w:rsidRPr="00B800E7">
        <w:rPr>
          <w:sz w:val="28"/>
          <w:szCs w:val="28"/>
        </w:rPr>
        <w:t>Marty Lieberman</w:t>
      </w:r>
      <w:r w:rsidR="002735D0" w:rsidRPr="00B800E7">
        <w:rPr>
          <w:sz w:val="28"/>
          <w:szCs w:val="28"/>
        </w:rPr>
        <w:fldChar w:fldCharType="end"/>
      </w:r>
    </w:p>
    <w:p w:rsidR="00C3561D" w:rsidRPr="00B800E7" w:rsidRDefault="00294152" w:rsidP="00294152">
      <w:pPr>
        <w:tabs>
          <w:tab w:val="left" w:pos="3927"/>
        </w:tabs>
        <w:rPr>
          <w:sz w:val="28"/>
          <w:szCs w:val="28"/>
        </w:rPr>
      </w:pPr>
      <w:r w:rsidRPr="00B800E7">
        <w:rPr>
          <w:sz w:val="28"/>
          <w:szCs w:val="28"/>
        </w:rPr>
        <w:tab/>
      </w:r>
      <w:r w:rsidR="00F508D9" w:rsidRPr="00B800E7">
        <w:rPr>
          <w:sz w:val="28"/>
          <w:szCs w:val="28"/>
        </w:rPr>
        <w:t>Legal Defender</w:t>
      </w:r>
    </w:p>
    <w:p w:rsidR="00C35DCA" w:rsidRDefault="00C35DCA" w:rsidP="00CA0CA8">
      <w:pPr>
        <w:rPr>
          <w:sz w:val="28"/>
          <w:szCs w:val="28"/>
        </w:rPr>
      </w:pPr>
    </w:p>
    <w:p w:rsidR="00AB1C85" w:rsidRDefault="00AB1C85" w:rsidP="00CA0CA8">
      <w:pPr>
        <w:rPr>
          <w:sz w:val="28"/>
          <w:szCs w:val="28"/>
        </w:rPr>
      </w:pPr>
    </w:p>
    <w:p w:rsidR="00AB1C85" w:rsidRDefault="00AB1C85" w:rsidP="00CA0CA8">
      <w:pPr>
        <w:rPr>
          <w:sz w:val="28"/>
          <w:szCs w:val="28"/>
        </w:rPr>
      </w:pPr>
      <w:r>
        <w:rPr>
          <w:sz w:val="28"/>
          <w:szCs w:val="28"/>
        </w:rPr>
        <w:t xml:space="preserve">Electronic copy filed with the </w:t>
      </w:r>
    </w:p>
    <w:p w:rsidR="00AB1C85" w:rsidRDefault="00AB1C85" w:rsidP="00CA0CA8">
      <w:pPr>
        <w:rPr>
          <w:sz w:val="28"/>
          <w:szCs w:val="28"/>
        </w:rPr>
      </w:pPr>
      <w:r>
        <w:rPr>
          <w:sz w:val="28"/>
          <w:szCs w:val="28"/>
        </w:rPr>
        <w:t>Clerk of the Supreme Court of</w:t>
      </w:r>
    </w:p>
    <w:p w:rsidR="00AB1C85" w:rsidRDefault="00AB1C85" w:rsidP="00CA0CA8">
      <w:pPr>
        <w:rPr>
          <w:sz w:val="28"/>
          <w:szCs w:val="28"/>
        </w:rPr>
      </w:pPr>
      <w:r>
        <w:rPr>
          <w:sz w:val="28"/>
          <w:szCs w:val="28"/>
        </w:rPr>
        <w:t>Arizona this 22</w:t>
      </w:r>
      <w:r w:rsidRPr="00AB1C85">
        <w:rPr>
          <w:sz w:val="28"/>
          <w:szCs w:val="28"/>
          <w:vertAlign w:val="superscript"/>
        </w:rPr>
        <w:t>nd</w:t>
      </w:r>
      <w:r>
        <w:rPr>
          <w:sz w:val="28"/>
          <w:szCs w:val="28"/>
        </w:rPr>
        <w:t xml:space="preserve"> day of October,</w:t>
      </w:r>
    </w:p>
    <w:p w:rsidR="00AB1C85" w:rsidRDefault="00AB1C85" w:rsidP="00CA0CA8">
      <w:pPr>
        <w:rPr>
          <w:sz w:val="28"/>
          <w:szCs w:val="28"/>
        </w:rPr>
      </w:pPr>
      <w:r>
        <w:rPr>
          <w:sz w:val="28"/>
          <w:szCs w:val="28"/>
        </w:rPr>
        <w:t>2015.</w:t>
      </w:r>
    </w:p>
    <w:p w:rsidR="00AB1C85" w:rsidRDefault="00AB1C85" w:rsidP="00CA0CA8">
      <w:pPr>
        <w:rPr>
          <w:sz w:val="28"/>
          <w:szCs w:val="28"/>
        </w:rPr>
      </w:pPr>
    </w:p>
    <w:p w:rsidR="00AB1C85" w:rsidRDefault="00AB1C85" w:rsidP="00CA0CA8">
      <w:pPr>
        <w:rPr>
          <w:sz w:val="28"/>
          <w:szCs w:val="28"/>
        </w:rPr>
      </w:pPr>
    </w:p>
    <w:p w:rsidR="00AB1C85" w:rsidRPr="00B800E7" w:rsidRDefault="00AB1C85" w:rsidP="00AB1C85">
      <w:pPr>
        <w:rPr>
          <w:sz w:val="28"/>
          <w:szCs w:val="28"/>
        </w:rPr>
        <w:sectPr w:rsidR="00AB1C85" w:rsidRPr="00B800E7" w:rsidSect="00B91423">
          <w:footerReference w:type="even" r:id="rId11"/>
          <w:footerReference w:type="default" r:id="rId12"/>
          <w:pgSz w:w="12240" w:h="15840" w:code="1"/>
          <w:pgMar w:top="1440" w:right="1440" w:bottom="1440" w:left="1440" w:header="720" w:footer="720" w:gutter="0"/>
          <w:cols w:space="720"/>
          <w:titlePg/>
          <w:docGrid w:linePitch="254"/>
        </w:sectPr>
      </w:pPr>
      <w:r>
        <w:rPr>
          <w:sz w:val="28"/>
          <w:szCs w:val="28"/>
        </w:rPr>
        <w:t>By:  Marty Lieberman</w:t>
      </w:r>
    </w:p>
    <w:p w:rsidR="00260669" w:rsidRPr="00B800E7" w:rsidRDefault="004C5DE3" w:rsidP="004C5DE3">
      <w:pPr>
        <w:tabs>
          <w:tab w:val="left" w:pos="3553"/>
        </w:tabs>
        <w:jc w:val="center"/>
        <w:rPr>
          <w:sz w:val="28"/>
          <w:szCs w:val="28"/>
        </w:rPr>
      </w:pPr>
      <w:r w:rsidRPr="00B800E7">
        <w:rPr>
          <w:sz w:val="28"/>
          <w:szCs w:val="28"/>
        </w:rPr>
        <w:lastRenderedPageBreak/>
        <w:t>APPENDIX A</w:t>
      </w:r>
    </w:p>
    <w:p w:rsidR="004C5DE3" w:rsidRPr="00B800E7" w:rsidRDefault="004C5DE3" w:rsidP="004C5DE3">
      <w:pPr>
        <w:tabs>
          <w:tab w:val="left" w:pos="3553"/>
        </w:tabs>
        <w:jc w:val="center"/>
        <w:rPr>
          <w:sz w:val="28"/>
          <w:szCs w:val="28"/>
        </w:rPr>
      </w:pPr>
    </w:p>
    <w:p w:rsidR="004C5DE3" w:rsidRPr="00B800E7" w:rsidRDefault="004C5DE3" w:rsidP="004C5DE3">
      <w:pPr>
        <w:spacing w:after="200"/>
        <w:jc w:val="center"/>
        <w:rPr>
          <w:b/>
          <w:sz w:val="28"/>
          <w:szCs w:val="28"/>
        </w:rPr>
      </w:pPr>
      <w:r w:rsidRPr="00B800E7">
        <w:rPr>
          <w:b/>
          <w:sz w:val="28"/>
          <w:szCs w:val="28"/>
        </w:rPr>
        <w:t>Proposed Rules Changes</w:t>
      </w:r>
    </w:p>
    <w:p w:rsidR="004C5DE3" w:rsidRPr="00B800E7" w:rsidRDefault="004C5DE3" w:rsidP="004C5DE3">
      <w:pPr>
        <w:spacing w:after="200"/>
        <w:rPr>
          <w:sz w:val="28"/>
          <w:szCs w:val="28"/>
        </w:rPr>
      </w:pPr>
      <w:r w:rsidRPr="00B800E7">
        <w:rPr>
          <w:sz w:val="28"/>
          <w:szCs w:val="28"/>
        </w:rPr>
        <w:t xml:space="preserve">(Proposed deletions are shown with </w:t>
      </w:r>
      <w:proofErr w:type="gramStart"/>
      <w:r w:rsidRPr="00B800E7">
        <w:rPr>
          <w:strike/>
          <w:sz w:val="28"/>
          <w:szCs w:val="28"/>
        </w:rPr>
        <w:t>strikethrough</w:t>
      </w:r>
      <w:r w:rsidRPr="00B800E7">
        <w:rPr>
          <w:sz w:val="28"/>
          <w:szCs w:val="28"/>
        </w:rPr>
        <w:t>,</w:t>
      </w:r>
      <w:proofErr w:type="gramEnd"/>
      <w:r w:rsidRPr="00B800E7">
        <w:rPr>
          <w:sz w:val="28"/>
          <w:szCs w:val="28"/>
        </w:rPr>
        <w:t xml:space="preserve"> new language is shown with </w:t>
      </w:r>
      <w:r w:rsidRPr="00B800E7">
        <w:rPr>
          <w:sz w:val="28"/>
          <w:szCs w:val="28"/>
          <w:u w:val="single"/>
        </w:rPr>
        <w:t>underscoring</w:t>
      </w:r>
      <w:r w:rsidRPr="00B800E7">
        <w:rPr>
          <w:sz w:val="28"/>
          <w:szCs w:val="28"/>
        </w:rPr>
        <w:t>)</w:t>
      </w:r>
    </w:p>
    <w:p w:rsidR="004C5DE3" w:rsidRPr="00B800E7" w:rsidRDefault="004C5DE3" w:rsidP="004C5DE3">
      <w:pPr>
        <w:contextualSpacing/>
        <w:rPr>
          <w:b/>
          <w:sz w:val="28"/>
          <w:szCs w:val="28"/>
        </w:rPr>
      </w:pPr>
    </w:p>
    <w:p w:rsidR="004C5DE3" w:rsidRPr="00B800E7" w:rsidRDefault="004C5DE3" w:rsidP="004C5DE3">
      <w:pPr>
        <w:contextualSpacing/>
        <w:rPr>
          <w:sz w:val="28"/>
          <w:szCs w:val="28"/>
        </w:rPr>
      </w:pPr>
      <w:r w:rsidRPr="00B800E7">
        <w:rPr>
          <w:sz w:val="28"/>
          <w:szCs w:val="28"/>
        </w:rPr>
        <w:t>Arizona Rules of Criminal Procedure</w:t>
      </w:r>
      <w:r w:rsidRPr="00B800E7" w:rsidDel="00037F24">
        <w:rPr>
          <w:sz w:val="28"/>
          <w:szCs w:val="28"/>
        </w:rPr>
        <w:t xml:space="preserve"> </w:t>
      </w:r>
      <w:bookmarkStart w:id="3" w:name="I63E8C7A06E0311DD8D01E5EE9CA55CBC"/>
      <w:bookmarkStart w:id="4" w:name="IFEF92FF026E711E1B858C5A34CA682E6"/>
      <w:bookmarkStart w:id="5" w:name="IFEF86CA226E711E1B858C5A34CA682E6"/>
      <w:bookmarkEnd w:id="3"/>
      <w:bookmarkEnd w:id="4"/>
      <w:bookmarkEnd w:id="5"/>
      <w:r w:rsidRPr="00B800E7">
        <w:rPr>
          <w:sz w:val="28"/>
          <w:szCs w:val="28"/>
        </w:rPr>
        <w:t xml:space="preserve"> </w:t>
      </w:r>
    </w:p>
    <w:p w:rsidR="004C5DE3" w:rsidRPr="00B800E7" w:rsidRDefault="004C5DE3" w:rsidP="004C5DE3">
      <w:pPr>
        <w:contextualSpacing/>
        <w:rPr>
          <w:sz w:val="28"/>
          <w:szCs w:val="28"/>
        </w:rPr>
      </w:pPr>
    </w:p>
    <w:p w:rsidR="004C5DE3" w:rsidRPr="00B800E7" w:rsidRDefault="004C5DE3" w:rsidP="004C5DE3">
      <w:pPr>
        <w:contextualSpacing/>
        <w:rPr>
          <w:sz w:val="28"/>
          <w:szCs w:val="28"/>
        </w:rPr>
      </w:pPr>
      <w:proofErr w:type="gramStart"/>
      <w:r w:rsidRPr="00B800E7">
        <w:rPr>
          <w:sz w:val="28"/>
          <w:szCs w:val="28"/>
        </w:rPr>
        <w:t>Rule 16.4.</w:t>
      </w:r>
      <w:proofErr w:type="gramEnd"/>
      <w:r w:rsidRPr="00B800E7">
        <w:rPr>
          <w:sz w:val="28"/>
          <w:szCs w:val="28"/>
        </w:rPr>
        <w:t xml:space="preserve">  Mandatory prehearing conference</w:t>
      </w:r>
    </w:p>
    <w:p w:rsidR="004C5DE3" w:rsidRPr="00B800E7" w:rsidRDefault="004C5DE3" w:rsidP="004C5DE3">
      <w:pPr>
        <w:contextualSpacing/>
        <w:rPr>
          <w:sz w:val="28"/>
          <w:szCs w:val="28"/>
        </w:rPr>
      </w:pPr>
    </w:p>
    <w:p w:rsidR="004C5DE3" w:rsidRPr="00B800E7" w:rsidRDefault="004C5DE3" w:rsidP="004C5DE3">
      <w:pPr>
        <w:contextualSpacing/>
        <w:rPr>
          <w:sz w:val="28"/>
          <w:szCs w:val="28"/>
        </w:rPr>
      </w:pPr>
      <w:r w:rsidRPr="00B800E7">
        <w:rPr>
          <w:b/>
          <w:sz w:val="28"/>
          <w:szCs w:val="28"/>
        </w:rPr>
        <w:t>a.</w:t>
      </w:r>
      <w:r w:rsidRPr="00B800E7">
        <w:rPr>
          <w:sz w:val="28"/>
          <w:szCs w:val="28"/>
        </w:rPr>
        <w:t xml:space="preserve"> [no changes]</w:t>
      </w:r>
    </w:p>
    <w:p w:rsidR="004C5DE3" w:rsidRPr="00B800E7" w:rsidRDefault="004C5DE3" w:rsidP="004C5DE3">
      <w:pPr>
        <w:contextualSpacing/>
        <w:rPr>
          <w:sz w:val="28"/>
          <w:szCs w:val="28"/>
        </w:rPr>
      </w:pPr>
    </w:p>
    <w:p w:rsidR="004C5DE3" w:rsidRPr="00B800E7" w:rsidRDefault="004C5DE3" w:rsidP="004C5DE3">
      <w:pPr>
        <w:tabs>
          <w:tab w:val="left" w:pos="720"/>
        </w:tabs>
        <w:contextualSpacing/>
        <w:rPr>
          <w:sz w:val="28"/>
          <w:szCs w:val="28"/>
        </w:rPr>
      </w:pPr>
      <w:r w:rsidRPr="00B800E7">
        <w:rPr>
          <w:b/>
          <w:sz w:val="28"/>
          <w:szCs w:val="28"/>
        </w:rPr>
        <w:t xml:space="preserve">b. </w:t>
      </w:r>
      <w:r w:rsidRPr="00B800E7">
        <w:rPr>
          <w:sz w:val="28"/>
          <w:szCs w:val="28"/>
        </w:rPr>
        <w:t>[no changes]</w:t>
      </w:r>
    </w:p>
    <w:p w:rsidR="004C5DE3" w:rsidRPr="00B800E7" w:rsidRDefault="004C5DE3" w:rsidP="004C5DE3">
      <w:pPr>
        <w:tabs>
          <w:tab w:val="left" w:pos="720"/>
        </w:tabs>
        <w:contextualSpacing/>
        <w:rPr>
          <w:sz w:val="28"/>
          <w:szCs w:val="28"/>
        </w:rPr>
      </w:pPr>
    </w:p>
    <w:p w:rsidR="00397897" w:rsidRPr="00A01BDA" w:rsidRDefault="004C5DE3" w:rsidP="004C5DE3">
      <w:pPr>
        <w:tabs>
          <w:tab w:val="left" w:pos="720"/>
        </w:tabs>
        <w:contextualSpacing/>
        <w:rPr>
          <w:sz w:val="28"/>
          <w:szCs w:val="28"/>
        </w:rPr>
      </w:pPr>
      <w:r w:rsidRPr="00B800E7">
        <w:rPr>
          <w:b/>
          <w:sz w:val="28"/>
          <w:szCs w:val="28"/>
        </w:rPr>
        <w:t xml:space="preserve">c. </w:t>
      </w:r>
      <w:r w:rsidR="00A01BDA">
        <w:rPr>
          <w:sz w:val="28"/>
          <w:szCs w:val="28"/>
        </w:rPr>
        <w:t>[no changes]</w:t>
      </w:r>
    </w:p>
    <w:p w:rsidR="00397897" w:rsidRDefault="00397897" w:rsidP="004C5DE3">
      <w:pPr>
        <w:tabs>
          <w:tab w:val="left" w:pos="720"/>
        </w:tabs>
        <w:contextualSpacing/>
        <w:rPr>
          <w:sz w:val="28"/>
          <w:szCs w:val="28"/>
        </w:rPr>
      </w:pPr>
    </w:p>
    <w:p w:rsidR="004C5DE3" w:rsidRPr="00B800E7" w:rsidRDefault="00397897" w:rsidP="004C5DE3">
      <w:pPr>
        <w:tabs>
          <w:tab w:val="left" w:pos="720"/>
        </w:tabs>
        <w:contextualSpacing/>
        <w:rPr>
          <w:sz w:val="28"/>
          <w:szCs w:val="28"/>
        </w:rPr>
      </w:pPr>
      <w:r w:rsidRPr="00397897">
        <w:rPr>
          <w:b/>
          <w:sz w:val="28"/>
          <w:szCs w:val="28"/>
          <w:u w:val="single"/>
        </w:rPr>
        <w:t xml:space="preserve">d. </w:t>
      </w:r>
      <w:r w:rsidR="00EB2226">
        <w:rPr>
          <w:b/>
          <w:sz w:val="28"/>
          <w:szCs w:val="28"/>
          <w:u w:val="single"/>
        </w:rPr>
        <w:t>Prosecutor’s Disclosure Obligations.</w:t>
      </w:r>
      <w:r w:rsidRPr="00397897">
        <w:rPr>
          <w:b/>
          <w:sz w:val="28"/>
          <w:szCs w:val="28"/>
          <w:u w:val="single"/>
        </w:rPr>
        <w:t xml:space="preserve"> </w:t>
      </w:r>
      <w:r w:rsidR="00EB2226">
        <w:rPr>
          <w:b/>
          <w:sz w:val="28"/>
          <w:szCs w:val="28"/>
          <w:u w:val="single"/>
        </w:rPr>
        <w:t xml:space="preserve"> </w:t>
      </w:r>
      <w:r w:rsidR="00191C49" w:rsidRPr="008A7484">
        <w:rPr>
          <w:sz w:val="28"/>
          <w:szCs w:val="28"/>
          <w:u w:val="single"/>
        </w:rPr>
        <w:t>The Court shall ensure that the</w:t>
      </w:r>
      <w:r w:rsidR="00191C49" w:rsidRPr="00B800E7">
        <w:rPr>
          <w:sz w:val="28"/>
          <w:szCs w:val="28"/>
          <w:u w:val="single"/>
        </w:rPr>
        <w:t xml:space="preserve"> prosecuto</w:t>
      </w:r>
      <w:r w:rsidR="00CE5F1C" w:rsidRPr="00B800E7">
        <w:rPr>
          <w:sz w:val="28"/>
          <w:szCs w:val="28"/>
          <w:u w:val="single"/>
        </w:rPr>
        <w:t>r</w:t>
      </w:r>
      <w:r w:rsidR="00191C49" w:rsidRPr="00B800E7">
        <w:rPr>
          <w:sz w:val="28"/>
          <w:szCs w:val="28"/>
          <w:u w:val="single"/>
        </w:rPr>
        <w:t xml:space="preserve"> has searched its files, </w:t>
      </w:r>
      <w:r w:rsidR="00A01BDA">
        <w:rPr>
          <w:sz w:val="28"/>
          <w:szCs w:val="28"/>
          <w:u w:val="single"/>
        </w:rPr>
        <w:t>t</w:t>
      </w:r>
      <w:r w:rsidR="00191C49" w:rsidRPr="00B800E7">
        <w:rPr>
          <w:sz w:val="28"/>
          <w:szCs w:val="28"/>
          <w:u w:val="single"/>
        </w:rPr>
        <w:t>he investigating police agency’s files</w:t>
      </w:r>
      <w:proofErr w:type="gramStart"/>
      <w:r w:rsidR="00191C49" w:rsidRPr="00B800E7">
        <w:rPr>
          <w:sz w:val="28"/>
          <w:szCs w:val="28"/>
          <w:u w:val="single"/>
        </w:rPr>
        <w:t>,</w:t>
      </w:r>
      <w:r w:rsidR="00A01BDA">
        <w:rPr>
          <w:sz w:val="28"/>
          <w:szCs w:val="28"/>
          <w:u w:val="single"/>
        </w:rPr>
        <w:t xml:space="preserve">  and</w:t>
      </w:r>
      <w:proofErr w:type="gramEnd"/>
      <w:r w:rsidR="00A01BDA">
        <w:rPr>
          <w:sz w:val="28"/>
          <w:szCs w:val="28"/>
          <w:u w:val="single"/>
        </w:rPr>
        <w:t xml:space="preserve"> any other appropriate files</w:t>
      </w:r>
      <w:r w:rsidR="00EB2226">
        <w:rPr>
          <w:sz w:val="28"/>
          <w:szCs w:val="28"/>
          <w:u w:val="single"/>
        </w:rPr>
        <w:t>,</w:t>
      </w:r>
      <w:r w:rsidR="00191C49" w:rsidRPr="00B800E7">
        <w:rPr>
          <w:sz w:val="28"/>
          <w:szCs w:val="28"/>
          <w:u w:val="single"/>
        </w:rPr>
        <w:t xml:space="preserve"> to determine whether information favorable to the defense exists and has been disclosed.</w:t>
      </w:r>
    </w:p>
    <w:p w:rsidR="00191C49" w:rsidRPr="00B800E7" w:rsidRDefault="00191C49" w:rsidP="004C5DE3">
      <w:pPr>
        <w:tabs>
          <w:tab w:val="left" w:pos="720"/>
        </w:tabs>
        <w:contextualSpacing/>
        <w:rPr>
          <w:sz w:val="28"/>
          <w:szCs w:val="28"/>
        </w:rPr>
      </w:pPr>
    </w:p>
    <w:p w:rsidR="00191C49" w:rsidRPr="00B800E7" w:rsidRDefault="00397897" w:rsidP="004C5DE3">
      <w:pPr>
        <w:tabs>
          <w:tab w:val="left" w:pos="720"/>
        </w:tabs>
        <w:contextualSpacing/>
        <w:rPr>
          <w:sz w:val="28"/>
          <w:szCs w:val="28"/>
        </w:rPr>
      </w:pPr>
      <w:proofErr w:type="gramStart"/>
      <w:r w:rsidRPr="00397897">
        <w:rPr>
          <w:b/>
          <w:strike/>
          <w:sz w:val="28"/>
          <w:szCs w:val="28"/>
        </w:rPr>
        <w:t>d</w:t>
      </w:r>
      <w:proofErr w:type="gramEnd"/>
      <w:r w:rsidRPr="00397897">
        <w:rPr>
          <w:b/>
          <w:sz w:val="28"/>
          <w:szCs w:val="28"/>
        </w:rPr>
        <w:t xml:space="preserve"> </w:t>
      </w:r>
      <w:r>
        <w:rPr>
          <w:b/>
          <w:sz w:val="28"/>
          <w:szCs w:val="28"/>
        </w:rPr>
        <w:t>e</w:t>
      </w:r>
      <w:r w:rsidR="00191C49" w:rsidRPr="00B800E7">
        <w:rPr>
          <w:b/>
          <w:sz w:val="28"/>
          <w:szCs w:val="28"/>
        </w:rPr>
        <w:t>.</w:t>
      </w:r>
      <w:r w:rsidR="00191C49" w:rsidRPr="00B800E7">
        <w:rPr>
          <w:sz w:val="28"/>
          <w:szCs w:val="28"/>
        </w:rPr>
        <w:t xml:space="preserve"> [no changes]</w:t>
      </w:r>
    </w:p>
    <w:p w:rsidR="004C5DE3" w:rsidRDefault="004C5DE3" w:rsidP="004C5DE3">
      <w:pPr>
        <w:contextualSpacing/>
        <w:rPr>
          <w:sz w:val="28"/>
          <w:szCs w:val="28"/>
        </w:rPr>
      </w:pPr>
    </w:p>
    <w:p w:rsidR="00397897" w:rsidRPr="00B800E7" w:rsidRDefault="00397897" w:rsidP="004C5DE3">
      <w:pPr>
        <w:contextualSpacing/>
        <w:rPr>
          <w:sz w:val="28"/>
          <w:szCs w:val="28"/>
        </w:rPr>
      </w:pPr>
    </w:p>
    <w:p w:rsidR="004C5DE3" w:rsidRPr="00B800E7" w:rsidRDefault="004C5DE3" w:rsidP="004C5DE3">
      <w:pPr>
        <w:tabs>
          <w:tab w:val="left" w:pos="3553"/>
        </w:tabs>
        <w:rPr>
          <w:sz w:val="28"/>
          <w:szCs w:val="28"/>
        </w:rPr>
      </w:pPr>
    </w:p>
    <w:p w:rsidR="002735D0" w:rsidRPr="00B800E7" w:rsidRDefault="002735D0" w:rsidP="002735D0">
      <w:pPr>
        <w:pStyle w:val="BodyText"/>
        <w:tabs>
          <w:tab w:val="left" w:pos="720"/>
        </w:tabs>
        <w:jc w:val="left"/>
        <w:rPr>
          <w:szCs w:val="28"/>
          <w:u w:val="single"/>
        </w:rPr>
      </w:pPr>
      <w:r w:rsidRPr="00B800E7">
        <w:rPr>
          <w:szCs w:val="28"/>
          <w:u w:val="single"/>
        </w:rPr>
        <w:t xml:space="preserve">COMMENT:  The prosecution is required to learn of any favorable evidence held by others acting on the prosecution’s behalf.  </w:t>
      </w:r>
      <w:proofErr w:type="gramStart"/>
      <w:r w:rsidRPr="00B800E7">
        <w:rPr>
          <w:i/>
          <w:szCs w:val="28"/>
          <w:u w:val="single"/>
        </w:rPr>
        <w:t>Kyles v. Whitley</w:t>
      </w:r>
      <w:r w:rsidRPr="00B800E7">
        <w:rPr>
          <w:szCs w:val="28"/>
          <w:u w:val="single"/>
        </w:rPr>
        <w:t>, 514 U.S. 419, 438 (1995).</w:t>
      </w:r>
      <w:proofErr w:type="gramEnd"/>
      <w:r w:rsidRPr="00B800E7">
        <w:rPr>
          <w:szCs w:val="28"/>
          <w:u w:val="single"/>
        </w:rPr>
        <w:t xml:space="preserve">  This would include, for example, evidence in the custody of the Department of Child Safety in cases investigated by that agency even if the charges had been filed by a police agency, or evidence in the custody of crime labs utilized by the State, even if the crime lab is independent of the investigating law enforcement agency.</w:t>
      </w:r>
    </w:p>
    <w:p w:rsidR="002735D0" w:rsidRPr="00B800E7" w:rsidRDefault="002735D0" w:rsidP="004C5DE3">
      <w:pPr>
        <w:tabs>
          <w:tab w:val="left" w:pos="3553"/>
        </w:tabs>
        <w:rPr>
          <w:sz w:val="28"/>
          <w:szCs w:val="28"/>
        </w:rPr>
      </w:pPr>
    </w:p>
    <w:sectPr w:rsidR="002735D0" w:rsidRPr="00B800E7" w:rsidSect="00C35DCA">
      <w:pgSz w:w="12240" w:h="15840" w:code="1"/>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DE3" w:rsidRDefault="004C5DE3">
      <w:r>
        <w:separator/>
      </w:r>
    </w:p>
  </w:endnote>
  <w:endnote w:type="continuationSeparator" w:id="0">
    <w:p w:rsidR="004C5DE3" w:rsidRDefault="004C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DE3">
      <w:rPr>
        <w:rStyle w:val="PageNumber"/>
        <w:noProof/>
      </w:rPr>
      <w:t>1</w:t>
    </w:r>
    <w:r>
      <w:rPr>
        <w:rStyle w:val="PageNumber"/>
      </w:rPr>
      <w:fldChar w:fldCharType="end"/>
    </w:r>
  </w:p>
  <w:p w:rsidR="004D512D" w:rsidRDefault="004D5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17F8">
      <w:rPr>
        <w:rStyle w:val="PageNumber"/>
        <w:noProof/>
      </w:rPr>
      <w:t>8</w:t>
    </w:r>
    <w:r>
      <w:rPr>
        <w:rStyle w:val="PageNumber"/>
      </w:rPr>
      <w:fldChar w:fldCharType="end"/>
    </w:r>
  </w:p>
  <w:p w:rsidR="004D512D" w:rsidRDefault="004D5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DE3" w:rsidRDefault="004C5DE3">
      <w:r>
        <w:separator/>
      </w:r>
    </w:p>
  </w:footnote>
  <w:footnote w:type="continuationSeparator" w:id="0">
    <w:p w:rsidR="004C5DE3" w:rsidRDefault="004C5DE3">
      <w:r>
        <w:continuationSeparator/>
      </w:r>
    </w:p>
  </w:footnote>
  <w:footnote w:id="1">
    <w:p w:rsidR="00D200FC" w:rsidRPr="00E7730A" w:rsidRDefault="00D200FC">
      <w:pPr>
        <w:pStyle w:val="FootnoteText"/>
        <w:rPr>
          <w:sz w:val="28"/>
          <w:szCs w:val="28"/>
        </w:rPr>
      </w:pPr>
      <w:r w:rsidRPr="00E7730A">
        <w:rPr>
          <w:rStyle w:val="FootnoteReference"/>
          <w:sz w:val="28"/>
          <w:szCs w:val="28"/>
        </w:rPr>
        <w:footnoteRef/>
      </w:r>
      <w:r w:rsidRPr="00E7730A">
        <w:rPr>
          <w:sz w:val="28"/>
          <w:szCs w:val="28"/>
        </w:rPr>
        <w:t xml:space="preserve"> </w:t>
      </w:r>
      <w:r w:rsidR="00F133D1" w:rsidRPr="00E7730A">
        <w:rPr>
          <w:sz w:val="28"/>
          <w:szCs w:val="28"/>
        </w:rPr>
        <w:t>“</w:t>
      </w:r>
      <w:r w:rsidRPr="00E7730A">
        <w:rPr>
          <w:i/>
          <w:sz w:val="28"/>
          <w:szCs w:val="28"/>
        </w:rPr>
        <w:t>Brady</w:t>
      </w:r>
      <w:r w:rsidRPr="00E7730A">
        <w:rPr>
          <w:sz w:val="28"/>
          <w:szCs w:val="28"/>
        </w:rPr>
        <w:t xml:space="preserve"> problems</w:t>
      </w:r>
      <w:r w:rsidR="00F133D1" w:rsidRPr="00E7730A">
        <w:rPr>
          <w:sz w:val="28"/>
          <w:szCs w:val="28"/>
        </w:rPr>
        <w:t>”</w:t>
      </w:r>
      <w:r w:rsidRPr="00E7730A">
        <w:rPr>
          <w:sz w:val="28"/>
          <w:szCs w:val="28"/>
        </w:rPr>
        <w:t xml:space="preserve"> </w:t>
      </w:r>
      <w:r w:rsidR="006976B0">
        <w:rPr>
          <w:sz w:val="28"/>
          <w:szCs w:val="28"/>
        </w:rPr>
        <w:t>in this memorandum means a</w:t>
      </w:r>
      <w:r w:rsidRPr="00E7730A">
        <w:rPr>
          <w:sz w:val="28"/>
          <w:szCs w:val="28"/>
        </w:rPr>
        <w:t xml:space="preserve"> prosecutor’s failure to </w:t>
      </w:r>
      <w:r w:rsidR="00A47CB5" w:rsidRPr="00E7730A">
        <w:rPr>
          <w:sz w:val="28"/>
          <w:szCs w:val="28"/>
        </w:rPr>
        <w:t xml:space="preserve">disclose information under </w:t>
      </w:r>
      <w:r w:rsidR="00A47CB5" w:rsidRPr="00E7730A">
        <w:rPr>
          <w:i/>
          <w:sz w:val="28"/>
          <w:szCs w:val="28"/>
        </w:rPr>
        <w:t>Brady</w:t>
      </w:r>
      <w:r w:rsidR="00A47CB5" w:rsidRPr="00E7730A">
        <w:rPr>
          <w:sz w:val="28"/>
          <w:szCs w:val="28"/>
        </w:rPr>
        <w:t xml:space="preserve"> or Rule 15.1(b</w:t>
      </w:r>
      <w:proofErr w:type="gramStart"/>
      <w:r w:rsidR="00A47CB5" w:rsidRPr="00E7730A">
        <w:rPr>
          <w:sz w:val="28"/>
          <w:szCs w:val="28"/>
        </w:rPr>
        <w:t>)(</w:t>
      </w:r>
      <w:proofErr w:type="gramEnd"/>
      <w:r w:rsidR="00A47CB5" w:rsidRPr="00E7730A">
        <w:rPr>
          <w:sz w:val="28"/>
          <w:szCs w:val="28"/>
        </w:rPr>
        <w:t>8).</w:t>
      </w:r>
    </w:p>
    <w:p w:rsidR="00F133D1" w:rsidRPr="00E7730A" w:rsidRDefault="00F133D1">
      <w:pPr>
        <w:pStyle w:val="FootnoteText"/>
        <w:rPr>
          <w:sz w:val="28"/>
          <w:szCs w:val="28"/>
        </w:rPr>
      </w:pPr>
    </w:p>
  </w:footnote>
  <w:footnote w:id="2">
    <w:p w:rsidR="00A47CB5" w:rsidRPr="00E7730A" w:rsidRDefault="00A47CB5">
      <w:pPr>
        <w:pStyle w:val="FootnoteText"/>
        <w:rPr>
          <w:sz w:val="28"/>
          <w:szCs w:val="28"/>
        </w:rPr>
      </w:pPr>
      <w:r w:rsidRPr="00E7730A">
        <w:rPr>
          <w:rStyle w:val="FootnoteReference"/>
          <w:sz w:val="28"/>
          <w:szCs w:val="28"/>
        </w:rPr>
        <w:footnoteRef/>
      </w:r>
      <w:r w:rsidRPr="00E7730A">
        <w:rPr>
          <w:sz w:val="28"/>
          <w:szCs w:val="28"/>
        </w:rPr>
        <w:t xml:space="preserve"> Unpublished opinions are cited herein not for any precedential value, but to demonstrate the recurring problem.  </w:t>
      </w:r>
      <w:r w:rsidRPr="00E7730A">
        <w:rPr>
          <w:i/>
          <w:sz w:val="28"/>
          <w:szCs w:val="28"/>
        </w:rPr>
        <w:t>Cf</w:t>
      </w:r>
      <w:r w:rsidRPr="00E7730A">
        <w:rPr>
          <w:sz w:val="28"/>
          <w:szCs w:val="28"/>
        </w:rPr>
        <w:t>. Rule 111(c)</w:t>
      </w:r>
      <w:r w:rsidR="00ED74B7" w:rsidRPr="00E7730A">
        <w:rPr>
          <w:sz w:val="28"/>
          <w:szCs w:val="28"/>
        </w:rPr>
        <w:t xml:space="preserve"> (1) (b)</w:t>
      </w:r>
      <w:r w:rsidRPr="00E7730A">
        <w:rPr>
          <w:sz w:val="28"/>
          <w:szCs w:val="28"/>
        </w:rPr>
        <w:t xml:space="preserve">, Rules, </w:t>
      </w:r>
      <w:proofErr w:type="gramStart"/>
      <w:r w:rsidRPr="00E7730A">
        <w:rPr>
          <w:sz w:val="28"/>
          <w:szCs w:val="28"/>
        </w:rPr>
        <w:t>Arizona</w:t>
      </w:r>
      <w:proofErr w:type="gramEnd"/>
      <w:r w:rsidRPr="00E7730A">
        <w:rPr>
          <w:sz w:val="28"/>
          <w:szCs w:val="28"/>
        </w:rPr>
        <w:t xml:space="preserve"> Supreme Court</w:t>
      </w:r>
      <w:r w:rsidR="006976B0">
        <w:rPr>
          <w:sz w:val="28"/>
          <w:szCs w:val="28"/>
        </w:rPr>
        <w:t>,</w:t>
      </w:r>
      <w:r w:rsidR="00D8505F" w:rsidRPr="00E7730A">
        <w:rPr>
          <w:sz w:val="28"/>
          <w:szCs w:val="28"/>
        </w:rPr>
        <w:t xml:space="preserve"> which</w:t>
      </w:r>
      <w:r w:rsidRPr="00E7730A">
        <w:rPr>
          <w:sz w:val="28"/>
          <w:szCs w:val="28"/>
        </w:rPr>
        <w:t xml:space="preserve"> </w:t>
      </w:r>
      <w:r w:rsidR="00D8505F" w:rsidRPr="00E7730A">
        <w:rPr>
          <w:sz w:val="28"/>
          <w:szCs w:val="28"/>
        </w:rPr>
        <w:t xml:space="preserve">permits the citation of unpublished opinions in order to assist the Court in deciding </w:t>
      </w:r>
      <w:r w:rsidR="00A11BC1">
        <w:rPr>
          <w:sz w:val="28"/>
          <w:szCs w:val="28"/>
        </w:rPr>
        <w:t xml:space="preserve">whether </w:t>
      </w:r>
      <w:r w:rsidR="00D8505F" w:rsidRPr="00E7730A">
        <w:rPr>
          <w:sz w:val="28"/>
          <w:szCs w:val="28"/>
        </w:rPr>
        <w:t>to grant a petition for review.  In this instance, similarly, t</w:t>
      </w:r>
      <w:r w:rsidRPr="00E7730A">
        <w:rPr>
          <w:sz w:val="28"/>
          <w:szCs w:val="28"/>
        </w:rPr>
        <w:t>he unpublished opinions are cited in order to help this Court decide</w:t>
      </w:r>
      <w:r w:rsidR="006976B0">
        <w:rPr>
          <w:sz w:val="28"/>
          <w:szCs w:val="28"/>
        </w:rPr>
        <w:t xml:space="preserve"> whether to grant this Petition to Amend</w:t>
      </w:r>
      <w:r w:rsidRPr="00E7730A">
        <w:rPr>
          <w:sz w:val="28"/>
          <w:szCs w:val="28"/>
        </w:rPr>
        <w:t>.</w:t>
      </w:r>
    </w:p>
    <w:p w:rsidR="00F133D1" w:rsidRPr="00E7730A" w:rsidRDefault="00F133D1">
      <w:pPr>
        <w:pStyle w:val="FootnoteText"/>
        <w:rPr>
          <w:sz w:val="28"/>
          <w:szCs w:val="28"/>
        </w:rPr>
      </w:pPr>
    </w:p>
  </w:footnote>
  <w:footnote w:id="3">
    <w:p w:rsidR="008F271C" w:rsidRPr="00E7730A" w:rsidRDefault="008F271C">
      <w:pPr>
        <w:pStyle w:val="FootnoteText"/>
        <w:rPr>
          <w:sz w:val="28"/>
          <w:szCs w:val="28"/>
        </w:rPr>
      </w:pPr>
      <w:r w:rsidRPr="00E7730A">
        <w:rPr>
          <w:rStyle w:val="FootnoteReference"/>
          <w:sz w:val="28"/>
          <w:szCs w:val="28"/>
        </w:rPr>
        <w:footnoteRef/>
      </w:r>
      <w:r w:rsidRPr="00E7730A">
        <w:rPr>
          <w:sz w:val="28"/>
          <w:szCs w:val="28"/>
        </w:rPr>
        <w:t xml:space="preserve"> This listing is not meant to be exhaustive but, rather, representative.</w:t>
      </w:r>
    </w:p>
  </w:footnote>
  <w:footnote w:id="4">
    <w:p w:rsidR="005E7772" w:rsidRPr="00B800E7" w:rsidRDefault="005E7772" w:rsidP="005E7772">
      <w:pPr>
        <w:ind w:left="360" w:firstLine="360"/>
        <w:rPr>
          <w:i/>
          <w:sz w:val="28"/>
          <w:szCs w:val="28"/>
        </w:rPr>
      </w:pPr>
      <w:r>
        <w:rPr>
          <w:rStyle w:val="FootnoteReference"/>
        </w:rPr>
        <w:footnoteRef/>
      </w:r>
      <w:r>
        <w:t xml:space="preserve"> </w:t>
      </w:r>
      <w:r>
        <w:rPr>
          <w:sz w:val="28"/>
          <w:szCs w:val="28"/>
        </w:rPr>
        <w:t>W</w:t>
      </w:r>
      <w:r w:rsidRPr="00B800E7">
        <w:rPr>
          <w:sz w:val="28"/>
          <w:szCs w:val="28"/>
        </w:rPr>
        <w:t xml:space="preserve">hether or not </w:t>
      </w:r>
      <w:r>
        <w:rPr>
          <w:sz w:val="28"/>
          <w:szCs w:val="28"/>
        </w:rPr>
        <w:t>the failure to disclose</w:t>
      </w:r>
      <w:r w:rsidRPr="00B800E7">
        <w:rPr>
          <w:sz w:val="28"/>
          <w:szCs w:val="28"/>
        </w:rPr>
        <w:t xml:space="preserve"> is purposeful does not matter.  </w:t>
      </w:r>
      <w:proofErr w:type="gramStart"/>
      <w:r w:rsidRPr="00B800E7">
        <w:rPr>
          <w:i/>
          <w:sz w:val="28"/>
          <w:szCs w:val="28"/>
        </w:rPr>
        <w:t>E.g.</w:t>
      </w:r>
      <w:r w:rsidRPr="00B800E7">
        <w:rPr>
          <w:sz w:val="28"/>
          <w:szCs w:val="28"/>
        </w:rPr>
        <w:t xml:space="preserve">, </w:t>
      </w:r>
      <w:proofErr w:type="spellStart"/>
      <w:r w:rsidRPr="00B800E7">
        <w:rPr>
          <w:i/>
          <w:sz w:val="28"/>
          <w:szCs w:val="28"/>
        </w:rPr>
        <w:t>Carriger</w:t>
      </w:r>
      <w:proofErr w:type="spellEnd"/>
      <w:r w:rsidRPr="00B800E7">
        <w:rPr>
          <w:i/>
          <w:sz w:val="28"/>
          <w:szCs w:val="28"/>
        </w:rPr>
        <w:t xml:space="preserve"> v. Stewart, supra.</w:t>
      </w:r>
      <w:proofErr w:type="gramEnd"/>
    </w:p>
    <w:p w:rsidR="005E7772" w:rsidRDefault="005E7772">
      <w:pPr>
        <w:pStyle w:val="FootnoteText"/>
      </w:pPr>
    </w:p>
  </w:footnote>
  <w:footnote w:id="5">
    <w:p w:rsidR="00317CCE" w:rsidRPr="00E7730A" w:rsidRDefault="00317CCE" w:rsidP="00857253">
      <w:pPr>
        <w:ind w:left="360" w:firstLine="360"/>
        <w:rPr>
          <w:sz w:val="28"/>
          <w:szCs w:val="28"/>
        </w:rPr>
      </w:pPr>
      <w:r w:rsidRPr="00E7730A">
        <w:rPr>
          <w:rStyle w:val="FootnoteReference"/>
          <w:sz w:val="28"/>
          <w:szCs w:val="28"/>
        </w:rPr>
        <w:footnoteRef/>
      </w:r>
      <w:r w:rsidRPr="00E7730A">
        <w:rPr>
          <w:sz w:val="28"/>
          <w:szCs w:val="28"/>
        </w:rPr>
        <w:t xml:space="preserve"> The prosecutor has an affirmative obligation to become a</w:t>
      </w:r>
      <w:r w:rsidR="00585AE2" w:rsidRPr="00E7730A">
        <w:rPr>
          <w:sz w:val="28"/>
          <w:szCs w:val="28"/>
        </w:rPr>
        <w:t>ware of exculpatory information, even without a request from the defendant.</w:t>
      </w:r>
      <w:r w:rsidRPr="00E7730A">
        <w:rPr>
          <w:sz w:val="28"/>
          <w:szCs w:val="28"/>
        </w:rPr>
        <w:t xml:space="preserve">  </w:t>
      </w:r>
      <w:r w:rsidRPr="00E7730A">
        <w:rPr>
          <w:i/>
          <w:sz w:val="28"/>
          <w:szCs w:val="28"/>
        </w:rPr>
        <w:t>Kyles v. Whitley</w:t>
      </w:r>
      <w:r w:rsidRPr="00E7730A">
        <w:rPr>
          <w:sz w:val="28"/>
          <w:szCs w:val="28"/>
        </w:rPr>
        <w:t xml:space="preserve">, </w:t>
      </w:r>
      <w:r w:rsidRPr="00E7730A">
        <w:rPr>
          <w:i/>
          <w:sz w:val="28"/>
          <w:szCs w:val="28"/>
        </w:rPr>
        <w:t>supra</w:t>
      </w:r>
    </w:p>
    <w:p w:rsidR="00317CCE" w:rsidRPr="00E62067" w:rsidRDefault="00317CCE">
      <w:pPr>
        <w:pStyle w:val="FootnoteText"/>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006F"/>
    <w:multiLevelType w:val="hybridMultilevel"/>
    <w:tmpl w:val="ACB0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C2BD5"/>
    <w:multiLevelType w:val="hybridMultilevel"/>
    <w:tmpl w:val="939E809A"/>
    <w:lvl w:ilvl="0" w:tplc="D9624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y" w:val="Marty Lieberman"/>
    <w:docVar w:name="CA" w:val=" "/>
    <w:docVar w:name="CaseNo" w:val=" "/>
    <w:docVar w:name="CourtStr" w:val=" "/>
    <w:docVar w:name="Defendant" w:val=" "/>
    <w:docVar w:name="FileDate" w:val=" "/>
    <w:docVar w:name="FileDay" w:val=" "/>
    <w:docVar w:name="HrgOff" w:val=" "/>
    <w:docVar w:name="Judge" w:val=" "/>
    <w:docVar w:name="Mailing" w:val=" "/>
    <w:docVar w:name="TitleMotion" w:val=" "/>
  </w:docVars>
  <w:rsids>
    <w:rsidRoot w:val="004C5DE3"/>
    <w:rsid w:val="00000E49"/>
    <w:rsid w:val="00003BB6"/>
    <w:rsid w:val="00010AF9"/>
    <w:rsid w:val="000115DC"/>
    <w:rsid w:val="00030752"/>
    <w:rsid w:val="00041F0C"/>
    <w:rsid w:val="00063823"/>
    <w:rsid w:val="000A4A71"/>
    <w:rsid w:val="000D39F0"/>
    <w:rsid w:val="000D4430"/>
    <w:rsid w:val="000D4B45"/>
    <w:rsid w:val="000D59A5"/>
    <w:rsid w:val="000D76FD"/>
    <w:rsid w:val="0011682C"/>
    <w:rsid w:val="00121EBB"/>
    <w:rsid w:val="00147B98"/>
    <w:rsid w:val="00153921"/>
    <w:rsid w:val="00173D35"/>
    <w:rsid w:val="001801DB"/>
    <w:rsid w:val="00182F8F"/>
    <w:rsid w:val="00191C49"/>
    <w:rsid w:val="001923CD"/>
    <w:rsid w:val="00195DD7"/>
    <w:rsid w:val="001B3D32"/>
    <w:rsid w:val="001B6693"/>
    <w:rsid w:val="001E5D5C"/>
    <w:rsid w:val="001F1E18"/>
    <w:rsid w:val="00205382"/>
    <w:rsid w:val="0021418D"/>
    <w:rsid w:val="00217FAC"/>
    <w:rsid w:val="00226B72"/>
    <w:rsid w:val="0023236E"/>
    <w:rsid w:val="002357F1"/>
    <w:rsid w:val="0023705A"/>
    <w:rsid w:val="00254882"/>
    <w:rsid w:val="00260669"/>
    <w:rsid w:val="00267010"/>
    <w:rsid w:val="002735D0"/>
    <w:rsid w:val="00274599"/>
    <w:rsid w:val="00275523"/>
    <w:rsid w:val="00281FE7"/>
    <w:rsid w:val="0029156D"/>
    <w:rsid w:val="002915B8"/>
    <w:rsid w:val="00294152"/>
    <w:rsid w:val="002962F5"/>
    <w:rsid w:val="002B0D75"/>
    <w:rsid w:val="002C2D63"/>
    <w:rsid w:val="002C5389"/>
    <w:rsid w:val="002C5CFE"/>
    <w:rsid w:val="002D6D73"/>
    <w:rsid w:val="002E4D27"/>
    <w:rsid w:val="002F6AF9"/>
    <w:rsid w:val="0030184C"/>
    <w:rsid w:val="00301CEF"/>
    <w:rsid w:val="0030728E"/>
    <w:rsid w:val="0031011F"/>
    <w:rsid w:val="00312CD5"/>
    <w:rsid w:val="00317CCE"/>
    <w:rsid w:val="00343FB6"/>
    <w:rsid w:val="003500AF"/>
    <w:rsid w:val="00373C80"/>
    <w:rsid w:val="00374C1B"/>
    <w:rsid w:val="003801C2"/>
    <w:rsid w:val="0039111E"/>
    <w:rsid w:val="00397897"/>
    <w:rsid w:val="003A5161"/>
    <w:rsid w:val="003B1AB1"/>
    <w:rsid w:val="003B6FC5"/>
    <w:rsid w:val="003C03F9"/>
    <w:rsid w:val="003C17F8"/>
    <w:rsid w:val="003C2FFE"/>
    <w:rsid w:val="003E25E8"/>
    <w:rsid w:val="003E609F"/>
    <w:rsid w:val="0041466B"/>
    <w:rsid w:val="00420498"/>
    <w:rsid w:val="00431A4C"/>
    <w:rsid w:val="00436AC3"/>
    <w:rsid w:val="00460681"/>
    <w:rsid w:val="0046245B"/>
    <w:rsid w:val="00465A13"/>
    <w:rsid w:val="00472B42"/>
    <w:rsid w:val="00473DAA"/>
    <w:rsid w:val="004927C8"/>
    <w:rsid w:val="004A4D74"/>
    <w:rsid w:val="004A72C4"/>
    <w:rsid w:val="004A74A6"/>
    <w:rsid w:val="004C1D5A"/>
    <w:rsid w:val="004C5DE3"/>
    <w:rsid w:val="004D512D"/>
    <w:rsid w:val="004E51AA"/>
    <w:rsid w:val="004E7620"/>
    <w:rsid w:val="004F3FDE"/>
    <w:rsid w:val="004F5144"/>
    <w:rsid w:val="00511C47"/>
    <w:rsid w:val="005446F2"/>
    <w:rsid w:val="00552149"/>
    <w:rsid w:val="00575718"/>
    <w:rsid w:val="005814D2"/>
    <w:rsid w:val="005845C4"/>
    <w:rsid w:val="00584BF5"/>
    <w:rsid w:val="00585AE2"/>
    <w:rsid w:val="00590009"/>
    <w:rsid w:val="00591EF7"/>
    <w:rsid w:val="005A3E6C"/>
    <w:rsid w:val="005B3E75"/>
    <w:rsid w:val="005C5D5C"/>
    <w:rsid w:val="005E7772"/>
    <w:rsid w:val="005F2687"/>
    <w:rsid w:val="00600298"/>
    <w:rsid w:val="00620C75"/>
    <w:rsid w:val="006246B5"/>
    <w:rsid w:val="006300DA"/>
    <w:rsid w:val="0068409D"/>
    <w:rsid w:val="006976B0"/>
    <w:rsid w:val="006B1EB5"/>
    <w:rsid w:val="006B5992"/>
    <w:rsid w:val="006D30E8"/>
    <w:rsid w:val="006E711D"/>
    <w:rsid w:val="00730D6F"/>
    <w:rsid w:val="00740795"/>
    <w:rsid w:val="0074727D"/>
    <w:rsid w:val="007512B9"/>
    <w:rsid w:val="00756195"/>
    <w:rsid w:val="007A055F"/>
    <w:rsid w:val="007D34DD"/>
    <w:rsid w:val="007D6A54"/>
    <w:rsid w:val="007F4733"/>
    <w:rsid w:val="007F58C4"/>
    <w:rsid w:val="00805489"/>
    <w:rsid w:val="00812E73"/>
    <w:rsid w:val="0081759C"/>
    <w:rsid w:val="008206DE"/>
    <w:rsid w:val="00822BCA"/>
    <w:rsid w:val="00832909"/>
    <w:rsid w:val="00833210"/>
    <w:rsid w:val="0084561D"/>
    <w:rsid w:val="00846293"/>
    <w:rsid w:val="008567B3"/>
    <w:rsid w:val="00857253"/>
    <w:rsid w:val="00861102"/>
    <w:rsid w:val="008630C8"/>
    <w:rsid w:val="00871835"/>
    <w:rsid w:val="0087294A"/>
    <w:rsid w:val="008855F7"/>
    <w:rsid w:val="0089116F"/>
    <w:rsid w:val="008A034D"/>
    <w:rsid w:val="008A7484"/>
    <w:rsid w:val="008B2962"/>
    <w:rsid w:val="008D3892"/>
    <w:rsid w:val="008F271C"/>
    <w:rsid w:val="008F7BDE"/>
    <w:rsid w:val="009204C0"/>
    <w:rsid w:val="00925D7D"/>
    <w:rsid w:val="00933040"/>
    <w:rsid w:val="00934E79"/>
    <w:rsid w:val="00945754"/>
    <w:rsid w:val="00960CF5"/>
    <w:rsid w:val="0096594E"/>
    <w:rsid w:val="00965A41"/>
    <w:rsid w:val="00971AE4"/>
    <w:rsid w:val="0097582B"/>
    <w:rsid w:val="009A18C8"/>
    <w:rsid w:val="009A2AE4"/>
    <w:rsid w:val="009A7375"/>
    <w:rsid w:val="009B6916"/>
    <w:rsid w:val="009C6670"/>
    <w:rsid w:val="009D12AE"/>
    <w:rsid w:val="009E0DE6"/>
    <w:rsid w:val="00A01BDA"/>
    <w:rsid w:val="00A11BC1"/>
    <w:rsid w:val="00A24A19"/>
    <w:rsid w:val="00A2674D"/>
    <w:rsid w:val="00A420A5"/>
    <w:rsid w:val="00A44EBE"/>
    <w:rsid w:val="00A47CB5"/>
    <w:rsid w:val="00A633F9"/>
    <w:rsid w:val="00A67390"/>
    <w:rsid w:val="00A7175C"/>
    <w:rsid w:val="00A91A0D"/>
    <w:rsid w:val="00A97261"/>
    <w:rsid w:val="00AA56B2"/>
    <w:rsid w:val="00AB1C85"/>
    <w:rsid w:val="00AC2577"/>
    <w:rsid w:val="00AD3032"/>
    <w:rsid w:val="00AD3F25"/>
    <w:rsid w:val="00AE25E5"/>
    <w:rsid w:val="00AF0CE4"/>
    <w:rsid w:val="00AF7FAC"/>
    <w:rsid w:val="00B10AC0"/>
    <w:rsid w:val="00B22F3C"/>
    <w:rsid w:val="00B56570"/>
    <w:rsid w:val="00B57BA1"/>
    <w:rsid w:val="00B653D3"/>
    <w:rsid w:val="00B66FD8"/>
    <w:rsid w:val="00B800E7"/>
    <w:rsid w:val="00B8434E"/>
    <w:rsid w:val="00B85889"/>
    <w:rsid w:val="00B91423"/>
    <w:rsid w:val="00B92484"/>
    <w:rsid w:val="00BB1B76"/>
    <w:rsid w:val="00BC25ED"/>
    <w:rsid w:val="00BD3062"/>
    <w:rsid w:val="00BF583E"/>
    <w:rsid w:val="00C075AC"/>
    <w:rsid w:val="00C12DFA"/>
    <w:rsid w:val="00C16205"/>
    <w:rsid w:val="00C2235F"/>
    <w:rsid w:val="00C3561D"/>
    <w:rsid w:val="00C35DCA"/>
    <w:rsid w:val="00C473A4"/>
    <w:rsid w:val="00C66041"/>
    <w:rsid w:val="00C73CF7"/>
    <w:rsid w:val="00CA0CA8"/>
    <w:rsid w:val="00CB16AD"/>
    <w:rsid w:val="00CB77DF"/>
    <w:rsid w:val="00CD132C"/>
    <w:rsid w:val="00CE10FC"/>
    <w:rsid w:val="00CE5F1C"/>
    <w:rsid w:val="00CF18F7"/>
    <w:rsid w:val="00D01F3E"/>
    <w:rsid w:val="00D046A7"/>
    <w:rsid w:val="00D16AE5"/>
    <w:rsid w:val="00D200FC"/>
    <w:rsid w:val="00D31DE4"/>
    <w:rsid w:val="00D3727F"/>
    <w:rsid w:val="00D4357E"/>
    <w:rsid w:val="00D51FE1"/>
    <w:rsid w:val="00D8505F"/>
    <w:rsid w:val="00D97168"/>
    <w:rsid w:val="00DA68EF"/>
    <w:rsid w:val="00DB499A"/>
    <w:rsid w:val="00DD1641"/>
    <w:rsid w:val="00DF17DB"/>
    <w:rsid w:val="00E04B5B"/>
    <w:rsid w:val="00E1328B"/>
    <w:rsid w:val="00E1336E"/>
    <w:rsid w:val="00E32B60"/>
    <w:rsid w:val="00E42FE7"/>
    <w:rsid w:val="00E459F4"/>
    <w:rsid w:val="00E62067"/>
    <w:rsid w:val="00E648CE"/>
    <w:rsid w:val="00E6550E"/>
    <w:rsid w:val="00E66DA3"/>
    <w:rsid w:val="00E705E3"/>
    <w:rsid w:val="00E7730A"/>
    <w:rsid w:val="00E809E0"/>
    <w:rsid w:val="00E92C7A"/>
    <w:rsid w:val="00E9426C"/>
    <w:rsid w:val="00E9502E"/>
    <w:rsid w:val="00EB2226"/>
    <w:rsid w:val="00EB4CB6"/>
    <w:rsid w:val="00EB7AD7"/>
    <w:rsid w:val="00ED74B7"/>
    <w:rsid w:val="00EE00D0"/>
    <w:rsid w:val="00EE1BDE"/>
    <w:rsid w:val="00F133D1"/>
    <w:rsid w:val="00F16192"/>
    <w:rsid w:val="00F16EF6"/>
    <w:rsid w:val="00F17873"/>
    <w:rsid w:val="00F204E9"/>
    <w:rsid w:val="00F26509"/>
    <w:rsid w:val="00F27517"/>
    <w:rsid w:val="00F32FC9"/>
    <w:rsid w:val="00F506D0"/>
    <w:rsid w:val="00F508D9"/>
    <w:rsid w:val="00F534A6"/>
    <w:rsid w:val="00F67046"/>
    <w:rsid w:val="00F8051C"/>
    <w:rsid w:val="00F86EF2"/>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rsid w:val="004C5DE3"/>
    <w:pPr>
      <w:keepNext/>
      <w:spacing w:line="360" w:lineRule="auto"/>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434E"/>
    <w:rPr>
      <w:rFonts w:ascii="Tahoma" w:hAnsi="Tahoma" w:cs="Tahoma"/>
      <w:sz w:val="16"/>
      <w:szCs w:val="16"/>
    </w:rPr>
  </w:style>
  <w:style w:type="paragraph" w:styleId="Footer">
    <w:name w:val="footer"/>
    <w:basedOn w:val="Normal"/>
    <w:link w:val="FooterChar"/>
    <w:uiPriority w:val="99"/>
    <w:rsid w:val="00B91423"/>
    <w:pPr>
      <w:tabs>
        <w:tab w:val="center" w:pos="4320"/>
        <w:tab w:val="right" w:pos="8640"/>
      </w:tabs>
    </w:pPr>
  </w:style>
  <w:style w:type="character" w:styleId="PageNumber">
    <w:name w:val="page number"/>
    <w:basedOn w:val="DefaultParagraphFont"/>
    <w:rsid w:val="00B91423"/>
  </w:style>
  <w:style w:type="character" w:styleId="Hyperlink">
    <w:name w:val="Hyperlink"/>
    <w:basedOn w:val="DefaultParagraphFont"/>
    <w:rsid w:val="00D97168"/>
    <w:rPr>
      <w:color w:val="0000FF"/>
      <w:u w:val="single"/>
    </w:rPr>
  </w:style>
  <w:style w:type="character" w:customStyle="1" w:styleId="Heading1Char">
    <w:name w:val="Heading 1 Char"/>
    <w:basedOn w:val="DefaultParagraphFont"/>
    <w:link w:val="Heading1"/>
    <w:rsid w:val="004C5DE3"/>
    <w:rPr>
      <w:rFonts w:ascii="Arial" w:hAnsi="Arial"/>
      <w:b/>
      <w:sz w:val="28"/>
    </w:rPr>
  </w:style>
  <w:style w:type="character" w:customStyle="1" w:styleId="FooterChar">
    <w:name w:val="Footer Char"/>
    <w:link w:val="Footer"/>
    <w:uiPriority w:val="99"/>
    <w:rsid w:val="004C5DE3"/>
    <w:rPr>
      <w:sz w:val="26"/>
      <w:szCs w:val="26"/>
    </w:rPr>
  </w:style>
  <w:style w:type="paragraph" w:styleId="BodyText">
    <w:name w:val="Body Text"/>
    <w:basedOn w:val="Normal"/>
    <w:link w:val="BodyTextChar"/>
    <w:unhideWhenUsed/>
    <w:rsid w:val="004C5DE3"/>
    <w:pPr>
      <w:jc w:val="both"/>
    </w:pPr>
    <w:rPr>
      <w:sz w:val="28"/>
      <w:szCs w:val="20"/>
    </w:rPr>
  </w:style>
  <w:style w:type="character" w:customStyle="1" w:styleId="BodyTextChar">
    <w:name w:val="Body Text Char"/>
    <w:basedOn w:val="DefaultParagraphFont"/>
    <w:link w:val="BodyText"/>
    <w:rsid w:val="004C5DE3"/>
    <w:rPr>
      <w:sz w:val="28"/>
    </w:rPr>
  </w:style>
  <w:style w:type="paragraph" w:styleId="FootnoteText">
    <w:name w:val="footnote text"/>
    <w:basedOn w:val="Normal"/>
    <w:link w:val="FootnoteTextChar"/>
    <w:rsid w:val="00D200FC"/>
    <w:rPr>
      <w:sz w:val="20"/>
      <w:szCs w:val="20"/>
    </w:rPr>
  </w:style>
  <w:style w:type="character" w:customStyle="1" w:styleId="FootnoteTextChar">
    <w:name w:val="Footnote Text Char"/>
    <w:basedOn w:val="DefaultParagraphFont"/>
    <w:link w:val="FootnoteText"/>
    <w:rsid w:val="00D200FC"/>
  </w:style>
  <w:style w:type="character" w:styleId="FootnoteReference">
    <w:name w:val="footnote reference"/>
    <w:basedOn w:val="DefaultParagraphFont"/>
    <w:rsid w:val="00D200FC"/>
    <w:rPr>
      <w:vertAlign w:val="superscript"/>
    </w:rPr>
  </w:style>
  <w:style w:type="paragraph" w:styleId="ListParagraph">
    <w:name w:val="List Paragraph"/>
    <w:basedOn w:val="Normal"/>
    <w:uiPriority w:val="34"/>
    <w:qFormat/>
    <w:rsid w:val="00A47CB5"/>
    <w:pPr>
      <w:ind w:left="720"/>
      <w:contextualSpacing/>
    </w:pPr>
  </w:style>
  <w:style w:type="character" w:styleId="FollowedHyperlink">
    <w:name w:val="FollowedHyperlink"/>
    <w:basedOn w:val="DefaultParagraphFont"/>
    <w:rsid w:val="009204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rsid w:val="004C5DE3"/>
    <w:pPr>
      <w:keepNext/>
      <w:spacing w:line="360" w:lineRule="auto"/>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434E"/>
    <w:rPr>
      <w:rFonts w:ascii="Tahoma" w:hAnsi="Tahoma" w:cs="Tahoma"/>
      <w:sz w:val="16"/>
      <w:szCs w:val="16"/>
    </w:rPr>
  </w:style>
  <w:style w:type="paragraph" w:styleId="Footer">
    <w:name w:val="footer"/>
    <w:basedOn w:val="Normal"/>
    <w:link w:val="FooterChar"/>
    <w:uiPriority w:val="99"/>
    <w:rsid w:val="00B91423"/>
    <w:pPr>
      <w:tabs>
        <w:tab w:val="center" w:pos="4320"/>
        <w:tab w:val="right" w:pos="8640"/>
      </w:tabs>
    </w:pPr>
  </w:style>
  <w:style w:type="character" w:styleId="PageNumber">
    <w:name w:val="page number"/>
    <w:basedOn w:val="DefaultParagraphFont"/>
    <w:rsid w:val="00B91423"/>
  </w:style>
  <w:style w:type="character" w:styleId="Hyperlink">
    <w:name w:val="Hyperlink"/>
    <w:basedOn w:val="DefaultParagraphFont"/>
    <w:rsid w:val="00D97168"/>
    <w:rPr>
      <w:color w:val="0000FF"/>
      <w:u w:val="single"/>
    </w:rPr>
  </w:style>
  <w:style w:type="character" w:customStyle="1" w:styleId="Heading1Char">
    <w:name w:val="Heading 1 Char"/>
    <w:basedOn w:val="DefaultParagraphFont"/>
    <w:link w:val="Heading1"/>
    <w:rsid w:val="004C5DE3"/>
    <w:rPr>
      <w:rFonts w:ascii="Arial" w:hAnsi="Arial"/>
      <w:b/>
      <w:sz w:val="28"/>
    </w:rPr>
  </w:style>
  <w:style w:type="character" w:customStyle="1" w:styleId="FooterChar">
    <w:name w:val="Footer Char"/>
    <w:link w:val="Footer"/>
    <w:uiPriority w:val="99"/>
    <w:rsid w:val="004C5DE3"/>
    <w:rPr>
      <w:sz w:val="26"/>
      <w:szCs w:val="26"/>
    </w:rPr>
  </w:style>
  <w:style w:type="paragraph" w:styleId="BodyText">
    <w:name w:val="Body Text"/>
    <w:basedOn w:val="Normal"/>
    <w:link w:val="BodyTextChar"/>
    <w:unhideWhenUsed/>
    <w:rsid w:val="004C5DE3"/>
    <w:pPr>
      <w:jc w:val="both"/>
    </w:pPr>
    <w:rPr>
      <w:sz w:val="28"/>
      <w:szCs w:val="20"/>
    </w:rPr>
  </w:style>
  <w:style w:type="character" w:customStyle="1" w:styleId="BodyTextChar">
    <w:name w:val="Body Text Char"/>
    <w:basedOn w:val="DefaultParagraphFont"/>
    <w:link w:val="BodyText"/>
    <w:rsid w:val="004C5DE3"/>
    <w:rPr>
      <w:sz w:val="28"/>
    </w:rPr>
  </w:style>
  <w:style w:type="paragraph" w:styleId="FootnoteText">
    <w:name w:val="footnote text"/>
    <w:basedOn w:val="Normal"/>
    <w:link w:val="FootnoteTextChar"/>
    <w:rsid w:val="00D200FC"/>
    <w:rPr>
      <w:sz w:val="20"/>
      <w:szCs w:val="20"/>
    </w:rPr>
  </w:style>
  <w:style w:type="character" w:customStyle="1" w:styleId="FootnoteTextChar">
    <w:name w:val="Footnote Text Char"/>
    <w:basedOn w:val="DefaultParagraphFont"/>
    <w:link w:val="FootnoteText"/>
    <w:rsid w:val="00D200FC"/>
  </w:style>
  <w:style w:type="character" w:styleId="FootnoteReference">
    <w:name w:val="footnote reference"/>
    <w:basedOn w:val="DefaultParagraphFont"/>
    <w:rsid w:val="00D200FC"/>
    <w:rPr>
      <w:vertAlign w:val="superscript"/>
    </w:rPr>
  </w:style>
  <w:style w:type="paragraph" w:styleId="ListParagraph">
    <w:name w:val="List Paragraph"/>
    <w:basedOn w:val="Normal"/>
    <w:uiPriority w:val="34"/>
    <w:qFormat/>
    <w:rsid w:val="00A47CB5"/>
    <w:pPr>
      <w:ind w:left="720"/>
      <w:contextualSpacing/>
    </w:pPr>
  </w:style>
  <w:style w:type="character" w:styleId="FollowedHyperlink">
    <w:name w:val="FollowedHyperlink"/>
    <w:basedOn w:val="DefaultParagraphFont"/>
    <w:rsid w:val="00920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log.simplejustice.us/2015/02/16/the-flood-gates-myth/" TargetMode="External"/><Relationship Id="rId4" Type="http://schemas.microsoft.com/office/2007/relationships/stylesWithEffects" Target="stylesWithEffects.xml"/><Relationship Id="rId9" Type="http://schemas.openxmlformats.org/officeDocument/2006/relationships/hyperlink" Target="mailto:marty.lieberman@old.marico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puters\Templates\Criminal%20Forms\A%20Blank%20Criminal%20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7E880-3AF3-4EBD-AAEB-6FA6672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Blank Criminal Pleading</Template>
  <TotalTime>12</TotalTime>
  <Pages>9</Pages>
  <Words>1683</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Office of the Legal Defender</vt:lpstr>
    </vt:vector>
  </TitlesOfParts>
  <Company>Maricopa County</Company>
  <LinksUpToDate>false</LinksUpToDate>
  <CharactersWithSpaces>11217</CharactersWithSpaces>
  <SharedDoc>false</SharedDoc>
  <HLinks>
    <vt:vector size="12" baseType="variant">
      <vt:variant>
        <vt:i4>117</vt:i4>
      </vt:variant>
      <vt:variant>
        <vt:i4>47</vt:i4>
      </vt:variant>
      <vt:variant>
        <vt:i4>0</vt:i4>
      </vt:variant>
      <vt:variant>
        <vt:i4>5</vt:i4>
      </vt:variant>
      <vt:variant>
        <vt:lpwstr>mailto:minute@old.maricopa.gov</vt:lpwstr>
      </vt:variant>
      <vt:variant>
        <vt:lpwstr/>
      </vt:variant>
      <vt:variant>
        <vt:i4>117</vt:i4>
      </vt:variant>
      <vt:variant>
        <vt:i4>4</vt:i4>
      </vt:variant>
      <vt:variant>
        <vt:i4>0</vt:i4>
      </vt:variant>
      <vt:variant>
        <vt:i4>5</vt:i4>
      </vt:variant>
      <vt:variant>
        <vt:lpwstr>mailto:minute@old.maricopa.gov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Legal Defender</dc:title>
  <dc:creator>Marty Lieberman - OLDX</dc:creator>
  <cp:lastModifiedBy>Marty Lieberman - OLDX</cp:lastModifiedBy>
  <cp:revision>5</cp:revision>
  <cp:lastPrinted>2015-10-22T23:23:00Z</cp:lastPrinted>
  <dcterms:created xsi:type="dcterms:W3CDTF">2015-10-22T23:19:00Z</dcterms:created>
  <dcterms:modified xsi:type="dcterms:W3CDTF">2015-10-22T23:33:00Z</dcterms:modified>
</cp:coreProperties>
</file>