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E7782" w14:textId="77777777" w:rsidR="00F17161" w:rsidRPr="001823A6" w:rsidRDefault="00F17161" w:rsidP="00F37E6A">
      <w:pPr>
        <w:pStyle w:val="NoSpacing"/>
        <w:rPr>
          <w:rFonts w:ascii="Cambria" w:hAnsi="Cambria" w:cs="Arial"/>
          <w:b/>
          <w:sz w:val="28"/>
          <w:szCs w:val="28"/>
          <w:u w:val="single"/>
        </w:rPr>
      </w:pPr>
      <w:bookmarkStart w:id="0" w:name="_GoBack"/>
      <w:bookmarkEnd w:id="0"/>
      <w:r w:rsidRPr="001823A6">
        <w:rPr>
          <w:rFonts w:ascii="Cambria" w:hAnsi="Cambria" w:cs="Arial"/>
          <w:b/>
          <w:sz w:val="28"/>
          <w:szCs w:val="28"/>
          <w:u w:val="single"/>
        </w:rPr>
        <w:t xml:space="preserve">Explanation of Reasons for Proposed Rule </w:t>
      </w:r>
    </w:p>
    <w:p w14:paraId="0DFB5EEA" w14:textId="77777777" w:rsidR="00454D2A" w:rsidRPr="001823A6" w:rsidRDefault="00F17161" w:rsidP="00F37E6A">
      <w:pPr>
        <w:pStyle w:val="NoSpacing"/>
        <w:rPr>
          <w:rFonts w:ascii="Cambria" w:hAnsi="Cambria" w:cs="Arial"/>
          <w:b/>
          <w:sz w:val="28"/>
          <w:szCs w:val="28"/>
          <w:u w:val="single"/>
        </w:rPr>
      </w:pPr>
      <w:r w:rsidRPr="001823A6">
        <w:rPr>
          <w:rFonts w:ascii="Cambria" w:hAnsi="Cambria" w:cs="Arial"/>
          <w:b/>
          <w:sz w:val="28"/>
          <w:szCs w:val="28"/>
          <w:u w:val="single"/>
        </w:rPr>
        <w:t xml:space="preserve">Restricting </w:t>
      </w:r>
      <w:r w:rsidR="007B2C89" w:rsidRPr="001823A6">
        <w:rPr>
          <w:rFonts w:ascii="Cambria" w:hAnsi="Cambria" w:cs="Arial"/>
          <w:b/>
          <w:sz w:val="28"/>
          <w:szCs w:val="28"/>
          <w:u w:val="single"/>
        </w:rPr>
        <w:t>Shackling</w:t>
      </w:r>
      <w:r w:rsidRPr="001823A6">
        <w:rPr>
          <w:rFonts w:ascii="Cambria" w:hAnsi="Cambria" w:cs="Arial"/>
          <w:b/>
          <w:sz w:val="28"/>
          <w:szCs w:val="28"/>
          <w:u w:val="single"/>
        </w:rPr>
        <w:t xml:space="preserve"> of Juveniles</w:t>
      </w:r>
      <w:r w:rsidR="007B2C89" w:rsidRPr="001823A6">
        <w:rPr>
          <w:rFonts w:ascii="Cambria" w:hAnsi="Cambria" w:cs="Arial"/>
          <w:b/>
          <w:sz w:val="28"/>
          <w:szCs w:val="28"/>
          <w:u w:val="single"/>
        </w:rPr>
        <w:t xml:space="preserve"> in </w:t>
      </w:r>
      <w:r w:rsidR="000C2001" w:rsidRPr="001823A6">
        <w:rPr>
          <w:rFonts w:ascii="Cambria" w:hAnsi="Cambria" w:cs="Arial"/>
          <w:b/>
          <w:sz w:val="28"/>
          <w:szCs w:val="28"/>
          <w:u w:val="single"/>
        </w:rPr>
        <w:t>Arizona</w:t>
      </w:r>
    </w:p>
    <w:p w14:paraId="7F7502AF" w14:textId="77777777" w:rsidR="00514E3C" w:rsidRPr="001823A6" w:rsidRDefault="00514E3C" w:rsidP="00F37E6A">
      <w:pPr>
        <w:pStyle w:val="NoSpacing"/>
        <w:rPr>
          <w:rFonts w:ascii="Cambria" w:hAnsi="Cambria" w:cs="Arial"/>
        </w:rPr>
      </w:pPr>
    </w:p>
    <w:p w14:paraId="3B0DC980" w14:textId="3FB1AE96" w:rsidR="00106D92" w:rsidRPr="001823A6" w:rsidRDefault="00106D92" w:rsidP="00106D92">
      <w:pPr>
        <w:rPr>
          <w:rFonts w:asciiTheme="minorHAnsi" w:hAnsiTheme="minorHAnsi" w:cs="Arial"/>
          <w:sz w:val="22"/>
          <w:szCs w:val="22"/>
        </w:rPr>
      </w:pPr>
      <w:r w:rsidRPr="001823A6">
        <w:rPr>
          <w:rFonts w:asciiTheme="minorHAnsi" w:hAnsiTheme="minorHAnsi" w:cs="Arial"/>
          <w:sz w:val="22"/>
          <w:szCs w:val="22"/>
        </w:rPr>
        <w:t xml:space="preserve">We request that the </w:t>
      </w:r>
      <w:r>
        <w:rPr>
          <w:rFonts w:asciiTheme="minorHAnsi" w:hAnsiTheme="minorHAnsi" w:cs="Arial"/>
          <w:sz w:val="22"/>
          <w:szCs w:val="22"/>
        </w:rPr>
        <w:t>Arizona</w:t>
      </w:r>
      <w:r w:rsidRPr="001823A6">
        <w:rPr>
          <w:rFonts w:asciiTheme="minorHAnsi" w:hAnsiTheme="minorHAnsi" w:cs="Arial"/>
          <w:sz w:val="22"/>
          <w:szCs w:val="22"/>
        </w:rPr>
        <w:t xml:space="preserve"> Supreme Court adopt a new rule that would explicitly prohibit the indiscriminate shackling of children in juvenile delinquency court proceedings unless there is a finding by the court that shackling is necessary for the safet</w:t>
      </w:r>
      <w:r>
        <w:rPr>
          <w:rFonts w:asciiTheme="minorHAnsi" w:hAnsiTheme="minorHAnsi" w:cs="Arial"/>
          <w:sz w:val="22"/>
          <w:szCs w:val="22"/>
        </w:rPr>
        <w:t xml:space="preserve">y and security of the child </w:t>
      </w:r>
      <w:r w:rsidRPr="001823A6">
        <w:rPr>
          <w:rFonts w:asciiTheme="minorHAnsi" w:hAnsiTheme="minorHAnsi" w:cs="Arial"/>
          <w:sz w:val="22"/>
          <w:szCs w:val="22"/>
        </w:rPr>
        <w:t xml:space="preserve">or others </w:t>
      </w:r>
      <w:r>
        <w:rPr>
          <w:rFonts w:asciiTheme="minorHAnsi" w:hAnsiTheme="minorHAnsi" w:cs="Arial"/>
          <w:sz w:val="22"/>
          <w:szCs w:val="22"/>
        </w:rPr>
        <w:t xml:space="preserve">in the courtroom </w:t>
      </w:r>
      <w:r w:rsidRPr="001823A6">
        <w:rPr>
          <w:rFonts w:asciiTheme="minorHAnsi" w:hAnsiTheme="minorHAnsi" w:cs="Arial"/>
          <w:sz w:val="22"/>
          <w:szCs w:val="22"/>
        </w:rPr>
        <w:t xml:space="preserve">and that </w:t>
      </w:r>
      <w:r>
        <w:rPr>
          <w:rFonts w:asciiTheme="minorHAnsi" w:hAnsiTheme="minorHAnsi" w:cs="Arial"/>
          <w:sz w:val="22"/>
          <w:szCs w:val="22"/>
        </w:rPr>
        <w:t>security cannot be achieved by less</w:t>
      </w:r>
      <w:r w:rsidRPr="001823A6">
        <w:rPr>
          <w:rFonts w:asciiTheme="minorHAnsi" w:hAnsiTheme="minorHAnsi" w:cs="Arial"/>
          <w:sz w:val="22"/>
          <w:szCs w:val="22"/>
        </w:rPr>
        <w:t xml:space="preserve"> restrictive alternatives. </w:t>
      </w:r>
    </w:p>
    <w:p w14:paraId="3B19CEFE" w14:textId="77777777" w:rsidR="000E6F10" w:rsidRPr="001823A6" w:rsidRDefault="000E6F10" w:rsidP="00F37E6A">
      <w:pPr>
        <w:rPr>
          <w:rStyle w:val="Emphasis"/>
          <w:rFonts w:asciiTheme="minorHAnsi" w:hAnsiTheme="minorHAnsi" w:cs="Arial"/>
          <w:i w:val="0"/>
          <w:sz w:val="22"/>
          <w:szCs w:val="22"/>
        </w:rPr>
      </w:pPr>
    </w:p>
    <w:p w14:paraId="6826C162" w14:textId="77777777" w:rsidR="001E1DF4" w:rsidRPr="001823A6" w:rsidRDefault="001E1DF4" w:rsidP="00F37E6A">
      <w:pPr>
        <w:rPr>
          <w:rFonts w:asciiTheme="minorHAnsi" w:hAnsiTheme="minorHAnsi" w:cs="Arial"/>
          <w:b/>
          <w:sz w:val="22"/>
          <w:szCs w:val="22"/>
        </w:rPr>
      </w:pPr>
      <w:r w:rsidRPr="001823A6">
        <w:rPr>
          <w:rFonts w:asciiTheme="minorHAnsi" w:hAnsiTheme="minorHAnsi" w:cs="Arial"/>
          <w:b/>
          <w:sz w:val="22"/>
          <w:szCs w:val="22"/>
        </w:rPr>
        <w:t>Current Shackling Practices in</w:t>
      </w:r>
      <w:r w:rsidR="000C2001" w:rsidRPr="001823A6">
        <w:rPr>
          <w:rFonts w:asciiTheme="minorHAnsi" w:hAnsiTheme="minorHAnsi" w:cs="Arial"/>
          <w:b/>
          <w:sz w:val="22"/>
          <w:szCs w:val="22"/>
        </w:rPr>
        <w:t xml:space="preserve"> Arizona</w:t>
      </w:r>
      <w:r w:rsidRPr="001823A6">
        <w:rPr>
          <w:rFonts w:asciiTheme="minorHAnsi" w:hAnsiTheme="minorHAnsi" w:cs="Arial"/>
          <w:b/>
          <w:sz w:val="22"/>
          <w:szCs w:val="22"/>
        </w:rPr>
        <w:t xml:space="preserve"> </w:t>
      </w:r>
    </w:p>
    <w:p w14:paraId="31D5C802" w14:textId="77777777" w:rsidR="001E1DF4" w:rsidRPr="001823A6" w:rsidRDefault="001E1DF4" w:rsidP="00F37E6A">
      <w:pPr>
        <w:rPr>
          <w:rFonts w:asciiTheme="minorHAnsi" w:hAnsiTheme="minorHAnsi" w:cs="Arial"/>
          <w:sz w:val="22"/>
          <w:szCs w:val="22"/>
        </w:rPr>
      </w:pPr>
    </w:p>
    <w:p w14:paraId="7166D4C8" w14:textId="3FE6089D" w:rsidR="00B9212E" w:rsidRPr="001823A6" w:rsidRDefault="001E764F" w:rsidP="00F37E6A">
      <w:pPr>
        <w:rPr>
          <w:rFonts w:asciiTheme="minorHAnsi" w:hAnsiTheme="minorHAnsi" w:cs="Arial"/>
          <w:sz w:val="22"/>
          <w:szCs w:val="22"/>
        </w:rPr>
      </w:pPr>
      <w:r w:rsidRPr="001823A6">
        <w:rPr>
          <w:rFonts w:asciiTheme="minorHAnsi" w:hAnsiTheme="minorHAnsi" w:cs="Arial"/>
          <w:sz w:val="22"/>
          <w:szCs w:val="22"/>
        </w:rPr>
        <w:t xml:space="preserve">Currently, there are numerous counties in </w:t>
      </w:r>
      <w:r w:rsidR="000C2001" w:rsidRPr="001823A6">
        <w:rPr>
          <w:rFonts w:asciiTheme="minorHAnsi" w:hAnsiTheme="minorHAnsi" w:cs="Arial"/>
          <w:sz w:val="22"/>
          <w:szCs w:val="22"/>
        </w:rPr>
        <w:t>Arizona</w:t>
      </w:r>
      <w:r w:rsidRPr="001823A6">
        <w:rPr>
          <w:rFonts w:asciiTheme="minorHAnsi" w:hAnsiTheme="minorHAnsi" w:cs="Arial"/>
          <w:sz w:val="22"/>
          <w:szCs w:val="22"/>
        </w:rPr>
        <w:t xml:space="preserve"> where children are routinely shackled during court proceedings – </w:t>
      </w:r>
      <w:r w:rsidR="00B207DA" w:rsidRPr="001823A6">
        <w:rPr>
          <w:rFonts w:asciiTheme="minorHAnsi" w:hAnsiTheme="minorHAnsi" w:cs="Arial"/>
          <w:sz w:val="22"/>
          <w:szCs w:val="22"/>
        </w:rPr>
        <w:t>without any evidence that the child presents a flight or safety risk</w:t>
      </w:r>
      <w:r w:rsidRPr="001823A6">
        <w:rPr>
          <w:rFonts w:asciiTheme="minorHAnsi" w:hAnsiTheme="minorHAnsi" w:cs="Arial"/>
          <w:sz w:val="22"/>
          <w:szCs w:val="22"/>
        </w:rPr>
        <w:t xml:space="preserve">.   </w:t>
      </w:r>
      <w:r w:rsidR="001E1DF4" w:rsidRPr="001823A6">
        <w:rPr>
          <w:rFonts w:asciiTheme="minorHAnsi" w:hAnsiTheme="minorHAnsi" w:cs="Arial"/>
          <w:sz w:val="22"/>
          <w:szCs w:val="22"/>
        </w:rPr>
        <w:t xml:space="preserve">Although data about the shackling of juveniles in </w:t>
      </w:r>
      <w:r w:rsidR="000C2001" w:rsidRPr="001823A6">
        <w:rPr>
          <w:rFonts w:asciiTheme="minorHAnsi" w:hAnsiTheme="minorHAnsi" w:cs="Arial"/>
          <w:sz w:val="22"/>
          <w:szCs w:val="22"/>
        </w:rPr>
        <w:t>Arizona</w:t>
      </w:r>
      <w:r w:rsidR="001E1DF4" w:rsidRPr="001823A6">
        <w:rPr>
          <w:rFonts w:asciiTheme="minorHAnsi" w:hAnsiTheme="minorHAnsi" w:cs="Arial"/>
          <w:sz w:val="22"/>
          <w:szCs w:val="22"/>
        </w:rPr>
        <w:t xml:space="preserve"> courts is not reported publicly,</w:t>
      </w:r>
      <w:r w:rsidR="00126180" w:rsidRPr="001823A6">
        <w:rPr>
          <w:rFonts w:asciiTheme="minorHAnsi" w:hAnsiTheme="minorHAnsi" w:cs="Arial"/>
          <w:sz w:val="22"/>
          <w:szCs w:val="22"/>
        </w:rPr>
        <w:t xml:space="preserve"> information gathered through news reports and conversations with </w:t>
      </w:r>
      <w:r w:rsidR="000A0DC0" w:rsidRPr="001823A6">
        <w:rPr>
          <w:rFonts w:asciiTheme="minorHAnsi" w:hAnsiTheme="minorHAnsi" w:cs="Arial"/>
          <w:sz w:val="22"/>
          <w:szCs w:val="22"/>
        </w:rPr>
        <w:t xml:space="preserve">judges and other </w:t>
      </w:r>
      <w:r w:rsidR="00126180" w:rsidRPr="001823A6">
        <w:rPr>
          <w:rFonts w:asciiTheme="minorHAnsi" w:hAnsiTheme="minorHAnsi" w:cs="Arial"/>
          <w:sz w:val="22"/>
          <w:szCs w:val="22"/>
        </w:rPr>
        <w:t>practitioners indicate</w:t>
      </w:r>
      <w:r w:rsidR="00FA5130">
        <w:rPr>
          <w:rFonts w:asciiTheme="minorHAnsi" w:hAnsiTheme="minorHAnsi" w:cs="Arial"/>
          <w:sz w:val="22"/>
          <w:szCs w:val="22"/>
        </w:rPr>
        <w:t>s</w:t>
      </w:r>
      <w:r w:rsidR="00126180" w:rsidRPr="001823A6">
        <w:rPr>
          <w:rFonts w:asciiTheme="minorHAnsi" w:hAnsiTheme="minorHAnsi" w:cs="Arial"/>
          <w:sz w:val="22"/>
          <w:szCs w:val="22"/>
        </w:rPr>
        <w:t xml:space="preserve"> that the practice is common </w:t>
      </w:r>
      <w:r w:rsidR="0068145C" w:rsidRPr="001823A6">
        <w:rPr>
          <w:rFonts w:asciiTheme="minorHAnsi" w:hAnsiTheme="minorHAnsi" w:cs="Arial"/>
          <w:sz w:val="22"/>
          <w:szCs w:val="22"/>
        </w:rPr>
        <w:t xml:space="preserve">in </w:t>
      </w:r>
      <w:r w:rsidR="000C2001" w:rsidRPr="001823A6">
        <w:rPr>
          <w:rFonts w:asciiTheme="minorHAnsi" w:hAnsiTheme="minorHAnsi" w:cs="Arial"/>
          <w:sz w:val="22"/>
          <w:szCs w:val="22"/>
        </w:rPr>
        <w:t>most</w:t>
      </w:r>
      <w:r w:rsidR="000A0DC0" w:rsidRPr="001823A6">
        <w:rPr>
          <w:rFonts w:asciiTheme="minorHAnsi" w:hAnsiTheme="minorHAnsi" w:cs="Arial"/>
          <w:sz w:val="22"/>
          <w:szCs w:val="22"/>
        </w:rPr>
        <w:t xml:space="preserve"> </w:t>
      </w:r>
      <w:r w:rsidR="00126180" w:rsidRPr="001823A6">
        <w:rPr>
          <w:rFonts w:asciiTheme="minorHAnsi" w:hAnsiTheme="minorHAnsi" w:cs="Arial"/>
          <w:sz w:val="22"/>
          <w:szCs w:val="22"/>
        </w:rPr>
        <w:t xml:space="preserve">counties throughout </w:t>
      </w:r>
      <w:r w:rsidR="000C2001" w:rsidRPr="001823A6">
        <w:rPr>
          <w:rFonts w:asciiTheme="minorHAnsi" w:hAnsiTheme="minorHAnsi" w:cs="Arial"/>
          <w:sz w:val="22"/>
          <w:szCs w:val="22"/>
        </w:rPr>
        <w:t>the state</w:t>
      </w:r>
      <w:r w:rsidR="000A0DC0" w:rsidRPr="001823A6">
        <w:rPr>
          <w:rFonts w:asciiTheme="minorHAnsi" w:hAnsiTheme="minorHAnsi" w:cs="Arial"/>
          <w:sz w:val="22"/>
          <w:szCs w:val="22"/>
        </w:rPr>
        <w:t>.</w:t>
      </w:r>
      <w:r w:rsidR="00B207DA" w:rsidRPr="001823A6">
        <w:rPr>
          <w:rFonts w:asciiTheme="minorHAnsi" w:hAnsiTheme="minorHAnsi" w:cs="Arial"/>
          <w:sz w:val="22"/>
          <w:szCs w:val="22"/>
        </w:rPr>
        <w:t xml:space="preserve"> Even where shackling is limited, an unnecessarily high number of youth may still be shackled. For example, in Maricopa County, despite some policy changes, 60 percent of youth in the courtroom are shackled.</w:t>
      </w:r>
      <w:r w:rsidR="00B207DA" w:rsidRPr="001823A6">
        <w:rPr>
          <w:rStyle w:val="FootnoteReference"/>
          <w:rFonts w:asciiTheme="minorHAnsi" w:hAnsiTheme="minorHAnsi" w:cs="Arial"/>
          <w:sz w:val="22"/>
          <w:szCs w:val="22"/>
        </w:rPr>
        <w:footnoteReference w:id="1"/>
      </w:r>
      <w:r w:rsidR="00BD5948" w:rsidRPr="001823A6">
        <w:rPr>
          <w:rFonts w:asciiTheme="minorHAnsi" w:hAnsiTheme="minorHAnsi" w:cs="Arial"/>
          <w:sz w:val="22"/>
          <w:szCs w:val="22"/>
        </w:rPr>
        <w:t xml:space="preserve"> </w:t>
      </w:r>
      <w:r w:rsidR="00126180" w:rsidRPr="001823A6">
        <w:rPr>
          <w:rFonts w:asciiTheme="minorHAnsi" w:hAnsiTheme="minorHAnsi" w:cs="Arial"/>
          <w:sz w:val="22"/>
          <w:szCs w:val="22"/>
        </w:rPr>
        <w:t xml:space="preserve">  </w:t>
      </w:r>
    </w:p>
    <w:p w14:paraId="10FDF79E" w14:textId="77777777" w:rsidR="000C2001" w:rsidRPr="001823A6" w:rsidRDefault="000C2001" w:rsidP="00F37E6A">
      <w:pPr>
        <w:rPr>
          <w:rFonts w:asciiTheme="minorHAnsi" w:hAnsiTheme="minorHAnsi" w:cs="Arial"/>
          <w:sz w:val="22"/>
          <w:szCs w:val="22"/>
        </w:rPr>
      </w:pPr>
    </w:p>
    <w:p w14:paraId="3CC9C02C" w14:textId="77777777" w:rsidR="00106D92" w:rsidRPr="001823A6" w:rsidRDefault="00106D92" w:rsidP="00106D92">
      <w:pPr>
        <w:rPr>
          <w:rFonts w:asciiTheme="minorHAnsi" w:hAnsiTheme="minorHAnsi" w:cs="Arial"/>
          <w:b/>
          <w:sz w:val="22"/>
          <w:szCs w:val="22"/>
        </w:rPr>
      </w:pPr>
      <w:r w:rsidRPr="001823A6">
        <w:rPr>
          <w:rFonts w:asciiTheme="minorHAnsi" w:hAnsiTheme="minorHAnsi" w:cs="Arial"/>
          <w:b/>
          <w:sz w:val="22"/>
          <w:szCs w:val="22"/>
        </w:rPr>
        <w:t xml:space="preserve">Shackling Impairs </w:t>
      </w:r>
      <w:r>
        <w:rPr>
          <w:rFonts w:asciiTheme="minorHAnsi" w:hAnsiTheme="minorHAnsi" w:cs="Arial"/>
          <w:b/>
          <w:sz w:val="22"/>
          <w:szCs w:val="22"/>
        </w:rPr>
        <w:t xml:space="preserve">a Child’s </w:t>
      </w:r>
      <w:r w:rsidRPr="001823A6">
        <w:rPr>
          <w:rFonts w:asciiTheme="minorHAnsi" w:hAnsiTheme="minorHAnsi" w:cs="Arial"/>
          <w:b/>
          <w:sz w:val="22"/>
          <w:szCs w:val="22"/>
        </w:rPr>
        <w:t>Ability to Pay Attention</w:t>
      </w:r>
      <w:r>
        <w:rPr>
          <w:rFonts w:asciiTheme="minorHAnsi" w:hAnsiTheme="minorHAnsi" w:cs="Arial"/>
          <w:b/>
          <w:sz w:val="22"/>
          <w:szCs w:val="22"/>
        </w:rPr>
        <w:t>,</w:t>
      </w:r>
      <w:r w:rsidRPr="001823A6">
        <w:rPr>
          <w:rFonts w:asciiTheme="minorHAnsi" w:hAnsiTheme="minorHAnsi" w:cs="Arial"/>
          <w:b/>
          <w:sz w:val="22"/>
          <w:szCs w:val="22"/>
        </w:rPr>
        <w:t xml:space="preserve"> Communicate</w:t>
      </w:r>
      <w:r>
        <w:rPr>
          <w:rFonts w:asciiTheme="minorHAnsi" w:hAnsiTheme="minorHAnsi" w:cs="Arial"/>
          <w:b/>
          <w:sz w:val="22"/>
          <w:szCs w:val="22"/>
        </w:rPr>
        <w:t xml:space="preserve"> and Behave Respectfully</w:t>
      </w:r>
    </w:p>
    <w:p w14:paraId="22DE1C3F" w14:textId="77777777" w:rsidR="00106D92" w:rsidRPr="001823A6" w:rsidRDefault="00106D92" w:rsidP="00106D92">
      <w:pPr>
        <w:pStyle w:val="NoSpacing"/>
        <w:rPr>
          <w:rFonts w:asciiTheme="minorHAnsi" w:hAnsiTheme="minorHAnsi" w:cs="Arial"/>
          <w:sz w:val="22"/>
          <w:szCs w:val="22"/>
        </w:rPr>
      </w:pPr>
    </w:p>
    <w:p w14:paraId="3DEE6292" w14:textId="77777777" w:rsidR="00106D92" w:rsidRPr="001823A6" w:rsidRDefault="00106D92" w:rsidP="00106D92">
      <w:pPr>
        <w:rPr>
          <w:rFonts w:asciiTheme="minorHAnsi" w:hAnsiTheme="minorHAnsi" w:cs="Arial"/>
          <w:sz w:val="22"/>
          <w:szCs w:val="22"/>
        </w:rPr>
      </w:pPr>
      <w:r>
        <w:rPr>
          <w:rFonts w:asciiTheme="minorHAnsi" w:hAnsiTheme="minorHAnsi" w:cs="Arial"/>
          <w:sz w:val="22"/>
          <w:szCs w:val="22"/>
        </w:rPr>
        <w:t>Medical, m</w:t>
      </w:r>
      <w:r w:rsidRPr="001823A6">
        <w:rPr>
          <w:rFonts w:asciiTheme="minorHAnsi" w:hAnsiTheme="minorHAnsi" w:cs="Arial"/>
          <w:sz w:val="22"/>
          <w:szCs w:val="22"/>
        </w:rPr>
        <w:t>ental health</w:t>
      </w:r>
      <w:r>
        <w:rPr>
          <w:rFonts w:asciiTheme="minorHAnsi" w:hAnsiTheme="minorHAnsi" w:cs="Arial"/>
          <w:sz w:val="22"/>
          <w:szCs w:val="22"/>
        </w:rPr>
        <w:t xml:space="preserve"> and legal</w:t>
      </w:r>
      <w:r w:rsidRPr="001823A6">
        <w:rPr>
          <w:rFonts w:asciiTheme="minorHAnsi" w:hAnsiTheme="minorHAnsi" w:cs="Arial"/>
          <w:sz w:val="22"/>
          <w:szCs w:val="22"/>
        </w:rPr>
        <w:t xml:space="preserve"> experts agree that shackling harms children – from revisiting trauma to decreasing capacity to participate in proceedings.</w:t>
      </w:r>
      <w:r w:rsidRPr="001823A6">
        <w:rPr>
          <w:rStyle w:val="FootnoteReference"/>
          <w:rFonts w:asciiTheme="minorHAnsi" w:hAnsiTheme="minorHAnsi" w:cs="Arial"/>
          <w:sz w:val="22"/>
          <w:szCs w:val="22"/>
        </w:rPr>
        <w:footnoteReference w:id="2"/>
      </w:r>
      <w:r w:rsidRPr="001823A6">
        <w:rPr>
          <w:rFonts w:asciiTheme="minorHAnsi" w:hAnsiTheme="minorHAnsi" w:cs="Arial"/>
          <w:sz w:val="22"/>
          <w:szCs w:val="22"/>
        </w:rPr>
        <w:t xml:space="preserve"> Shackles make it difficult for children to </w:t>
      </w:r>
      <w:r>
        <w:rPr>
          <w:rFonts w:asciiTheme="minorHAnsi" w:hAnsiTheme="minorHAnsi" w:cs="Arial"/>
          <w:sz w:val="22"/>
          <w:szCs w:val="22"/>
        </w:rPr>
        <w:t>assist</w:t>
      </w:r>
      <w:r w:rsidRPr="001823A6">
        <w:rPr>
          <w:rFonts w:asciiTheme="minorHAnsi" w:hAnsiTheme="minorHAnsi" w:cs="Arial"/>
          <w:sz w:val="22"/>
          <w:szCs w:val="22"/>
        </w:rPr>
        <w:t xml:space="preserve"> in their own defense. Leading mental health professionals tell us that shackled children have a harder time following judges’ instructions, taking notes, recollecting narratives, and even appearing truthful.</w:t>
      </w:r>
      <w:r>
        <w:rPr>
          <w:rStyle w:val="FootnoteReference"/>
          <w:rFonts w:asciiTheme="minorHAnsi" w:hAnsiTheme="minorHAnsi" w:cs="Arial"/>
          <w:sz w:val="22"/>
          <w:szCs w:val="22"/>
        </w:rPr>
        <w:footnoteReference w:id="3"/>
      </w:r>
      <w:r w:rsidRPr="001823A6">
        <w:rPr>
          <w:rFonts w:asciiTheme="minorHAnsi" w:hAnsiTheme="minorHAnsi" w:cs="Arial"/>
          <w:sz w:val="22"/>
          <w:szCs w:val="22"/>
        </w:rPr>
        <w:t xml:space="preserve"> Children wearing </w:t>
      </w:r>
      <w:r>
        <w:rPr>
          <w:rFonts w:asciiTheme="minorHAnsi" w:hAnsiTheme="minorHAnsi" w:cs="Arial"/>
          <w:sz w:val="22"/>
          <w:szCs w:val="22"/>
        </w:rPr>
        <w:t>restraints</w:t>
      </w:r>
      <w:r w:rsidRPr="001823A6">
        <w:rPr>
          <w:rFonts w:asciiTheme="minorHAnsi" w:hAnsiTheme="minorHAnsi" w:cs="Arial"/>
          <w:sz w:val="22"/>
          <w:szCs w:val="22"/>
        </w:rPr>
        <w:t xml:space="preserve"> are less likely to communicate effectively and more likely </w:t>
      </w:r>
      <w:r>
        <w:rPr>
          <w:rFonts w:asciiTheme="minorHAnsi" w:hAnsiTheme="minorHAnsi" w:cs="Arial"/>
          <w:sz w:val="22"/>
          <w:szCs w:val="22"/>
        </w:rPr>
        <w:t xml:space="preserve">to come across poorly to judges -- </w:t>
      </w:r>
      <w:r w:rsidRPr="001823A6">
        <w:rPr>
          <w:rFonts w:asciiTheme="minorHAnsi" w:hAnsiTheme="minorHAnsi" w:cs="Arial"/>
          <w:sz w:val="22"/>
          <w:szCs w:val="22"/>
        </w:rPr>
        <w:t>not simply because of what the child looks like in shackles, but because the stress associated with restraints diminishes their cognitive and language skills.</w:t>
      </w:r>
      <w:r>
        <w:rPr>
          <w:rStyle w:val="FootnoteReference"/>
          <w:rFonts w:asciiTheme="minorHAnsi" w:hAnsiTheme="minorHAnsi" w:cs="Arial"/>
          <w:sz w:val="22"/>
          <w:szCs w:val="22"/>
        </w:rPr>
        <w:footnoteReference w:id="4"/>
      </w:r>
      <w:r w:rsidRPr="001823A6">
        <w:rPr>
          <w:rFonts w:asciiTheme="minorHAnsi" w:hAnsiTheme="minorHAnsi" w:cs="Arial"/>
          <w:sz w:val="22"/>
          <w:szCs w:val="22"/>
        </w:rPr>
        <w:t xml:space="preserve"> Restraints also make a child more likely to act out.</w:t>
      </w:r>
      <w:r w:rsidRPr="001823A6">
        <w:rPr>
          <w:rStyle w:val="FootnoteReference"/>
          <w:rFonts w:asciiTheme="minorHAnsi" w:hAnsiTheme="minorHAnsi" w:cs="Arial"/>
          <w:sz w:val="22"/>
          <w:szCs w:val="22"/>
        </w:rPr>
        <w:footnoteReference w:id="5"/>
      </w:r>
      <w:r w:rsidRPr="001823A6">
        <w:rPr>
          <w:rFonts w:asciiTheme="minorHAnsi" w:hAnsiTheme="minorHAnsi" w:cs="Arial"/>
          <w:sz w:val="22"/>
          <w:szCs w:val="22"/>
        </w:rPr>
        <w:t xml:space="preserve"> </w:t>
      </w:r>
    </w:p>
    <w:p w14:paraId="7D485207" w14:textId="77777777" w:rsidR="00106D92" w:rsidRPr="001823A6" w:rsidRDefault="00106D92" w:rsidP="00106D92">
      <w:pPr>
        <w:pStyle w:val="NoSpacing"/>
        <w:rPr>
          <w:rFonts w:asciiTheme="minorHAnsi" w:hAnsiTheme="minorHAnsi" w:cs="Arial"/>
          <w:sz w:val="22"/>
          <w:szCs w:val="22"/>
        </w:rPr>
      </w:pPr>
    </w:p>
    <w:p w14:paraId="5A7FD253" w14:textId="77777777" w:rsidR="00106D92" w:rsidRPr="001823A6" w:rsidRDefault="00106D92" w:rsidP="00106D92">
      <w:pPr>
        <w:pStyle w:val="NoSpacing"/>
        <w:rPr>
          <w:rFonts w:asciiTheme="minorHAnsi" w:hAnsiTheme="minorHAnsi" w:cs="Arial"/>
          <w:b/>
          <w:sz w:val="22"/>
          <w:szCs w:val="22"/>
        </w:rPr>
      </w:pPr>
      <w:r w:rsidRPr="001823A6">
        <w:rPr>
          <w:rFonts w:asciiTheme="minorHAnsi" w:hAnsiTheme="minorHAnsi" w:cs="Arial"/>
          <w:b/>
          <w:sz w:val="22"/>
          <w:szCs w:val="22"/>
        </w:rPr>
        <w:t>Shackling is Traumatic for Children</w:t>
      </w:r>
    </w:p>
    <w:p w14:paraId="74B496B0" w14:textId="77777777" w:rsidR="00106D92" w:rsidRPr="001823A6" w:rsidRDefault="00106D92" w:rsidP="00106D92">
      <w:pPr>
        <w:pStyle w:val="NoSpacing"/>
        <w:rPr>
          <w:rFonts w:asciiTheme="minorHAnsi" w:hAnsiTheme="minorHAnsi" w:cs="Arial"/>
          <w:sz w:val="22"/>
          <w:szCs w:val="22"/>
        </w:rPr>
      </w:pPr>
    </w:p>
    <w:p w14:paraId="2B48295E" w14:textId="7786E87F" w:rsidR="00106D92" w:rsidRDefault="00106D92" w:rsidP="00106D92">
      <w:pPr>
        <w:pStyle w:val="NoSpacing"/>
        <w:rPr>
          <w:rFonts w:asciiTheme="minorHAnsi" w:hAnsiTheme="minorHAnsi" w:cs="Arial"/>
          <w:sz w:val="22"/>
          <w:szCs w:val="22"/>
        </w:rPr>
      </w:pPr>
      <w:r w:rsidRPr="001823A6">
        <w:rPr>
          <w:rFonts w:asciiTheme="minorHAnsi" w:hAnsiTheme="minorHAnsi" w:cs="Arial"/>
          <w:sz w:val="22"/>
          <w:szCs w:val="22"/>
        </w:rPr>
        <w:t xml:space="preserve">Experts see a link between trauma and </w:t>
      </w:r>
      <w:r>
        <w:rPr>
          <w:rFonts w:asciiTheme="minorHAnsi" w:hAnsiTheme="minorHAnsi" w:cs="Arial"/>
          <w:sz w:val="22"/>
          <w:szCs w:val="22"/>
        </w:rPr>
        <w:t>in-court restraint use</w:t>
      </w:r>
      <w:r w:rsidRPr="001823A6">
        <w:rPr>
          <w:rFonts w:asciiTheme="minorHAnsi" w:hAnsiTheme="minorHAnsi" w:cs="Arial"/>
          <w:sz w:val="22"/>
          <w:szCs w:val="22"/>
        </w:rPr>
        <w:t>.</w:t>
      </w:r>
      <w:r w:rsidRPr="001823A6">
        <w:rPr>
          <w:rStyle w:val="FootnoteReference"/>
          <w:rFonts w:asciiTheme="minorHAnsi" w:hAnsiTheme="minorHAnsi" w:cs="Arial"/>
          <w:sz w:val="22"/>
          <w:szCs w:val="22"/>
        </w:rPr>
        <w:footnoteReference w:id="6"/>
      </w:r>
      <w:r w:rsidRPr="001823A6">
        <w:rPr>
          <w:rFonts w:asciiTheme="minorHAnsi" w:hAnsiTheme="minorHAnsi" w:cs="Arial"/>
          <w:sz w:val="22"/>
          <w:szCs w:val="22"/>
        </w:rPr>
        <w:t xml:space="preserve"> Shackling often involves a sense of powerlessness, betrayal, fear, humiliation, and pain. The experience of indiscriminate shackling brings up earlier childhood traumas and increases the likelihood that the effects of th</w:t>
      </w:r>
      <w:r>
        <w:rPr>
          <w:rFonts w:asciiTheme="minorHAnsi" w:hAnsiTheme="minorHAnsi" w:cs="Arial"/>
          <w:sz w:val="22"/>
          <w:szCs w:val="22"/>
        </w:rPr>
        <w:t>ese</w:t>
      </w:r>
      <w:r w:rsidRPr="001823A6">
        <w:rPr>
          <w:rFonts w:asciiTheme="minorHAnsi" w:hAnsiTheme="minorHAnsi" w:cs="Arial"/>
          <w:sz w:val="22"/>
          <w:szCs w:val="22"/>
        </w:rPr>
        <w:t xml:space="preserve"> trauma</w:t>
      </w:r>
      <w:r>
        <w:rPr>
          <w:rFonts w:asciiTheme="minorHAnsi" w:hAnsiTheme="minorHAnsi" w:cs="Arial"/>
          <w:sz w:val="22"/>
          <w:szCs w:val="22"/>
        </w:rPr>
        <w:t>s</w:t>
      </w:r>
      <w:r w:rsidRPr="001823A6">
        <w:rPr>
          <w:rFonts w:asciiTheme="minorHAnsi" w:hAnsiTheme="minorHAnsi" w:cs="Arial"/>
          <w:sz w:val="22"/>
          <w:szCs w:val="22"/>
        </w:rPr>
        <w:t xml:space="preserve"> will reverberate for years to come.</w:t>
      </w:r>
      <w:r>
        <w:rPr>
          <w:rStyle w:val="FootnoteReference"/>
          <w:rFonts w:asciiTheme="minorHAnsi" w:hAnsiTheme="minorHAnsi" w:cs="Arial"/>
          <w:sz w:val="22"/>
          <w:szCs w:val="22"/>
        </w:rPr>
        <w:footnoteReference w:id="7"/>
      </w:r>
      <w:r w:rsidRPr="001823A6">
        <w:rPr>
          <w:rFonts w:asciiTheme="minorHAnsi" w:hAnsiTheme="minorHAnsi" w:cs="Arial"/>
          <w:sz w:val="22"/>
          <w:szCs w:val="22"/>
        </w:rPr>
        <w:t xml:space="preserve">  In addition, shackles inhibit a child’s motivation and ability to develop the capacity for self-regulation.</w:t>
      </w:r>
      <w:r w:rsidRPr="001823A6">
        <w:rPr>
          <w:rStyle w:val="FootnoteReference"/>
          <w:rFonts w:asciiTheme="minorHAnsi" w:hAnsiTheme="minorHAnsi" w:cs="Arial"/>
          <w:sz w:val="22"/>
          <w:szCs w:val="22"/>
        </w:rPr>
        <w:footnoteReference w:id="8"/>
      </w:r>
      <w:r w:rsidRPr="001823A6">
        <w:rPr>
          <w:rFonts w:asciiTheme="minorHAnsi" w:hAnsiTheme="minorHAnsi" w:cs="Arial"/>
          <w:sz w:val="22"/>
          <w:szCs w:val="22"/>
        </w:rPr>
        <w:t xml:space="preserve"> Because of this grave risk of harm, it is critical to limit shackling in as many contexts as possible. In Arizona, children may be shackled when they are led by staff from detention to the courtroom – even when those two functions happen in the same building.  This proposed rule addresses the emotional and psychological harm shackling causes to youth, not simply its possible impact on the outcome of the legal proceeding.</w:t>
      </w:r>
    </w:p>
    <w:p w14:paraId="0D924806" w14:textId="77777777" w:rsidR="00106D92" w:rsidRPr="001823A6" w:rsidRDefault="00106D92" w:rsidP="00106D92">
      <w:pPr>
        <w:pStyle w:val="NoSpacing"/>
        <w:rPr>
          <w:rFonts w:asciiTheme="minorHAnsi" w:hAnsiTheme="minorHAnsi" w:cs="Arial"/>
          <w:sz w:val="22"/>
          <w:szCs w:val="22"/>
        </w:rPr>
      </w:pPr>
    </w:p>
    <w:p w14:paraId="0A67D6DD" w14:textId="77777777" w:rsidR="00106D92" w:rsidRPr="001823A6" w:rsidRDefault="00106D92" w:rsidP="00106D92">
      <w:pPr>
        <w:pStyle w:val="NoSpacing"/>
        <w:rPr>
          <w:rFonts w:asciiTheme="minorHAnsi" w:hAnsiTheme="minorHAnsi" w:cs="Arial"/>
          <w:b/>
          <w:sz w:val="22"/>
          <w:szCs w:val="22"/>
        </w:rPr>
      </w:pPr>
      <w:r w:rsidRPr="001823A6">
        <w:rPr>
          <w:rFonts w:asciiTheme="minorHAnsi" w:hAnsiTheme="minorHAnsi" w:cs="Arial"/>
          <w:b/>
          <w:sz w:val="22"/>
          <w:szCs w:val="22"/>
        </w:rPr>
        <w:t>National Organizations Are Calling for the End of Shackling</w:t>
      </w:r>
    </w:p>
    <w:p w14:paraId="4CAA9C59" w14:textId="77777777" w:rsidR="00106D92" w:rsidRPr="001823A6" w:rsidRDefault="00106D92" w:rsidP="00106D92">
      <w:pPr>
        <w:pStyle w:val="NoSpacing"/>
        <w:rPr>
          <w:rFonts w:asciiTheme="minorHAnsi" w:hAnsiTheme="minorHAnsi" w:cs="Arial"/>
          <w:sz w:val="22"/>
          <w:szCs w:val="22"/>
        </w:rPr>
      </w:pPr>
    </w:p>
    <w:p w14:paraId="483CE7C9" w14:textId="77777777" w:rsidR="00106D92" w:rsidRPr="001823A6" w:rsidRDefault="00106D92" w:rsidP="00106D92">
      <w:pPr>
        <w:rPr>
          <w:rFonts w:asciiTheme="minorHAnsi" w:hAnsiTheme="minorHAnsi" w:cs="Arial"/>
          <w:sz w:val="22"/>
          <w:szCs w:val="22"/>
        </w:rPr>
      </w:pPr>
      <w:r w:rsidRPr="001823A6">
        <w:rPr>
          <w:rFonts w:asciiTheme="minorHAnsi" w:hAnsiTheme="minorHAnsi" w:cs="Arial"/>
          <w:sz w:val="22"/>
          <w:szCs w:val="22"/>
        </w:rPr>
        <w:t xml:space="preserve">The harm of indiscriminate shackling is broadly recognized. </w:t>
      </w:r>
    </w:p>
    <w:p w14:paraId="6394E19C" w14:textId="77777777" w:rsidR="00106D92" w:rsidRPr="001823A6" w:rsidRDefault="00106D92" w:rsidP="00106D92">
      <w:pPr>
        <w:rPr>
          <w:rFonts w:asciiTheme="minorHAnsi" w:hAnsiTheme="minorHAnsi" w:cs="Arial"/>
          <w:sz w:val="22"/>
          <w:szCs w:val="22"/>
        </w:rPr>
      </w:pPr>
    </w:p>
    <w:p w14:paraId="61A00479" w14:textId="77777777" w:rsidR="00106D92" w:rsidRPr="001823A6" w:rsidRDefault="00106D92" w:rsidP="00106D92">
      <w:pPr>
        <w:pStyle w:val="NoSpacing"/>
        <w:rPr>
          <w:rFonts w:asciiTheme="minorHAnsi" w:hAnsiTheme="minorHAnsi" w:cs="Arial"/>
          <w:sz w:val="22"/>
          <w:szCs w:val="22"/>
        </w:rPr>
      </w:pPr>
      <w:r w:rsidRPr="001823A6">
        <w:rPr>
          <w:rFonts w:asciiTheme="minorHAnsi" w:hAnsiTheme="minorHAnsi" w:cs="Arial"/>
          <w:sz w:val="22"/>
          <w:szCs w:val="22"/>
        </w:rPr>
        <w:t>In addition to the American Bar Association</w:t>
      </w:r>
      <w:r>
        <w:rPr>
          <w:rFonts w:asciiTheme="minorHAnsi" w:hAnsiTheme="minorHAnsi" w:cs="Arial"/>
          <w:sz w:val="22"/>
          <w:szCs w:val="22"/>
        </w:rPr>
        <w:t xml:space="preserve"> and the National Council of Juvenile and Family Court Judges</w:t>
      </w:r>
      <w:r w:rsidRPr="001823A6">
        <w:rPr>
          <w:rFonts w:asciiTheme="minorHAnsi" w:hAnsiTheme="minorHAnsi" w:cs="Arial"/>
          <w:sz w:val="22"/>
          <w:szCs w:val="22"/>
        </w:rPr>
        <w:t xml:space="preserve">, </w:t>
      </w:r>
      <w:r>
        <w:rPr>
          <w:rFonts w:asciiTheme="minorHAnsi" w:hAnsiTheme="minorHAnsi" w:cs="Arial"/>
          <w:sz w:val="22"/>
          <w:szCs w:val="22"/>
        </w:rPr>
        <w:t>many</w:t>
      </w:r>
      <w:r w:rsidRPr="001823A6">
        <w:rPr>
          <w:rFonts w:asciiTheme="minorHAnsi" w:hAnsiTheme="minorHAnsi" w:cs="Arial"/>
          <w:sz w:val="22"/>
          <w:szCs w:val="22"/>
        </w:rPr>
        <w:t xml:space="preserve"> other professional organizations support shackling reform. They include the Association of Prosecuting Attorneys, National Child Traumatic Stress Network, American Academy of Child and Adolescent Psychiatry, American </w:t>
      </w:r>
      <w:proofErr w:type="spellStart"/>
      <w:r w:rsidRPr="001823A6">
        <w:rPr>
          <w:rFonts w:asciiTheme="minorHAnsi" w:hAnsiTheme="minorHAnsi" w:cs="Arial"/>
          <w:sz w:val="22"/>
          <w:szCs w:val="22"/>
        </w:rPr>
        <w:t>Orthopsychiatric</w:t>
      </w:r>
      <w:proofErr w:type="spellEnd"/>
      <w:r w:rsidRPr="001823A6">
        <w:rPr>
          <w:rFonts w:asciiTheme="minorHAnsi" w:hAnsiTheme="minorHAnsi" w:cs="Arial"/>
          <w:sz w:val="22"/>
          <w:szCs w:val="22"/>
        </w:rPr>
        <w:t xml:space="preserve"> Association, Child Welfare League of America, and National Center for Mental Health and Juvenile Justice.</w:t>
      </w:r>
      <w:r w:rsidRPr="001823A6">
        <w:rPr>
          <w:rStyle w:val="FootnoteReference"/>
          <w:rFonts w:asciiTheme="minorHAnsi" w:hAnsiTheme="minorHAnsi" w:cs="Arial"/>
          <w:sz w:val="22"/>
          <w:szCs w:val="22"/>
        </w:rPr>
        <w:footnoteReference w:id="9"/>
      </w:r>
      <w:r w:rsidRPr="001823A6">
        <w:rPr>
          <w:rFonts w:asciiTheme="minorHAnsi" w:hAnsiTheme="minorHAnsi" w:cs="Arial"/>
          <w:sz w:val="22"/>
          <w:szCs w:val="22"/>
        </w:rPr>
        <w:t xml:space="preserve"> </w:t>
      </w:r>
    </w:p>
    <w:p w14:paraId="52D877E3" w14:textId="77777777" w:rsidR="00106D92" w:rsidRPr="001823A6" w:rsidRDefault="00106D92" w:rsidP="00106D92">
      <w:pPr>
        <w:pStyle w:val="NoSpacing"/>
        <w:rPr>
          <w:rFonts w:asciiTheme="minorHAnsi" w:hAnsiTheme="minorHAnsi" w:cs="Arial"/>
          <w:sz w:val="22"/>
          <w:szCs w:val="22"/>
        </w:rPr>
      </w:pPr>
    </w:p>
    <w:p w14:paraId="557C28D0" w14:textId="77777777" w:rsidR="00106D92" w:rsidRPr="001823A6" w:rsidRDefault="00106D92" w:rsidP="00106D92">
      <w:pPr>
        <w:pStyle w:val="NoSpacing"/>
        <w:rPr>
          <w:rFonts w:asciiTheme="minorHAnsi" w:hAnsiTheme="minorHAnsi" w:cs="Arial"/>
          <w:b/>
          <w:sz w:val="22"/>
          <w:szCs w:val="22"/>
        </w:rPr>
      </w:pPr>
      <w:r w:rsidRPr="001823A6">
        <w:rPr>
          <w:rFonts w:asciiTheme="minorHAnsi" w:hAnsiTheme="minorHAnsi" w:cs="Arial"/>
          <w:b/>
          <w:sz w:val="22"/>
          <w:szCs w:val="22"/>
        </w:rPr>
        <w:t>Many States Have Stopped Indiscriminately Shackling Children</w:t>
      </w:r>
    </w:p>
    <w:p w14:paraId="17369C3D" w14:textId="77777777" w:rsidR="00106D92" w:rsidRPr="001823A6" w:rsidRDefault="00106D92" w:rsidP="00106D92">
      <w:pPr>
        <w:pStyle w:val="NoSpacing"/>
        <w:rPr>
          <w:rFonts w:asciiTheme="minorHAnsi" w:hAnsiTheme="minorHAnsi" w:cs="Arial"/>
          <w:sz w:val="22"/>
          <w:szCs w:val="22"/>
        </w:rPr>
      </w:pPr>
    </w:p>
    <w:p w14:paraId="2514A07C" w14:textId="77777777" w:rsidR="00106D92" w:rsidRPr="001823A6" w:rsidRDefault="00106D92" w:rsidP="00106D92">
      <w:pPr>
        <w:pStyle w:val="NoSpacing"/>
        <w:rPr>
          <w:rFonts w:asciiTheme="minorHAnsi" w:hAnsiTheme="minorHAnsi" w:cs="Arial"/>
          <w:sz w:val="22"/>
          <w:szCs w:val="22"/>
        </w:rPr>
      </w:pPr>
      <w:r w:rsidRPr="001823A6">
        <w:rPr>
          <w:rFonts w:asciiTheme="minorHAnsi" w:hAnsiTheme="minorHAnsi" w:cs="Arial"/>
          <w:sz w:val="22"/>
          <w:szCs w:val="22"/>
        </w:rPr>
        <w:t>Twenty-one states and the District of Columbia have ended the practice of automatically shackling children in court proceedings altogether, and many others are in the process of reform.</w:t>
      </w:r>
    </w:p>
    <w:p w14:paraId="235D8419" w14:textId="77777777" w:rsidR="00106D92" w:rsidRPr="001823A6" w:rsidRDefault="00106D92" w:rsidP="00106D92">
      <w:pPr>
        <w:pStyle w:val="NoSpacing"/>
        <w:rPr>
          <w:rFonts w:asciiTheme="minorHAnsi" w:hAnsiTheme="minorHAnsi" w:cs="Arial"/>
          <w:sz w:val="22"/>
          <w:szCs w:val="22"/>
        </w:rPr>
      </w:pPr>
    </w:p>
    <w:p w14:paraId="55A17EC2" w14:textId="77777777" w:rsidR="00106D92" w:rsidRPr="001823A6" w:rsidRDefault="00106D92" w:rsidP="00106D92">
      <w:pPr>
        <w:pStyle w:val="NoSpacing"/>
        <w:rPr>
          <w:rFonts w:asciiTheme="minorHAnsi" w:hAnsiTheme="minorHAnsi" w:cs="Arial"/>
          <w:b/>
          <w:sz w:val="22"/>
          <w:szCs w:val="22"/>
        </w:rPr>
      </w:pPr>
      <w:r w:rsidRPr="001823A6">
        <w:rPr>
          <w:rFonts w:asciiTheme="minorHAnsi" w:hAnsiTheme="minorHAnsi" w:cs="Arial"/>
          <w:b/>
          <w:sz w:val="22"/>
          <w:szCs w:val="22"/>
        </w:rPr>
        <w:t xml:space="preserve">In States That Have Eliminated Shackling, There Have Been No Breaches in Security </w:t>
      </w:r>
    </w:p>
    <w:p w14:paraId="2F88C3DA" w14:textId="77777777" w:rsidR="00106D92" w:rsidRPr="001823A6" w:rsidRDefault="00106D92" w:rsidP="00106D92">
      <w:pPr>
        <w:rPr>
          <w:rFonts w:asciiTheme="minorHAnsi" w:hAnsiTheme="minorHAnsi" w:cs="Arial"/>
          <w:sz w:val="22"/>
          <w:szCs w:val="22"/>
        </w:rPr>
      </w:pPr>
    </w:p>
    <w:p w14:paraId="2CCE40D6" w14:textId="77777777" w:rsidR="00106D92" w:rsidRPr="001823A6" w:rsidRDefault="00106D92" w:rsidP="00106D92">
      <w:pPr>
        <w:rPr>
          <w:rFonts w:asciiTheme="minorHAnsi" w:hAnsiTheme="minorHAnsi" w:cs="Arial"/>
          <w:sz w:val="22"/>
          <w:szCs w:val="22"/>
        </w:rPr>
      </w:pPr>
      <w:r w:rsidRPr="001823A6">
        <w:rPr>
          <w:rFonts w:asciiTheme="minorHAnsi" w:hAnsiTheme="minorHAnsi" w:cs="Arial"/>
          <w:sz w:val="22"/>
          <w:szCs w:val="22"/>
        </w:rPr>
        <w:t xml:space="preserve">For example, Miami-Dade County ended indiscriminate shackling in 2006. As of 2014 (the last formal evaluation data available), when more than 25,000 children had gone through the same court unshackled, there had been </w:t>
      </w:r>
      <w:r w:rsidRPr="001823A6">
        <w:rPr>
          <w:rFonts w:asciiTheme="minorHAnsi" w:hAnsiTheme="minorHAnsi" w:cs="Arial"/>
          <w:sz w:val="22"/>
          <w:szCs w:val="22"/>
          <w:u w:val="single"/>
        </w:rPr>
        <w:t>no escapes or injuries</w:t>
      </w:r>
      <w:r w:rsidRPr="001823A6">
        <w:rPr>
          <w:rFonts w:asciiTheme="minorHAnsi" w:hAnsiTheme="minorHAnsi" w:cs="Arial"/>
          <w:sz w:val="22"/>
          <w:szCs w:val="22"/>
        </w:rPr>
        <w:t>. The story is virtually identical in courthouses throughout the country, including in New York City</w:t>
      </w:r>
      <w:r>
        <w:rPr>
          <w:rFonts w:asciiTheme="minorHAnsi" w:hAnsiTheme="minorHAnsi" w:cs="Arial"/>
          <w:sz w:val="22"/>
          <w:szCs w:val="22"/>
        </w:rPr>
        <w:t>; Los Angeles; Maricopa County, Arizona;</w:t>
      </w:r>
      <w:r w:rsidRPr="001823A6">
        <w:rPr>
          <w:rFonts w:asciiTheme="minorHAnsi" w:hAnsiTheme="minorHAnsi" w:cs="Arial"/>
          <w:sz w:val="22"/>
          <w:szCs w:val="22"/>
        </w:rPr>
        <w:t xml:space="preserve"> and Albuquerque, New Mexico, to name a few. </w:t>
      </w:r>
    </w:p>
    <w:p w14:paraId="7F9A25E2" w14:textId="77777777" w:rsidR="00106D92" w:rsidRPr="001823A6" w:rsidRDefault="00106D92" w:rsidP="00106D92">
      <w:pPr>
        <w:pStyle w:val="NoSpacing"/>
        <w:rPr>
          <w:rFonts w:asciiTheme="minorHAnsi" w:hAnsiTheme="minorHAnsi" w:cs="Arial"/>
          <w:sz w:val="22"/>
          <w:szCs w:val="22"/>
        </w:rPr>
      </w:pPr>
    </w:p>
    <w:p w14:paraId="57AC4EA1" w14:textId="77777777" w:rsidR="00106D92" w:rsidRPr="001823A6" w:rsidRDefault="00106D92" w:rsidP="00106D92">
      <w:pPr>
        <w:pStyle w:val="NoSpacing"/>
        <w:rPr>
          <w:rFonts w:asciiTheme="minorHAnsi" w:hAnsiTheme="minorHAnsi" w:cs="Arial"/>
          <w:b/>
          <w:sz w:val="22"/>
          <w:szCs w:val="22"/>
        </w:rPr>
      </w:pPr>
      <w:r w:rsidRPr="001823A6">
        <w:rPr>
          <w:rFonts w:asciiTheme="minorHAnsi" w:hAnsiTheme="minorHAnsi" w:cs="Arial"/>
          <w:b/>
          <w:sz w:val="22"/>
          <w:szCs w:val="22"/>
        </w:rPr>
        <w:t>In States That Have Limited Shackling, Judges Say Their Courtrooms Function Better</w:t>
      </w:r>
    </w:p>
    <w:p w14:paraId="0851562D" w14:textId="77777777" w:rsidR="00106D92" w:rsidRPr="001823A6" w:rsidRDefault="00106D92" w:rsidP="00106D92">
      <w:pPr>
        <w:pStyle w:val="NoSpacing"/>
        <w:rPr>
          <w:rFonts w:asciiTheme="minorHAnsi" w:hAnsiTheme="minorHAnsi" w:cs="Arial"/>
          <w:sz w:val="22"/>
          <w:szCs w:val="22"/>
        </w:rPr>
      </w:pPr>
    </w:p>
    <w:p w14:paraId="3363AE1A" w14:textId="77777777" w:rsidR="00106D92" w:rsidRPr="001823A6" w:rsidRDefault="00106D92" w:rsidP="00106D92">
      <w:pPr>
        <w:pStyle w:val="NoSpacing"/>
        <w:rPr>
          <w:rFonts w:asciiTheme="minorHAnsi" w:hAnsiTheme="minorHAnsi" w:cs="Arial"/>
          <w:sz w:val="22"/>
          <w:szCs w:val="22"/>
        </w:rPr>
      </w:pPr>
      <w:r w:rsidRPr="001823A6">
        <w:rPr>
          <w:rFonts w:asciiTheme="minorHAnsi" w:hAnsiTheme="minorHAnsi" w:cs="Arial"/>
          <w:sz w:val="22"/>
          <w:szCs w:val="22"/>
        </w:rPr>
        <w:t xml:space="preserve">Courtroom management is easier where indiscriminate shackling has ended, </w:t>
      </w:r>
      <w:proofErr w:type="gramStart"/>
      <w:r w:rsidRPr="001823A6">
        <w:rPr>
          <w:rFonts w:asciiTheme="minorHAnsi" w:hAnsiTheme="minorHAnsi" w:cs="Arial"/>
          <w:sz w:val="22"/>
          <w:szCs w:val="22"/>
        </w:rPr>
        <w:t>judges</w:t>
      </w:r>
      <w:proofErr w:type="gramEnd"/>
      <w:r w:rsidRPr="001823A6">
        <w:rPr>
          <w:rFonts w:asciiTheme="minorHAnsi" w:hAnsiTheme="minorHAnsi" w:cs="Arial"/>
          <w:sz w:val="22"/>
          <w:szCs w:val="22"/>
        </w:rPr>
        <w:t xml:space="preserve"> report, because they have better rapport with children and families. As National Council of Juvenile and Family </w:t>
      </w:r>
      <w:r w:rsidRPr="001823A6">
        <w:rPr>
          <w:rFonts w:asciiTheme="minorHAnsi" w:hAnsiTheme="minorHAnsi" w:cs="Arial"/>
          <w:sz w:val="22"/>
          <w:szCs w:val="22"/>
        </w:rPr>
        <w:lastRenderedPageBreak/>
        <w:t xml:space="preserve">Court </w:t>
      </w:r>
      <w:proofErr w:type="gramStart"/>
      <w:r w:rsidRPr="001823A6">
        <w:rPr>
          <w:rFonts w:asciiTheme="minorHAnsi" w:hAnsiTheme="minorHAnsi" w:cs="Arial"/>
          <w:sz w:val="22"/>
          <w:szCs w:val="22"/>
        </w:rPr>
        <w:t>Judges</w:t>
      </w:r>
      <w:proofErr w:type="gramEnd"/>
      <w:r w:rsidRPr="001823A6">
        <w:rPr>
          <w:rFonts w:asciiTheme="minorHAnsi" w:hAnsiTheme="minorHAnsi" w:cs="Arial"/>
          <w:sz w:val="22"/>
          <w:szCs w:val="22"/>
        </w:rPr>
        <w:t xml:space="preserve"> president Judge Darlene Byrne says, “A child who comes into my court in shackles immediately knows that he or she is different from other kids. There is a sense of embarrassment, humiliation, and shame … Shackles place a barrier between the judge and the child. It is simply not in the interest of justice, or in the child’s best interest, to have children shackled.”</w:t>
      </w:r>
    </w:p>
    <w:p w14:paraId="327EF838" w14:textId="77777777" w:rsidR="00E73AA1" w:rsidRPr="001823A6" w:rsidRDefault="00E73AA1" w:rsidP="00F37E6A">
      <w:pPr>
        <w:pStyle w:val="NoSpacing"/>
        <w:rPr>
          <w:rFonts w:asciiTheme="minorHAnsi" w:hAnsiTheme="minorHAnsi" w:cs="Arial"/>
          <w:sz w:val="22"/>
          <w:szCs w:val="22"/>
        </w:rPr>
      </w:pPr>
    </w:p>
    <w:p w14:paraId="4C0549AB" w14:textId="77777777" w:rsidR="00E73AA1" w:rsidRPr="001823A6" w:rsidRDefault="00E73AA1" w:rsidP="00F37E6A">
      <w:pPr>
        <w:pStyle w:val="NoSpacing"/>
        <w:rPr>
          <w:rFonts w:ascii="Cambria" w:hAnsi="Cambria" w:cs="Arial"/>
        </w:rPr>
      </w:pPr>
    </w:p>
    <w:sectPr w:rsidR="00E73AA1" w:rsidRPr="001823A6" w:rsidSect="001E1DF4">
      <w:headerReference w:type="even" r:id="rId9"/>
      <w:headerReference w:type="default" r:id="rId10"/>
      <w:footerReference w:type="defaul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6156F" w14:textId="77777777" w:rsidR="008F6208" w:rsidRDefault="008F6208" w:rsidP="00980ABC">
      <w:r>
        <w:separator/>
      </w:r>
    </w:p>
  </w:endnote>
  <w:endnote w:type="continuationSeparator" w:id="0">
    <w:p w14:paraId="57C3206D" w14:textId="77777777" w:rsidR="008F6208" w:rsidRDefault="008F6208" w:rsidP="0098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00311" w14:textId="77777777" w:rsidR="008F6208" w:rsidRDefault="008F6208" w:rsidP="002A456A">
    <w:pPr>
      <w:pStyle w:val="Footer"/>
      <w:tabs>
        <w:tab w:val="clear" w:pos="4320"/>
        <w:tab w:val="clear" w:pos="8640"/>
        <w:tab w:val="left" w:pos="6360"/>
      </w:tabs>
      <w:jc w:val="center"/>
    </w:pPr>
  </w:p>
  <w:p w14:paraId="250267BD" w14:textId="77777777" w:rsidR="008F6208" w:rsidRDefault="008F6208" w:rsidP="002A456A">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33011" w14:textId="77777777" w:rsidR="008F6208" w:rsidRDefault="008F6208" w:rsidP="002A456A">
    <w:pPr>
      <w:pStyle w:val="Footer"/>
      <w:tabs>
        <w:tab w:val="clear" w:pos="4320"/>
        <w:tab w:val="clear" w:pos="8640"/>
        <w:tab w:val="left" w:pos="6360"/>
      </w:tabs>
      <w:jc w:val="center"/>
    </w:pPr>
    <w:r>
      <w:t xml:space="preserve">David Shapiro, 646-942-6343 – </w:t>
    </w:r>
    <w:r w:rsidRPr="00DA294C">
      <w:t>dshapiro@njdc.info</w:t>
    </w:r>
    <w:r>
      <w:t>;</w:t>
    </w:r>
  </w:p>
  <w:p w14:paraId="1287D318" w14:textId="77777777" w:rsidR="008F6208" w:rsidRDefault="008F6208" w:rsidP="00DA294C">
    <w:pPr>
      <w:pStyle w:val="Footer"/>
      <w:tabs>
        <w:tab w:val="clear" w:pos="4320"/>
        <w:tab w:val="clear" w:pos="8640"/>
        <w:tab w:val="left" w:pos="6360"/>
      </w:tabs>
      <w:ind w:left="-1440" w:right="-1440"/>
    </w:pPr>
    <w:proofErr w:type="spellStart"/>
    <w:r>
      <w:t>Shakyra</w:t>
    </w:r>
    <w:proofErr w:type="spellEnd"/>
    <w:r>
      <w:t xml:space="preserve"> Diaz, </w:t>
    </w:r>
    <w:r w:rsidRPr="002A456A">
      <w:t>sdiaz@acluohio.org</w:t>
    </w:r>
    <w:r>
      <w:t xml:space="preserve"> | Jill Beeler, </w:t>
    </w:r>
    <w:r w:rsidRPr="002A456A">
      <w:t>Jill.Andrews@opd.ohio.gov</w:t>
    </w:r>
    <w:r>
      <w:t xml:space="preserve"> | Erin Davies, edavies@jjohio.org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81059" w14:textId="77777777" w:rsidR="008F6208" w:rsidRDefault="008F6208" w:rsidP="00980ABC">
      <w:r>
        <w:separator/>
      </w:r>
    </w:p>
  </w:footnote>
  <w:footnote w:type="continuationSeparator" w:id="0">
    <w:p w14:paraId="139150A9" w14:textId="77777777" w:rsidR="008F6208" w:rsidRDefault="008F6208" w:rsidP="00980ABC">
      <w:r>
        <w:continuationSeparator/>
      </w:r>
    </w:p>
  </w:footnote>
  <w:footnote w:id="1">
    <w:p w14:paraId="15F8A924" w14:textId="77777777" w:rsidR="008F6208" w:rsidRDefault="008F6208">
      <w:pPr>
        <w:pStyle w:val="FootnoteText"/>
      </w:pPr>
      <w:r>
        <w:rPr>
          <w:rStyle w:val="FootnoteReference"/>
        </w:rPr>
        <w:footnoteRef/>
      </w:r>
      <w:r>
        <w:t xml:space="preserve"> See </w:t>
      </w:r>
      <w:r w:rsidRPr="00B207DA">
        <w:t>http://www.azcentral.com/story/opinion/op-ed/2015/04/20/juveniles-longer-automatically-shackled/25958723/</w:t>
      </w:r>
    </w:p>
  </w:footnote>
  <w:footnote w:id="2">
    <w:p w14:paraId="2D01DD0F" w14:textId="77777777" w:rsidR="00106D92" w:rsidRPr="00B9212E" w:rsidRDefault="00106D92" w:rsidP="00106D92">
      <w:pPr>
        <w:pStyle w:val="FootnoteText"/>
        <w:rPr>
          <w:rFonts w:asciiTheme="minorHAnsi" w:hAnsiTheme="minorHAnsi"/>
        </w:rPr>
      </w:pPr>
      <w:r w:rsidRPr="00B9212E">
        <w:rPr>
          <w:rStyle w:val="FootnoteReference"/>
          <w:rFonts w:asciiTheme="minorHAnsi" w:hAnsiTheme="minorHAnsi"/>
        </w:rPr>
        <w:footnoteRef/>
      </w:r>
      <w:r w:rsidRPr="00B9212E">
        <w:rPr>
          <w:rFonts w:asciiTheme="minorHAnsi" w:hAnsiTheme="minorHAnsi"/>
        </w:rPr>
        <w:t xml:space="preserve"> </w:t>
      </w:r>
      <w:r w:rsidRPr="00B9212E">
        <w:rPr>
          <w:rFonts w:asciiTheme="minorHAnsi" w:hAnsiTheme="minorHAnsi" w:cs="Arial"/>
          <w:i/>
          <w:sz w:val="18"/>
          <w:szCs w:val="18"/>
        </w:rPr>
        <w:t>See, e.g.</w:t>
      </w:r>
      <w:r w:rsidRPr="00B9212E">
        <w:rPr>
          <w:rFonts w:asciiTheme="minorHAnsi" w:hAnsiTheme="minorHAnsi" w:cs="Arial"/>
          <w:sz w:val="18"/>
          <w:szCs w:val="18"/>
        </w:rPr>
        <w:t xml:space="preserve">, </w:t>
      </w:r>
      <w:r w:rsidRPr="00B9212E">
        <w:rPr>
          <w:rFonts w:asciiTheme="minorHAnsi" w:hAnsiTheme="minorHAnsi"/>
          <w:smallCaps/>
          <w:sz w:val="18"/>
          <w:szCs w:val="18"/>
        </w:rPr>
        <w:t xml:space="preserve">Am. </w:t>
      </w:r>
      <w:proofErr w:type="spellStart"/>
      <w:r w:rsidRPr="00B9212E">
        <w:rPr>
          <w:rFonts w:asciiTheme="minorHAnsi" w:hAnsiTheme="minorHAnsi"/>
          <w:smallCaps/>
          <w:sz w:val="18"/>
          <w:szCs w:val="18"/>
        </w:rPr>
        <w:t>Orthopsychiatric</w:t>
      </w:r>
      <w:proofErr w:type="spellEnd"/>
      <w:r w:rsidRPr="00B9212E">
        <w:rPr>
          <w:rFonts w:asciiTheme="minorHAnsi" w:hAnsiTheme="minorHAnsi"/>
          <w:smallCaps/>
          <w:sz w:val="18"/>
          <w:szCs w:val="18"/>
        </w:rPr>
        <w:t xml:space="preserve"> </w:t>
      </w:r>
      <w:proofErr w:type="spellStart"/>
      <w:r w:rsidRPr="00B9212E">
        <w:rPr>
          <w:rFonts w:asciiTheme="minorHAnsi" w:hAnsiTheme="minorHAnsi"/>
          <w:smallCaps/>
          <w:sz w:val="18"/>
          <w:szCs w:val="18"/>
        </w:rPr>
        <w:t>Ass’n</w:t>
      </w:r>
      <w:proofErr w:type="spellEnd"/>
      <w:r w:rsidRPr="00B9212E">
        <w:rPr>
          <w:rFonts w:asciiTheme="minorHAnsi" w:hAnsiTheme="minorHAnsi"/>
          <w:smallCaps/>
          <w:sz w:val="18"/>
          <w:szCs w:val="18"/>
        </w:rPr>
        <w:t xml:space="preserve">., Shackling Children in Court: Implications for Adolescent Development (2015), </w:t>
      </w:r>
      <w:hyperlink r:id="rId1" w:history="1">
        <w:r w:rsidRPr="00B9212E">
          <w:rPr>
            <w:rStyle w:val="Hyperlink"/>
            <w:rFonts w:asciiTheme="minorHAnsi" w:hAnsiTheme="minorHAnsi"/>
            <w:sz w:val="18"/>
            <w:szCs w:val="18"/>
          </w:rPr>
          <w:t>http://njdc.info/wp-content/uploads/2014/09/Shackling_Reform_Position_Statement.pdf</w:t>
        </w:r>
      </w:hyperlink>
      <w:r w:rsidRPr="00B9212E">
        <w:rPr>
          <w:rFonts w:asciiTheme="minorHAnsi" w:hAnsiTheme="minorHAnsi"/>
          <w:smallCaps/>
          <w:sz w:val="18"/>
          <w:szCs w:val="18"/>
        </w:rPr>
        <w:t xml:space="preserve">; Am. Acad. of Child and Adolescent Psychiatry, Policy Statement on Mandatory Shackling in Juvenile Court Settings (2015), </w:t>
      </w:r>
      <w:hyperlink r:id="rId2" w:history="1">
        <w:r w:rsidRPr="00B9212E">
          <w:rPr>
            <w:rStyle w:val="Hyperlink"/>
            <w:rFonts w:asciiTheme="minorHAnsi" w:hAnsiTheme="minorHAnsi"/>
            <w:iCs/>
            <w:sz w:val="18"/>
            <w:szCs w:val="18"/>
          </w:rPr>
          <w:t>http://njdc.info/wp-content/uploads/2014/09/Mandatory-Shackling-2015-Final-Statement.pdf</w:t>
        </w:r>
      </w:hyperlink>
      <w:r w:rsidRPr="00B9212E">
        <w:rPr>
          <w:rFonts w:asciiTheme="minorHAnsi" w:hAnsiTheme="minorHAnsi"/>
          <w:iCs/>
          <w:sz w:val="18"/>
          <w:szCs w:val="18"/>
        </w:rPr>
        <w:t xml:space="preserve">; </w:t>
      </w:r>
      <w:r w:rsidRPr="00B9212E">
        <w:rPr>
          <w:rFonts w:asciiTheme="minorHAnsi" w:hAnsiTheme="minorHAnsi"/>
          <w:smallCaps/>
          <w:sz w:val="18"/>
          <w:szCs w:val="18"/>
        </w:rPr>
        <w:t>Nat’l Ctr. for Mental Health and Juvenile Just., Policy Statement on  Indiscriminate Shackling of Juveniles in Court</w:t>
      </w:r>
      <w:r w:rsidRPr="00B9212E">
        <w:rPr>
          <w:rFonts w:asciiTheme="minorHAnsi" w:hAnsiTheme="minorHAnsi"/>
          <w:sz w:val="18"/>
          <w:szCs w:val="18"/>
        </w:rPr>
        <w:t xml:space="preserve"> (2015), </w:t>
      </w:r>
      <w:hyperlink r:id="rId3" w:history="1">
        <w:r w:rsidRPr="00B9212E">
          <w:rPr>
            <w:rStyle w:val="Hyperlink"/>
            <w:rFonts w:asciiTheme="minorHAnsi" w:hAnsiTheme="minorHAnsi"/>
            <w:sz w:val="18"/>
            <w:szCs w:val="18"/>
          </w:rPr>
          <w:t>http://njdc.info/wp-content/uploads/2014/09/NCMHJJ-Position-Statement-on-Shackling-of-Juveniles-032615-with-logos.pdf</w:t>
        </w:r>
      </w:hyperlink>
      <w:r w:rsidRPr="00B9212E">
        <w:rPr>
          <w:rFonts w:asciiTheme="minorHAnsi" w:hAnsiTheme="minorHAnsi"/>
          <w:sz w:val="18"/>
          <w:szCs w:val="18"/>
        </w:rPr>
        <w:t>.)</w:t>
      </w:r>
    </w:p>
  </w:footnote>
  <w:footnote w:id="3">
    <w:p w14:paraId="3B8A4E0F" w14:textId="77777777" w:rsidR="00106D92" w:rsidRPr="00B328D5" w:rsidRDefault="00106D92" w:rsidP="00106D92">
      <w:pPr>
        <w:pStyle w:val="FootnoteText"/>
      </w:pPr>
      <w:r w:rsidRPr="00B328D5">
        <w:rPr>
          <w:rStyle w:val="FootnoteReference"/>
        </w:rPr>
        <w:footnoteRef/>
      </w:r>
      <w:r w:rsidRPr="00B328D5">
        <w:t xml:space="preserve"> Affidavit of Dr. Gwyneth </w:t>
      </w:r>
      <w:proofErr w:type="spellStart"/>
      <w:r w:rsidRPr="00B328D5">
        <w:t>Rost</w:t>
      </w:r>
      <w:proofErr w:type="spellEnd"/>
      <w:r w:rsidRPr="00B328D5">
        <w:t>, Ph.D., Assistant Professor, Department of Communication Disorders, University of Massachusetts, Amherst</w:t>
      </w:r>
      <w:r>
        <w:t xml:space="preserve"> 2</w:t>
      </w:r>
      <w:r w:rsidRPr="00B328D5">
        <w:t xml:space="preserve"> (Feb. 27, 2015), </w:t>
      </w:r>
      <w:r w:rsidRPr="00B328D5">
        <w:rPr>
          <w:i/>
        </w:rPr>
        <w:t>available at</w:t>
      </w:r>
      <w:r w:rsidRPr="00B328D5">
        <w:t xml:space="preserve"> http://njdc.info/wp-content/uploads/2014/09/Gwyneth-Rost-Affidavit-Final-2015.pdf.</w:t>
      </w:r>
    </w:p>
  </w:footnote>
  <w:footnote w:id="4">
    <w:p w14:paraId="43E16579" w14:textId="77777777" w:rsidR="00106D92" w:rsidRDefault="00106D92" w:rsidP="00106D92">
      <w:pPr>
        <w:pStyle w:val="FootnoteText"/>
      </w:pPr>
      <w:r>
        <w:rPr>
          <w:rStyle w:val="FootnoteReference"/>
        </w:rPr>
        <w:footnoteRef/>
      </w:r>
      <w:r>
        <w:t xml:space="preserve"> </w:t>
      </w:r>
      <w:r w:rsidRPr="00B328D5">
        <w:rPr>
          <w:i/>
        </w:rPr>
        <w:t>Id.</w:t>
      </w:r>
    </w:p>
  </w:footnote>
  <w:footnote w:id="5">
    <w:p w14:paraId="38FEAC7F" w14:textId="77777777" w:rsidR="00106D92" w:rsidRPr="00B9212E" w:rsidRDefault="00106D92" w:rsidP="00106D92">
      <w:pPr>
        <w:pStyle w:val="FootnoteText"/>
        <w:rPr>
          <w:rFonts w:asciiTheme="minorHAnsi" w:hAnsiTheme="minorHAnsi"/>
          <w:sz w:val="18"/>
          <w:szCs w:val="18"/>
        </w:rPr>
      </w:pPr>
      <w:r w:rsidRPr="00B9212E">
        <w:rPr>
          <w:rStyle w:val="FootnoteReference"/>
          <w:rFonts w:asciiTheme="minorHAnsi" w:hAnsiTheme="minorHAnsi"/>
        </w:rPr>
        <w:footnoteRef/>
      </w:r>
      <w:r w:rsidRPr="00B9212E">
        <w:rPr>
          <w:rFonts w:asciiTheme="minorHAnsi" w:hAnsiTheme="minorHAnsi"/>
        </w:rPr>
        <w:t xml:space="preserve"> </w:t>
      </w:r>
      <w:r w:rsidRPr="00B9212E">
        <w:rPr>
          <w:rFonts w:asciiTheme="minorHAnsi" w:hAnsiTheme="minorHAnsi" w:cs="Arial"/>
          <w:sz w:val="18"/>
          <w:szCs w:val="18"/>
        </w:rPr>
        <w:t xml:space="preserve">Affidavit of Dr. Gene Griffin, Director of Research, </w:t>
      </w:r>
      <w:proofErr w:type="spellStart"/>
      <w:r w:rsidRPr="00B9212E">
        <w:rPr>
          <w:rFonts w:asciiTheme="minorHAnsi" w:hAnsiTheme="minorHAnsi" w:cs="Arial"/>
          <w:sz w:val="18"/>
          <w:szCs w:val="18"/>
        </w:rPr>
        <w:t>ChildTrauma</w:t>
      </w:r>
      <w:proofErr w:type="spellEnd"/>
      <w:r w:rsidRPr="00B9212E">
        <w:rPr>
          <w:rFonts w:asciiTheme="minorHAnsi" w:hAnsiTheme="minorHAnsi" w:cs="Arial"/>
          <w:sz w:val="18"/>
          <w:szCs w:val="18"/>
        </w:rPr>
        <w:t xml:space="preserve"> Academy ¶17 (Dec. 12, 2014), </w:t>
      </w:r>
      <w:r w:rsidRPr="00B9212E">
        <w:rPr>
          <w:rFonts w:asciiTheme="minorHAnsi" w:hAnsiTheme="minorHAnsi" w:cs="Arial"/>
          <w:i/>
          <w:sz w:val="18"/>
          <w:szCs w:val="18"/>
        </w:rPr>
        <w:t xml:space="preserve">available </w:t>
      </w:r>
      <w:proofErr w:type="spellStart"/>
      <w:r w:rsidRPr="00B9212E">
        <w:rPr>
          <w:rFonts w:asciiTheme="minorHAnsi" w:hAnsiTheme="minorHAnsi" w:cs="Arial"/>
          <w:i/>
          <w:sz w:val="18"/>
          <w:szCs w:val="18"/>
        </w:rPr>
        <w:t xml:space="preserve">at </w:t>
      </w:r>
      <w:hyperlink r:id="rId4" w:history="1">
        <w:r w:rsidRPr="00B9212E">
          <w:rPr>
            <w:rStyle w:val="Hyperlink"/>
            <w:rFonts w:asciiTheme="minorHAnsi" w:hAnsiTheme="minorHAnsi" w:cs="Arial"/>
            <w:sz w:val="18"/>
            <w:szCs w:val="18"/>
          </w:rPr>
          <w:t>http://njdc.info/wp-content/uploads/2014/09/Griffin-Affidavit-II.pdf</w:t>
        </w:r>
      </w:hyperlink>
      <w:r w:rsidRPr="00B9212E">
        <w:rPr>
          <w:rFonts w:asciiTheme="minorHAnsi" w:hAnsiTheme="minorHAnsi" w:cs="Arial"/>
          <w:sz w:val="18"/>
          <w:szCs w:val="18"/>
        </w:rPr>
        <w:t xml:space="preserve">; </w:t>
      </w:r>
      <w:r w:rsidRPr="00B9212E">
        <w:rPr>
          <w:rFonts w:asciiTheme="minorHAnsi" w:hAnsiTheme="minorHAnsi" w:cs="Arial"/>
          <w:i/>
          <w:sz w:val="18"/>
          <w:szCs w:val="18"/>
        </w:rPr>
        <w:t>see</w:t>
      </w:r>
      <w:proofErr w:type="spellEnd"/>
      <w:r w:rsidRPr="00B9212E">
        <w:rPr>
          <w:rFonts w:asciiTheme="minorHAnsi" w:hAnsiTheme="minorHAnsi" w:cs="Arial"/>
          <w:sz w:val="18"/>
          <w:szCs w:val="18"/>
        </w:rPr>
        <w:t xml:space="preserve"> Affidavit of Dr. Julian Ford, Professor of Psychiatry, University of Connecticut ¶¶9, 11 (Dec. 11, 2014), available at </w:t>
      </w:r>
      <w:hyperlink r:id="rId5" w:history="1">
        <w:r w:rsidRPr="00B9212E">
          <w:rPr>
            <w:rStyle w:val="Hyperlink"/>
            <w:rFonts w:asciiTheme="minorHAnsi" w:hAnsiTheme="minorHAnsi" w:cs="Arial"/>
            <w:sz w:val="18"/>
            <w:szCs w:val="18"/>
          </w:rPr>
          <w:t>http://njdc.info/wp-content/uploads/2014/09/Ford-Affidavit-Final-Dec-2014.pdf</w:t>
        </w:r>
      </w:hyperlink>
      <w:r w:rsidRPr="00B9212E">
        <w:rPr>
          <w:rFonts w:asciiTheme="minorHAnsi" w:hAnsiTheme="minorHAnsi" w:cs="Arial"/>
          <w:sz w:val="18"/>
          <w:szCs w:val="18"/>
        </w:rPr>
        <w:t xml:space="preserve">; Affidavit of Dr. Robert Bidwell, Associate Clinical Professor of Pediatrics, University of </w:t>
      </w:r>
      <w:proofErr w:type="spellStart"/>
      <w:r w:rsidRPr="00B9212E">
        <w:rPr>
          <w:rFonts w:asciiTheme="minorHAnsi" w:hAnsiTheme="minorHAnsi" w:cs="Arial"/>
          <w:sz w:val="18"/>
          <w:szCs w:val="18"/>
        </w:rPr>
        <w:t>Hawaìi</w:t>
      </w:r>
      <w:proofErr w:type="spellEnd"/>
      <w:r w:rsidRPr="00B9212E">
        <w:rPr>
          <w:rFonts w:asciiTheme="minorHAnsi" w:hAnsiTheme="minorHAnsi" w:cs="Arial"/>
          <w:sz w:val="18"/>
          <w:szCs w:val="18"/>
        </w:rPr>
        <w:t xml:space="preserve"> ¶12 (Feb. 12, 2015), available </w:t>
      </w:r>
      <w:proofErr w:type="spellStart"/>
      <w:r w:rsidRPr="00B9212E">
        <w:rPr>
          <w:rFonts w:asciiTheme="minorHAnsi" w:hAnsiTheme="minorHAnsi" w:cs="Arial"/>
          <w:sz w:val="18"/>
          <w:szCs w:val="18"/>
        </w:rPr>
        <w:t xml:space="preserve">at </w:t>
      </w:r>
      <w:hyperlink r:id="rId6" w:history="1">
        <w:r w:rsidRPr="00B9212E">
          <w:rPr>
            <w:rStyle w:val="Hyperlink"/>
            <w:rFonts w:asciiTheme="minorHAnsi" w:hAnsiTheme="minorHAnsi" w:cs="Arial"/>
            <w:sz w:val="18"/>
            <w:szCs w:val="18"/>
          </w:rPr>
          <w:t>http://njdc.info/wp-content/uploads/2014/09/Bidwell-Shackling-Affidavit-General-April-2015.pdf</w:t>
        </w:r>
      </w:hyperlink>
      <w:r w:rsidRPr="00B9212E">
        <w:rPr>
          <w:rFonts w:asciiTheme="minorHAnsi" w:hAnsiTheme="minorHAnsi" w:cs="Arial"/>
          <w:sz w:val="18"/>
          <w:szCs w:val="18"/>
        </w:rPr>
        <w:t xml:space="preserve">; </w:t>
      </w:r>
      <w:r w:rsidRPr="00B9212E">
        <w:rPr>
          <w:rFonts w:asciiTheme="minorHAnsi" w:hAnsiTheme="minorHAnsi" w:cs="Arial"/>
          <w:i/>
          <w:sz w:val="18"/>
          <w:szCs w:val="18"/>
        </w:rPr>
        <w:t>see</w:t>
      </w:r>
      <w:proofErr w:type="spellEnd"/>
      <w:r w:rsidRPr="00B9212E">
        <w:rPr>
          <w:rFonts w:asciiTheme="minorHAnsi" w:hAnsiTheme="minorHAnsi" w:cs="Arial"/>
          <w:i/>
          <w:sz w:val="18"/>
          <w:szCs w:val="18"/>
        </w:rPr>
        <w:t xml:space="preserve"> also</w:t>
      </w:r>
      <w:r w:rsidRPr="00B9212E">
        <w:rPr>
          <w:rFonts w:asciiTheme="minorHAnsi" w:hAnsiTheme="minorHAnsi" w:cs="Arial"/>
          <w:sz w:val="18"/>
          <w:szCs w:val="18"/>
        </w:rPr>
        <w:t xml:space="preserve"> </w:t>
      </w:r>
      <w:r w:rsidRPr="00B9212E">
        <w:rPr>
          <w:rFonts w:asciiTheme="minorHAnsi" w:hAnsiTheme="minorHAnsi"/>
          <w:smallCaps/>
          <w:sz w:val="18"/>
          <w:szCs w:val="18"/>
        </w:rPr>
        <w:t xml:space="preserve">Am. </w:t>
      </w:r>
      <w:proofErr w:type="spellStart"/>
      <w:r w:rsidRPr="00B9212E">
        <w:rPr>
          <w:rFonts w:asciiTheme="minorHAnsi" w:hAnsiTheme="minorHAnsi"/>
          <w:smallCaps/>
          <w:sz w:val="18"/>
          <w:szCs w:val="18"/>
        </w:rPr>
        <w:t>Orthopsychiatric</w:t>
      </w:r>
      <w:proofErr w:type="spellEnd"/>
      <w:r w:rsidRPr="00B9212E">
        <w:rPr>
          <w:rFonts w:asciiTheme="minorHAnsi" w:hAnsiTheme="minorHAnsi"/>
          <w:smallCaps/>
          <w:sz w:val="18"/>
          <w:szCs w:val="18"/>
        </w:rPr>
        <w:t xml:space="preserve"> </w:t>
      </w:r>
      <w:proofErr w:type="spellStart"/>
      <w:r w:rsidRPr="00B9212E">
        <w:rPr>
          <w:rFonts w:asciiTheme="minorHAnsi" w:hAnsiTheme="minorHAnsi"/>
          <w:smallCaps/>
          <w:sz w:val="18"/>
          <w:szCs w:val="18"/>
        </w:rPr>
        <w:t>Ass’n</w:t>
      </w:r>
      <w:proofErr w:type="spellEnd"/>
      <w:r w:rsidRPr="00B9212E">
        <w:rPr>
          <w:rFonts w:asciiTheme="minorHAnsi" w:hAnsiTheme="minorHAnsi"/>
          <w:smallCaps/>
          <w:sz w:val="18"/>
          <w:szCs w:val="18"/>
        </w:rPr>
        <w:t xml:space="preserve">., Shackling Children in Court: Implications for Adolescent Development (2015), </w:t>
      </w:r>
      <w:hyperlink r:id="rId7" w:history="1">
        <w:r w:rsidRPr="00B9212E">
          <w:rPr>
            <w:rStyle w:val="Hyperlink"/>
            <w:rFonts w:asciiTheme="minorHAnsi" w:hAnsiTheme="minorHAnsi"/>
            <w:sz w:val="18"/>
            <w:szCs w:val="18"/>
          </w:rPr>
          <w:t>http://njdc.info/wp-content/uploads/2014/09/Shackling_Reform_Position_Statement.pdf</w:t>
        </w:r>
      </w:hyperlink>
      <w:r w:rsidRPr="00B9212E">
        <w:rPr>
          <w:rFonts w:asciiTheme="minorHAnsi" w:hAnsiTheme="minorHAnsi"/>
          <w:sz w:val="18"/>
          <w:szCs w:val="18"/>
        </w:rPr>
        <w:t xml:space="preserve"> (“The literature on the use of mechanical restraints on young people in other settings links the practice with an increase in problematic or even violent behavior.”))</w:t>
      </w:r>
    </w:p>
    <w:p w14:paraId="1D2C604D" w14:textId="77777777" w:rsidR="00106D92" w:rsidRPr="00B9212E" w:rsidRDefault="00106D92" w:rsidP="00106D92">
      <w:pPr>
        <w:pStyle w:val="FootnoteText"/>
        <w:rPr>
          <w:rFonts w:asciiTheme="minorHAnsi" w:hAnsiTheme="minorHAnsi"/>
        </w:rPr>
      </w:pPr>
    </w:p>
  </w:footnote>
  <w:footnote w:id="6">
    <w:p w14:paraId="4A772D7C" w14:textId="77777777" w:rsidR="00106D92" w:rsidRPr="00B9212E" w:rsidRDefault="00106D92" w:rsidP="00106D92">
      <w:pPr>
        <w:pStyle w:val="FootnoteText"/>
        <w:rPr>
          <w:rFonts w:asciiTheme="minorHAnsi" w:hAnsiTheme="minorHAnsi"/>
          <w:sz w:val="18"/>
          <w:szCs w:val="18"/>
        </w:rPr>
      </w:pPr>
      <w:r w:rsidRPr="00B9212E">
        <w:rPr>
          <w:rStyle w:val="FootnoteReference"/>
          <w:rFonts w:asciiTheme="minorHAnsi" w:hAnsiTheme="minorHAnsi"/>
          <w:sz w:val="18"/>
          <w:szCs w:val="18"/>
        </w:rPr>
        <w:footnoteRef/>
      </w:r>
      <w:r w:rsidRPr="00B9212E">
        <w:rPr>
          <w:rFonts w:asciiTheme="minorHAnsi" w:hAnsiTheme="minorHAnsi"/>
          <w:sz w:val="18"/>
          <w:szCs w:val="18"/>
        </w:rPr>
        <w:t xml:space="preserve"> </w:t>
      </w:r>
      <w:r w:rsidRPr="00B9212E">
        <w:rPr>
          <w:rFonts w:asciiTheme="minorHAnsi" w:hAnsiTheme="minorHAnsi" w:cs="Arial"/>
          <w:i/>
          <w:sz w:val="18"/>
          <w:szCs w:val="18"/>
        </w:rPr>
        <w:t>See, e.g.</w:t>
      </w:r>
      <w:r w:rsidRPr="00B9212E">
        <w:rPr>
          <w:rFonts w:asciiTheme="minorHAnsi" w:hAnsiTheme="minorHAnsi" w:cs="Arial"/>
          <w:sz w:val="18"/>
          <w:szCs w:val="18"/>
        </w:rPr>
        <w:t xml:space="preserve">, </w:t>
      </w:r>
      <w:r w:rsidRPr="00B9212E">
        <w:rPr>
          <w:rFonts w:asciiTheme="minorHAnsi" w:hAnsiTheme="minorHAnsi"/>
          <w:smallCaps/>
          <w:sz w:val="18"/>
          <w:szCs w:val="18"/>
        </w:rPr>
        <w:t xml:space="preserve">Am. </w:t>
      </w:r>
      <w:proofErr w:type="spellStart"/>
      <w:r w:rsidRPr="00B9212E">
        <w:rPr>
          <w:rFonts w:asciiTheme="minorHAnsi" w:hAnsiTheme="minorHAnsi"/>
          <w:smallCaps/>
          <w:sz w:val="18"/>
          <w:szCs w:val="18"/>
        </w:rPr>
        <w:t>Orthopsychiatric</w:t>
      </w:r>
      <w:proofErr w:type="spellEnd"/>
      <w:r w:rsidRPr="00B9212E">
        <w:rPr>
          <w:rFonts w:asciiTheme="minorHAnsi" w:hAnsiTheme="minorHAnsi"/>
          <w:smallCaps/>
          <w:sz w:val="18"/>
          <w:szCs w:val="18"/>
        </w:rPr>
        <w:t xml:space="preserve"> </w:t>
      </w:r>
      <w:proofErr w:type="spellStart"/>
      <w:r w:rsidRPr="00B9212E">
        <w:rPr>
          <w:rFonts w:asciiTheme="minorHAnsi" w:hAnsiTheme="minorHAnsi"/>
          <w:smallCaps/>
          <w:sz w:val="18"/>
          <w:szCs w:val="18"/>
        </w:rPr>
        <w:t>Ass’n</w:t>
      </w:r>
      <w:proofErr w:type="spellEnd"/>
      <w:r w:rsidRPr="00B9212E">
        <w:rPr>
          <w:rFonts w:asciiTheme="minorHAnsi" w:hAnsiTheme="minorHAnsi"/>
          <w:smallCaps/>
          <w:sz w:val="18"/>
          <w:szCs w:val="18"/>
        </w:rPr>
        <w:t xml:space="preserve">., Shackling Children in Court: Implications for Adolescent Development (2015), </w:t>
      </w:r>
      <w:hyperlink r:id="rId8" w:history="1">
        <w:r w:rsidRPr="00B9212E">
          <w:rPr>
            <w:rStyle w:val="Hyperlink"/>
            <w:rFonts w:asciiTheme="minorHAnsi" w:hAnsiTheme="minorHAnsi"/>
            <w:sz w:val="18"/>
            <w:szCs w:val="18"/>
          </w:rPr>
          <w:t>http://njdc.info/wp-content/uploads/2014/09/Shackling_Reform_Position_Statement.pdf</w:t>
        </w:r>
      </w:hyperlink>
      <w:r w:rsidRPr="00B9212E">
        <w:rPr>
          <w:rFonts w:asciiTheme="minorHAnsi" w:hAnsiTheme="minorHAnsi"/>
          <w:smallCaps/>
          <w:sz w:val="18"/>
          <w:szCs w:val="18"/>
        </w:rPr>
        <w:t xml:space="preserve">; Am. Acad. of Child and Adolescent Psychiatry, Policy Statement on Mandatory Shackling in Juvenile Court Settings (2015), </w:t>
      </w:r>
      <w:hyperlink r:id="rId9" w:history="1">
        <w:r w:rsidRPr="00B9212E">
          <w:rPr>
            <w:rStyle w:val="Hyperlink"/>
            <w:rFonts w:asciiTheme="minorHAnsi" w:hAnsiTheme="minorHAnsi"/>
            <w:iCs/>
            <w:sz w:val="18"/>
            <w:szCs w:val="18"/>
          </w:rPr>
          <w:t>http://njdc.info/wp-content/uploads/2014/09/Mandatory-Shackling-2015-Final-Statement.pdf</w:t>
        </w:r>
      </w:hyperlink>
      <w:r w:rsidRPr="00B9212E">
        <w:rPr>
          <w:rFonts w:asciiTheme="minorHAnsi" w:hAnsiTheme="minorHAnsi"/>
          <w:iCs/>
          <w:sz w:val="18"/>
          <w:szCs w:val="18"/>
        </w:rPr>
        <w:t xml:space="preserve">; </w:t>
      </w:r>
      <w:r w:rsidRPr="00B9212E">
        <w:rPr>
          <w:rFonts w:asciiTheme="minorHAnsi" w:hAnsiTheme="minorHAnsi"/>
          <w:smallCaps/>
          <w:sz w:val="18"/>
          <w:szCs w:val="18"/>
        </w:rPr>
        <w:t>Nat’l Ctr. for Mental Health and Juvenile Just., Policy Statement on  Indiscriminate Shackling of Juveniles in Court</w:t>
      </w:r>
      <w:r w:rsidRPr="00B9212E">
        <w:rPr>
          <w:rFonts w:asciiTheme="minorHAnsi" w:hAnsiTheme="minorHAnsi"/>
          <w:sz w:val="18"/>
          <w:szCs w:val="18"/>
        </w:rPr>
        <w:t xml:space="preserve"> (2015), </w:t>
      </w:r>
      <w:hyperlink r:id="rId10" w:history="1">
        <w:r w:rsidRPr="00B9212E">
          <w:rPr>
            <w:rStyle w:val="Hyperlink"/>
            <w:rFonts w:asciiTheme="minorHAnsi" w:hAnsiTheme="minorHAnsi"/>
            <w:sz w:val="18"/>
            <w:szCs w:val="18"/>
          </w:rPr>
          <w:t>http://njdc.info/wp-content/uploads/2014/09/NCMHJJ-Position-Statement-on-Shackling-of-Juveniles-032615-with-logos.pdf</w:t>
        </w:r>
      </w:hyperlink>
      <w:r w:rsidRPr="00B9212E">
        <w:rPr>
          <w:rFonts w:asciiTheme="minorHAnsi" w:hAnsiTheme="minorHAnsi"/>
          <w:sz w:val="18"/>
          <w:szCs w:val="18"/>
        </w:rPr>
        <w:t>.)</w:t>
      </w:r>
    </w:p>
  </w:footnote>
  <w:footnote w:id="7">
    <w:p w14:paraId="5918BAC6" w14:textId="77777777" w:rsidR="00106D92" w:rsidRDefault="00106D92" w:rsidP="00106D92">
      <w:pPr>
        <w:pStyle w:val="FootnoteText"/>
      </w:pPr>
      <w:r>
        <w:rPr>
          <w:rStyle w:val="FootnoteReference"/>
        </w:rPr>
        <w:footnoteRef/>
      </w:r>
      <w:r>
        <w:t xml:space="preserve"> </w:t>
      </w:r>
      <w:r w:rsidRPr="00B9212E">
        <w:rPr>
          <w:rFonts w:asciiTheme="minorHAnsi" w:hAnsiTheme="minorHAnsi" w:cs="Arial"/>
          <w:sz w:val="18"/>
          <w:szCs w:val="18"/>
        </w:rPr>
        <w:t xml:space="preserve">Affidavit of Dr. Donald </w:t>
      </w:r>
      <w:proofErr w:type="spellStart"/>
      <w:r w:rsidRPr="00B9212E">
        <w:rPr>
          <w:rFonts w:asciiTheme="minorHAnsi" w:hAnsiTheme="minorHAnsi" w:cs="Arial"/>
          <w:sz w:val="18"/>
          <w:szCs w:val="18"/>
        </w:rPr>
        <w:t>Rosenblitt</w:t>
      </w:r>
      <w:proofErr w:type="spellEnd"/>
      <w:r w:rsidRPr="00B9212E">
        <w:rPr>
          <w:rFonts w:asciiTheme="minorHAnsi" w:hAnsiTheme="minorHAnsi" w:cs="Arial"/>
          <w:sz w:val="18"/>
          <w:szCs w:val="18"/>
        </w:rPr>
        <w:t xml:space="preserve">, Executive and Clinical Director, The Lucy Daniels Center ¶10 (Jan. 6, 2015), </w:t>
      </w:r>
      <w:r w:rsidRPr="00B9212E">
        <w:rPr>
          <w:rFonts w:asciiTheme="minorHAnsi" w:hAnsiTheme="minorHAnsi" w:cs="Arial"/>
          <w:i/>
          <w:sz w:val="18"/>
          <w:szCs w:val="18"/>
        </w:rPr>
        <w:t xml:space="preserve">available at </w:t>
      </w:r>
      <w:hyperlink r:id="rId11" w:history="1">
        <w:r w:rsidRPr="00B9212E">
          <w:rPr>
            <w:rStyle w:val="Hyperlink"/>
            <w:rFonts w:asciiTheme="minorHAnsi" w:hAnsiTheme="minorHAnsi" w:cs="Arial"/>
            <w:sz w:val="18"/>
            <w:szCs w:val="18"/>
          </w:rPr>
          <w:t>http://njdc.info/wp-content/uploads/2014/09/Rosenblitt-Affidavit-Notarized-CV-Final-1-6-15.pdf</w:t>
        </w:r>
      </w:hyperlink>
      <w:r w:rsidRPr="00B9212E">
        <w:rPr>
          <w:rFonts w:asciiTheme="minorHAnsi" w:hAnsiTheme="minorHAnsi" w:cs="Arial"/>
          <w:sz w:val="18"/>
          <w:szCs w:val="18"/>
        </w:rPr>
        <w:t>;</w:t>
      </w:r>
    </w:p>
  </w:footnote>
  <w:footnote w:id="8">
    <w:p w14:paraId="24C217C5" w14:textId="77777777" w:rsidR="00106D92" w:rsidRPr="00B9212E" w:rsidRDefault="00106D92" w:rsidP="00106D92">
      <w:pPr>
        <w:pStyle w:val="FootnoteText"/>
        <w:rPr>
          <w:rFonts w:asciiTheme="minorHAnsi" w:hAnsiTheme="minorHAnsi"/>
          <w:sz w:val="18"/>
          <w:szCs w:val="18"/>
        </w:rPr>
      </w:pPr>
      <w:r w:rsidRPr="00B9212E">
        <w:rPr>
          <w:rStyle w:val="FootnoteReference"/>
          <w:rFonts w:asciiTheme="minorHAnsi" w:hAnsiTheme="minorHAnsi"/>
        </w:rPr>
        <w:footnoteRef/>
      </w:r>
      <w:r w:rsidRPr="00B9212E">
        <w:rPr>
          <w:rFonts w:asciiTheme="minorHAnsi" w:hAnsiTheme="minorHAnsi"/>
        </w:rPr>
        <w:t xml:space="preserve"> </w:t>
      </w:r>
      <w:proofErr w:type="gramStart"/>
      <w:r w:rsidRPr="00B328D5">
        <w:rPr>
          <w:rFonts w:asciiTheme="minorHAnsi" w:hAnsiTheme="minorHAnsi"/>
          <w:i/>
        </w:rPr>
        <w:t>Id.</w:t>
      </w:r>
      <w:r>
        <w:rPr>
          <w:rFonts w:asciiTheme="minorHAnsi" w:hAnsiTheme="minorHAnsi"/>
        </w:rPr>
        <w:t xml:space="preserve"> at </w:t>
      </w:r>
      <w:r w:rsidRPr="00B9212E">
        <w:rPr>
          <w:rFonts w:asciiTheme="minorHAnsi" w:hAnsiTheme="minorHAnsi" w:cs="Arial"/>
          <w:sz w:val="18"/>
          <w:szCs w:val="18"/>
        </w:rPr>
        <w:t>¶10</w:t>
      </w:r>
      <w:r>
        <w:rPr>
          <w:rFonts w:asciiTheme="minorHAnsi" w:hAnsiTheme="minorHAnsi" w:cs="Arial"/>
          <w:sz w:val="18"/>
          <w:szCs w:val="18"/>
        </w:rPr>
        <w:t xml:space="preserve">; </w:t>
      </w:r>
      <w:r w:rsidRPr="00B9212E">
        <w:rPr>
          <w:rFonts w:asciiTheme="minorHAnsi" w:hAnsiTheme="minorHAnsi" w:cs="Arial"/>
          <w:sz w:val="18"/>
          <w:szCs w:val="18"/>
        </w:rPr>
        <w:t xml:space="preserve">Affidavit of Dr. Julian Ford, Professor of Psychiatry, University of Connecticut ¶¶9, 10 (Dec. 11, 2014), available at </w:t>
      </w:r>
      <w:hyperlink r:id="rId12" w:history="1">
        <w:r w:rsidRPr="00B9212E">
          <w:rPr>
            <w:rStyle w:val="Hyperlink"/>
            <w:rFonts w:asciiTheme="minorHAnsi" w:hAnsiTheme="minorHAnsi" w:cs="Arial"/>
            <w:sz w:val="18"/>
            <w:szCs w:val="18"/>
          </w:rPr>
          <w:t>http://njdc.info/wp-content/uploads/2014/09/Ford-Affidavit-Final-Dec-2014.pdf</w:t>
        </w:r>
      </w:hyperlink>
      <w:r w:rsidRPr="00B9212E">
        <w:rPr>
          <w:rFonts w:asciiTheme="minorHAnsi" w:hAnsiTheme="minorHAnsi" w:cs="Arial"/>
          <w:sz w:val="18"/>
          <w:szCs w:val="18"/>
        </w:rPr>
        <w:t xml:space="preserve"> .)</w:t>
      </w:r>
      <w:proofErr w:type="gramEnd"/>
    </w:p>
  </w:footnote>
  <w:footnote w:id="9">
    <w:p w14:paraId="4516B23D" w14:textId="77777777" w:rsidR="00106D92" w:rsidRPr="0068145C" w:rsidRDefault="00106D92" w:rsidP="00106D92">
      <w:pPr>
        <w:pStyle w:val="NoSpacing"/>
        <w:jc w:val="both"/>
        <w:rPr>
          <w:rFonts w:asciiTheme="minorHAnsi" w:hAnsiTheme="minorHAnsi" w:cs="Arial"/>
          <w:sz w:val="22"/>
          <w:szCs w:val="22"/>
        </w:rPr>
      </w:pPr>
      <w:r w:rsidRPr="0068145C">
        <w:rPr>
          <w:rStyle w:val="FootnoteReference"/>
        </w:rPr>
        <w:footnoteRef/>
      </w:r>
      <w:r w:rsidRPr="0068145C">
        <w:t xml:space="preserve"> </w:t>
      </w:r>
      <w:r w:rsidRPr="0068145C">
        <w:rPr>
          <w:rFonts w:asciiTheme="minorHAnsi" w:hAnsiTheme="minorHAnsi" w:cs="Arial"/>
          <w:sz w:val="18"/>
          <w:szCs w:val="18"/>
        </w:rPr>
        <w:t>If desired, we will provide the statements of each of these organizations to the Rules Committee.</w:t>
      </w:r>
    </w:p>
    <w:p w14:paraId="12C0A78D" w14:textId="77777777" w:rsidR="00106D92" w:rsidRDefault="00106D92" w:rsidP="00106D9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09467" w14:textId="77777777" w:rsidR="008F6208" w:rsidRDefault="008F6208">
    <w:pPr>
      <w:pStyle w:val="Header"/>
    </w:pPr>
    <w:r>
      <w:rPr>
        <w:noProof/>
        <w:lang w:eastAsia="en-US"/>
      </w:rPr>
      <w:drawing>
        <wp:anchor distT="0" distB="0" distL="114300" distR="114300" simplePos="0" relativeHeight="251668480" behindDoc="1" locked="0" layoutInCell="1" allowOverlap="1" wp14:anchorId="66B351EB" wp14:editId="085A9451">
          <wp:simplePos x="0" y="0"/>
          <wp:positionH relativeFrom="margin">
            <wp:align>center</wp:align>
          </wp:positionH>
          <wp:positionV relativeFrom="margin">
            <wp:align>center</wp:align>
          </wp:positionV>
          <wp:extent cx="7772400" cy="10058400"/>
          <wp:effectExtent l="0" t="0" r="0" b="0"/>
          <wp:wrapNone/>
          <wp:docPr id="5" name="Picture 5"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71FCB" w14:textId="77777777" w:rsidR="008F6208" w:rsidRDefault="008F6208">
    <w:pPr>
      <w:pStyle w:val="Header"/>
    </w:pPr>
  </w:p>
  <w:p w14:paraId="5FEB8164" w14:textId="77777777" w:rsidR="008F6208" w:rsidRDefault="008F6208">
    <w:pPr>
      <w:pStyle w:val="Header"/>
    </w:pPr>
  </w:p>
  <w:p w14:paraId="68CFC094" w14:textId="77777777" w:rsidR="008F6208" w:rsidRDefault="008F6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31622"/>
    <w:multiLevelType w:val="hybridMultilevel"/>
    <w:tmpl w:val="8C8EA2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453C35"/>
    <w:multiLevelType w:val="hybridMultilevel"/>
    <w:tmpl w:val="E1AE560C"/>
    <w:lvl w:ilvl="0" w:tplc="2A100F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3C"/>
    <w:rsid w:val="00014193"/>
    <w:rsid w:val="00062281"/>
    <w:rsid w:val="00092C6F"/>
    <w:rsid w:val="0009424E"/>
    <w:rsid w:val="000A0DC0"/>
    <w:rsid w:val="000A35B7"/>
    <w:rsid w:val="000A62F4"/>
    <w:rsid w:val="000C0AF6"/>
    <w:rsid w:val="000C2001"/>
    <w:rsid w:val="000D2C93"/>
    <w:rsid w:val="000E5045"/>
    <w:rsid w:val="000E6F10"/>
    <w:rsid w:val="000F1C0C"/>
    <w:rsid w:val="001025CE"/>
    <w:rsid w:val="00106D92"/>
    <w:rsid w:val="00114C0F"/>
    <w:rsid w:val="001209AF"/>
    <w:rsid w:val="00126180"/>
    <w:rsid w:val="0014687E"/>
    <w:rsid w:val="00151229"/>
    <w:rsid w:val="00151D01"/>
    <w:rsid w:val="00166CF9"/>
    <w:rsid w:val="00170FAF"/>
    <w:rsid w:val="001823A6"/>
    <w:rsid w:val="001D136B"/>
    <w:rsid w:val="001D404C"/>
    <w:rsid w:val="001E1DF4"/>
    <w:rsid w:val="001E764F"/>
    <w:rsid w:val="00237C91"/>
    <w:rsid w:val="00245AE4"/>
    <w:rsid w:val="00271F50"/>
    <w:rsid w:val="0029213F"/>
    <w:rsid w:val="0029695A"/>
    <w:rsid w:val="002A456A"/>
    <w:rsid w:val="002E4496"/>
    <w:rsid w:val="002F2E62"/>
    <w:rsid w:val="00312DFC"/>
    <w:rsid w:val="0031718D"/>
    <w:rsid w:val="00317B57"/>
    <w:rsid w:val="003E3C5C"/>
    <w:rsid w:val="003F40C3"/>
    <w:rsid w:val="003F5D4E"/>
    <w:rsid w:val="00423932"/>
    <w:rsid w:val="00427CAB"/>
    <w:rsid w:val="004433D1"/>
    <w:rsid w:val="00451898"/>
    <w:rsid w:val="00454D2A"/>
    <w:rsid w:val="004872C8"/>
    <w:rsid w:val="004A28DF"/>
    <w:rsid w:val="00514E3C"/>
    <w:rsid w:val="00534F9A"/>
    <w:rsid w:val="00584732"/>
    <w:rsid w:val="0059299C"/>
    <w:rsid w:val="005A7950"/>
    <w:rsid w:val="005B593E"/>
    <w:rsid w:val="005B67A4"/>
    <w:rsid w:val="005E003A"/>
    <w:rsid w:val="0062755B"/>
    <w:rsid w:val="00643D28"/>
    <w:rsid w:val="0068145C"/>
    <w:rsid w:val="00681937"/>
    <w:rsid w:val="00684F7B"/>
    <w:rsid w:val="00694540"/>
    <w:rsid w:val="006B42B5"/>
    <w:rsid w:val="006C046D"/>
    <w:rsid w:val="006D6999"/>
    <w:rsid w:val="006E7F08"/>
    <w:rsid w:val="00706A92"/>
    <w:rsid w:val="007B2C89"/>
    <w:rsid w:val="007C02EB"/>
    <w:rsid w:val="007E689A"/>
    <w:rsid w:val="007E75D0"/>
    <w:rsid w:val="00826E1A"/>
    <w:rsid w:val="008537F7"/>
    <w:rsid w:val="0086167A"/>
    <w:rsid w:val="00862880"/>
    <w:rsid w:val="00887206"/>
    <w:rsid w:val="0088744F"/>
    <w:rsid w:val="008C6D8A"/>
    <w:rsid w:val="008D1EB0"/>
    <w:rsid w:val="008F6208"/>
    <w:rsid w:val="009541FA"/>
    <w:rsid w:val="00980ABC"/>
    <w:rsid w:val="00982F29"/>
    <w:rsid w:val="00986261"/>
    <w:rsid w:val="009955D9"/>
    <w:rsid w:val="009A64CA"/>
    <w:rsid w:val="009C296B"/>
    <w:rsid w:val="00A16CC8"/>
    <w:rsid w:val="00A23A0A"/>
    <w:rsid w:val="00A24130"/>
    <w:rsid w:val="00A55A90"/>
    <w:rsid w:val="00A6096B"/>
    <w:rsid w:val="00A83766"/>
    <w:rsid w:val="00A90F1B"/>
    <w:rsid w:val="00A9767B"/>
    <w:rsid w:val="00AA67C2"/>
    <w:rsid w:val="00AF7DC8"/>
    <w:rsid w:val="00B0264D"/>
    <w:rsid w:val="00B11A52"/>
    <w:rsid w:val="00B207DA"/>
    <w:rsid w:val="00B650F2"/>
    <w:rsid w:val="00B65920"/>
    <w:rsid w:val="00B66B70"/>
    <w:rsid w:val="00B91716"/>
    <w:rsid w:val="00B9212E"/>
    <w:rsid w:val="00B956DD"/>
    <w:rsid w:val="00BB6A82"/>
    <w:rsid w:val="00BC305A"/>
    <w:rsid w:val="00BD5948"/>
    <w:rsid w:val="00BE2FC1"/>
    <w:rsid w:val="00BF09D1"/>
    <w:rsid w:val="00C45612"/>
    <w:rsid w:val="00C67A5F"/>
    <w:rsid w:val="00CA451E"/>
    <w:rsid w:val="00D17528"/>
    <w:rsid w:val="00D61D87"/>
    <w:rsid w:val="00DA294C"/>
    <w:rsid w:val="00DC4307"/>
    <w:rsid w:val="00DF1DDE"/>
    <w:rsid w:val="00DF41EF"/>
    <w:rsid w:val="00E431CE"/>
    <w:rsid w:val="00E60DCD"/>
    <w:rsid w:val="00E73AA1"/>
    <w:rsid w:val="00EB5894"/>
    <w:rsid w:val="00F17161"/>
    <w:rsid w:val="00F32EBD"/>
    <w:rsid w:val="00F37E6A"/>
    <w:rsid w:val="00F6766A"/>
    <w:rsid w:val="00F92610"/>
    <w:rsid w:val="00FA5130"/>
    <w:rsid w:val="00FB3953"/>
    <w:rsid w:val="00FB5020"/>
    <w:rsid w:val="00FE04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7B51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E3C"/>
    <w:pPr>
      <w:spacing w:after="0"/>
    </w:pPr>
    <w:rPr>
      <w:rFonts w:ascii="Times New Roman" w:hAnsi="Times New Roman" w:cs="Times New Roman"/>
      <w:sz w:val="24"/>
      <w:szCs w:val="24"/>
      <w:lang w:eastAsia="en-US"/>
    </w:rPr>
  </w:style>
  <w:style w:type="paragraph" w:styleId="Heading2">
    <w:name w:val="heading 2"/>
    <w:basedOn w:val="Normal"/>
    <w:next w:val="Normal"/>
    <w:link w:val="Heading2Char"/>
    <w:uiPriority w:val="9"/>
    <w:semiHidden/>
    <w:unhideWhenUsed/>
    <w:qFormat/>
    <w:rsid w:val="00514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ABC"/>
    <w:pPr>
      <w:tabs>
        <w:tab w:val="center" w:pos="4320"/>
        <w:tab w:val="right" w:pos="8640"/>
      </w:tabs>
    </w:pPr>
    <w:rPr>
      <w:rFonts w:asciiTheme="minorHAnsi" w:hAnsiTheme="minorHAnsi" w:cstheme="minorBidi"/>
      <w:lang w:eastAsia="ja-JP"/>
    </w:rPr>
  </w:style>
  <w:style w:type="character" w:customStyle="1" w:styleId="HeaderChar">
    <w:name w:val="Header Char"/>
    <w:basedOn w:val="DefaultParagraphFont"/>
    <w:link w:val="Header"/>
    <w:uiPriority w:val="99"/>
    <w:rsid w:val="00980ABC"/>
    <w:rPr>
      <w:sz w:val="24"/>
      <w:szCs w:val="24"/>
    </w:rPr>
  </w:style>
  <w:style w:type="paragraph" w:styleId="Footer">
    <w:name w:val="footer"/>
    <w:basedOn w:val="Normal"/>
    <w:link w:val="FooterChar"/>
    <w:uiPriority w:val="99"/>
    <w:unhideWhenUsed/>
    <w:rsid w:val="00980ABC"/>
    <w:pPr>
      <w:tabs>
        <w:tab w:val="center" w:pos="4320"/>
        <w:tab w:val="right" w:pos="8640"/>
      </w:tabs>
    </w:pPr>
    <w:rPr>
      <w:rFonts w:asciiTheme="minorHAnsi" w:hAnsiTheme="minorHAnsi" w:cstheme="minorBidi"/>
      <w:lang w:eastAsia="ja-JP"/>
    </w:rPr>
  </w:style>
  <w:style w:type="character" w:customStyle="1" w:styleId="FooterChar">
    <w:name w:val="Footer Char"/>
    <w:basedOn w:val="DefaultParagraphFont"/>
    <w:link w:val="Footer"/>
    <w:uiPriority w:val="99"/>
    <w:rsid w:val="00980ABC"/>
    <w:rPr>
      <w:sz w:val="24"/>
      <w:szCs w:val="24"/>
    </w:rPr>
  </w:style>
  <w:style w:type="paragraph" w:styleId="BalloonText">
    <w:name w:val="Balloon Text"/>
    <w:basedOn w:val="Normal"/>
    <w:link w:val="BalloonTextChar"/>
    <w:uiPriority w:val="99"/>
    <w:semiHidden/>
    <w:unhideWhenUsed/>
    <w:rsid w:val="0062755B"/>
    <w:rPr>
      <w:rFonts w:ascii="Lucida Grande" w:hAnsi="Lucida Grande"/>
      <w:sz w:val="18"/>
      <w:szCs w:val="18"/>
    </w:rPr>
  </w:style>
  <w:style w:type="character" w:customStyle="1" w:styleId="BalloonTextChar">
    <w:name w:val="Balloon Text Char"/>
    <w:basedOn w:val="DefaultParagraphFont"/>
    <w:link w:val="BalloonText"/>
    <w:uiPriority w:val="99"/>
    <w:semiHidden/>
    <w:rsid w:val="0062755B"/>
    <w:rPr>
      <w:rFonts w:ascii="Lucida Grande" w:hAnsi="Lucida Grande"/>
      <w:sz w:val="18"/>
      <w:szCs w:val="18"/>
    </w:rPr>
  </w:style>
  <w:style w:type="paragraph" w:styleId="NoSpacing">
    <w:name w:val="No Spacing"/>
    <w:uiPriority w:val="1"/>
    <w:qFormat/>
    <w:rsid w:val="00BC305A"/>
    <w:pPr>
      <w:spacing w:after="0"/>
    </w:pPr>
    <w:rPr>
      <w:rFonts w:ascii="Times New Roman" w:hAnsi="Times New Roman"/>
      <w:sz w:val="24"/>
      <w:szCs w:val="24"/>
    </w:rPr>
  </w:style>
  <w:style w:type="character" w:customStyle="1" w:styleId="Heading2Char">
    <w:name w:val="Heading 2 Char"/>
    <w:basedOn w:val="DefaultParagraphFont"/>
    <w:link w:val="Heading2"/>
    <w:uiPriority w:val="9"/>
    <w:semiHidden/>
    <w:rsid w:val="00514E3C"/>
    <w:rPr>
      <w:rFonts w:asciiTheme="majorHAnsi" w:eastAsiaTheme="majorEastAsia" w:hAnsiTheme="majorHAnsi" w:cstheme="majorBidi"/>
      <w:b/>
      <w:bCs/>
      <w:color w:val="4F81BD" w:themeColor="accent1"/>
      <w:sz w:val="26"/>
      <w:szCs w:val="26"/>
      <w:lang w:eastAsia="en-US"/>
    </w:rPr>
  </w:style>
  <w:style w:type="character" w:styleId="Emphasis">
    <w:name w:val="Emphasis"/>
    <w:basedOn w:val="DefaultParagraphFont"/>
    <w:uiPriority w:val="20"/>
    <w:qFormat/>
    <w:rsid w:val="00514E3C"/>
    <w:rPr>
      <w:i/>
      <w:iCs/>
    </w:rPr>
  </w:style>
  <w:style w:type="character" w:styleId="Hyperlink">
    <w:name w:val="Hyperlink"/>
    <w:basedOn w:val="DefaultParagraphFont"/>
    <w:uiPriority w:val="99"/>
    <w:unhideWhenUsed/>
    <w:rsid w:val="00DA294C"/>
    <w:rPr>
      <w:color w:val="0000FF" w:themeColor="hyperlink"/>
      <w:u w:val="single"/>
    </w:rPr>
  </w:style>
  <w:style w:type="character" w:styleId="CommentReference">
    <w:name w:val="annotation reference"/>
    <w:basedOn w:val="DefaultParagraphFont"/>
    <w:uiPriority w:val="99"/>
    <w:semiHidden/>
    <w:unhideWhenUsed/>
    <w:rsid w:val="00684F7B"/>
    <w:rPr>
      <w:sz w:val="16"/>
      <w:szCs w:val="16"/>
    </w:rPr>
  </w:style>
  <w:style w:type="paragraph" w:styleId="CommentText">
    <w:name w:val="annotation text"/>
    <w:basedOn w:val="Normal"/>
    <w:link w:val="CommentTextChar"/>
    <w:uiPriority w:val="99"/>
    <w:semiHidden/>
    <w:unhideWhenUsed/>
    <w:rsid w:val="00684F7B"/>
    <w:rPr>
      <w:sz w:val="20"/>
      <w:szCs w:val="20"/>
    </w:rPr>
  </w:style>
  <w:style w:type="character" w:customStyle="1" w:styleId="CommentTextChar">
    <w:name w:val="Comment Text Char"/>
    <w:basedOn w:val="DefaultParagraphFont"/>
    <w:link w:val="CommentText"/>
    <w:uiPriority w:val="99"/>
    <w:semiHidden/>
    <w:rsid w:val="00684F7B"/>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4F7B"/>
    <w:rPr>
      <w:b/>
      <w:bCs/>
    </w:rPr>
  </w:style>
  <w:style w:type="character" w:customStyle="1" w:styleId="CommentSubjectChar">
    <w:name w:val="Comment Subject Char"/>
    <w:basedOn w:val="CommentTextChar"/>
    <w:link w:val="CommentSubject"/>
    <w:uiPriority w:val="99"/>
    <w:semiHidden/>
    <w:rsid w:val="00684F7B"/>
    <w:rPr>
      <w:rFonts w:ascii="Times New Roman" w:hAnsi="Times New Roman" w:cs="Times New Roman"/>
      <w:b/>
      <w:bCs/>
      <w:lang w:eastAsia="en-US"/>
    </w:rPr>
  </w:style>
  <w:style w:type="paragraph" w:styleId="Revision">
    <w:name w:val="Revision"/>
    <w:hidden/>
    <w:uiPriority w:val="99"/>
    <w:semiHidden/>
    <w:rsid w:val="00A23A0A"/>
    <w:pPr>
      <w:spacing w:after="0"/>
    </w:pPr>
    <w:rPr>
      <w:rFonts w:ascii="Times New Roman" w:hAnsi="Times New Roman" w:cs="Times New Roman"/>
      <w:sz w:val="24"/>
      <w:szCs w:val="24"/>
      <w:lang w:eastAsia="en-US"/>
    </w:rPr>
  </w:style>
  <w:style w:type="paragraph" w:styleId="ListParagraph">
    <w:name w:val="List Paragraph"/>
    <w:basedOn w:val="Normal"/>
    <w:uiPriority w:val="34"/>
    <w:qFormat/>
    <w:rsid w:val="0009424E"/>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9213F"/>
    <w:rPr>
      <w:sz w:val="20"/>
      <w:szCs w:val="20"/>
    </w:rPr>
  </w:style>
  <w:style w:type="character" w:customStyle="1" w:styleId="FootnoteTextChar">
    <w:name w:val="Footnote Text Char"/>
    <w:basedOn w:val="DefaultParagraphFont"/>
    <w:link w:val="FootnoteText"/>
    <w:uiPriority w:val="99"/>
    <w:rsid w:val="0029213F"/>
    <w:rPr>
      <w:rFonts w:ascii="Times New Roman" w:hAnsi="Times New Roman" w:cs="Times New Roman"/>
      <w:lang w:eastAsia="en-US"/>
    </w:rPr>
  </w:style>
  <w:style w:type="character" w:styleId="FootnoteReference">
    <w:name w:val="footnote reference"/>
    <w:basedOn w:val="DefaultParagraphFont"/>
    <w:uiPriority w:val="99"/>
    <w:unhideWhenUsed/>
    <w:rsid w:val="0029213F"/>
    <w:rPr>
      <w:vertAlign w:val="superscript"/>
    </w:rPr>
  </w:style>
  <w:style w:type="character" w:styleId="FollowedHyperlink">
    <w:name w:val="FollowedHyperlink"/>
    <w:basedOn w:val="DefaultParagraphFont"/>
    <w:uiPriority w:val="99"/>
    <w:semiHidden/>
    <w:unhideWhenUsed/>
    <w:rsid w:val="00106D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E3C"/>
    <w:pPr>
      <w:spacing w:after="0"/>
    </w:pPr>
    <w:rPr>
      <w:rFonts w:ascii="Times New Roman" w:hAnsi="Times New Roman" w:cs="Times New Roman"/>
      <w:sz w:val="24"/>
      <w:szCs w:val="24"/>
      <w:lang w:eastAsia="en-US"/>
    </w:rPr>
  </w:style>
  <w:style w:type="paragraph" w:styleId="Heading2">
    <w:name w:val="heading 2"/>
    <w:basedOn w:val="Normal"/>
    <w:next w:val="Normal"/>
    <w:link w:val="Heading2Char"/>
    <w:uiPriority w:val="9"/>
    <w:semiHidden/>
    <w:unhideWhenUsed/>
    <w:qFormat/>
    <w:rsid w:val="00514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ABC"/>
    <w:pPr>
      <w:tabs>
        <w:tab w:val="center" w:pos="4320"/>
        <w:tab w:val="right" w:pos="8640"/>
      </w:tabs>
    </w:pPr>
    <w:rPr>
      <w:rFonts w:asciiTheme="minorHAnsi" w:hAnsiTheme="minorHAnsi" w:cstheme="minorBidi"/>
      <w:lang w:eastAsia="ja-JP"/>
    </w:rPr>
  </w:style>
  <w:style w:type="character" w:customStyle="1" w:styleId="HeaderChar">
    <w:name w:val="Header Char"/>
    <w:basedOn w:val="DefaultParagraphFont"/>
    <w:link w:val="Header"/>
    <w:uiPriority w:val="99"/>
    <w:rsid w:val="00980ABC"/>
    <w:rPr>
      <w:sz w:val="24"/>
      <w:szCs w:val="24"/>
    </w:rPr>
  </w:style>
  <w:style w:type="paragraph" w:styleId="Footer">
    <w:name w:val="footer"/>
    <w:basedOn w:val="Normal"/>
    <w:link w:val="FooterChar"/>
    <w:uiPriority w:val="99"/>
    <w:unhideWhenUsed/>
    <w:rsid w:val="00980ABC"/>
    <w:pPr>
      <w:tabs>
        <w:tab w:val="center" w:pos="4320"/>
        <w:tab w:val="right" w:pos="8640"/>
      </w:tabs>
    </w:pPr>
    <w:rPr>
      <w:rFonts w:asciiTheme="minorHAnsi" w:hAnsiTheme="minorHAnsi" w:cstheme="minorBidi"/>
      <w:lang w:eastAsia="ja-JP"/>
    </w:rPr>
  </w:style>
  <w:style w:type="character" w:customStyle="1" w:styleId="FooterChar">
    <w:name w:val="Footer Char"/>
    <w:basedOn w:val="DefaultParagraphFont"/>
    <w:link w:val="Footer"/>
    <w:uiPriority w:val="99"/>
    <w:rsid w:val="00980ABC"/>
    <w:rPr>
      <w:sz w:val="24"/>
      <w:szCs w:val="24"/>
    </w:rPr>
  </w:style>
  <w:style w:type="paragraph" w:styleId="BalloonText">
    <w:name w:val="Balloon Text"/>
    <w:basedOn w:val="Normal"/>
    <w:link w:val="BalloonTextChar"/>
    <w:uiPriority w:val="99"/>
    <w:semiHidden/>
    <w:unhideWhenUsed/>
    <w:rsid w:val="0062755B"/>
    <w:rPr>
      <w:rFonts w:ascii="Lucida Grande" w:hAnsi="Lucida Grande"/>
      <w:sz w:val="18"/>
      <w:szCs w:val="18"/>
    </w:rPr>
  </w:style>
  <w:style w:type="character" w:customStyle="1" w:styleId="BalloonTextChar">
    <w:name w:val="Balloon Text Char"/>
    <w:basedOn w:val="DefaultParagraphFont"/>
    <w:link w:val="BalloonText"/>
    <w:uiPriority w:val="99"/>
    <w:semiHidden/>
    <w:rsid w:val="0062755B"/>
    <w:rPr>
      <w:rFonts w:ascii="Lucida Grande" w:hAnsi="Lucida Grande"/>
      <w:sz w:val="18"/>
      <w:szCs w:val="18"/>
    </w:rPr>
  </w:style>
  <w:style w:type="paragraph" w:styleId="NoSpacing">
    <w:name w:val="No Spacing"/>
    <w:uiPriority w:val="1"/>
    <w:qFormat/>
    <w:rsid w:val="00BC305A"/>
    <w:pPr>
      <w:spacing w:after="0"/>
    </w:pPr>
    <w:rPr>
      <w:rFonts w:ascii="Times New Roman" w:hAnsi="Times New Roman"/>
      <w:sz w:val="24"/>
      <w:szCs w:val="24"/>
    </w:rPr>
  </w:style>
  <w:style w:type="character" w:customStyle="1" w:styleId="Heading2Char">
    <w:name w:val="Heading 2 Char"/>
    <w:basedOn w:val="DefaultParagraphFont"/>
    <w:link w:val="Heading2"/>
    <w:uiPriority w:val="9"/>
    <w:semiHidden/>
    <w:rsid w:val="00514E3C"/>
    <w:rPr>
      <w:rFonts w:asciiTheme="majorHAnsi" w:eastAsiaTheme="majorEastAsia" w:hAnsiTheme="majorHAnsi" w:cstheme="majorBidi"/>
      <w:b/>
      <w:bCs/>
      <w:color w:val="4F81BD" w:themeColor="accent1"/>
      <w:sz w:val="26"/>
      <w:szCs w:val="26"/>
      <w:lang w:eastAsia="en-US"/>
    </w:rPr>
  </w:style>
  <w:style w:type="character" w:styleId="Emphasis">
    <w:name w:val="Emphasis"/>
    <w:basedOn w:val="DefaultParagraphFont"/>
    <w:uiPriority w:val="20"/>
    <w:qFormat/>
    <w:rsid w:val="00514E3C"/>
    <w:rPr>
      <w:i/>
      <w:iCs/>
    </w:rPr>
  </w:style>
  <w:style w:type="character" w:styleId="Hyperlink">
    <w:name w:val="Hyperlink"/>
    <w:basedOn w:val="DefaultParagraphFont"/>
    <w:uiPriority w:val="99"/>
    <w:unhideWhenUsed/>
    <w:rsid w:val="00DA294C"/>
    <w:rPr>
      <w:color w:val="0000FF" w:themeColor="hyperlink"/>
      <w:u w:val="single"/>
    </w:rPr>
  </w:style>
  <w:style w:type="character" w:styleId="CommentReference">
    <w:name w:val="annotation reference"/>
    <w:basedOn w:val="DefaultParagraphFont"/>
    <w:uiPriority w:val="99"/>
    <w:semiHidden/>
    <w:unhideWhenUsed/>
    <w:rsid w:val="00684F7B"/>
    <w:rPr>
      <w:sz w:val="16"/>
      <w:szCs w:val="16"/>
    </w:rPr>
  </w:style>
  <w:style w:type="paragraph" w:styleId="CommentText">
    <w:name w:val="annotation text"/>
    <w:basedOn w:val="Normal"/>
    <w:link w:val="CommentTextChar"/>
    <w:uiPriority w:val="99"/>
    <w:semiHidden/>
    <w:unhideWhenUsed/>
    <w:rsid w:val="00684F7B"/>
    <w:rPr>
      <w:sz w:val="20"/>
      <w:szCs w:val="20"/>
    </w:rPr>
  </w:style>
  <w:style w:type="character" w:customStyle="1" w:styleId="CommentTextChar">
    <w:name w:val="Comment Text Char"/>
    <w:basedOn w:val="DefaultParagraphFont"/>
    <w:link w:val="CommentText"/>
    <w:uiPriority w:val="99"/>
    <w:semiHidden/>
    <w:rsid w:val="00684F7B"/>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4F7B"/>
    <w:rPr>
      <w:b/>
      <w:bCs/>
    </w:rPr>
  </w:style>
  <w:style w:type="character" w:customStyle="1" w:styleId="CommentSubjectChar">
    <w:name w:val="Comment Subject Char"/>
    <w:basedOn w:val="CommentTextChar"/>
    <w:link w:val="CommentSubject"/>
    <w:uiPriority w:val="99"/>
    <w:semiHidden/>
    <w:rsid w:val="00684F7B"/>
    <w:rPr>
      <w:rFonts w:ascii="Times New Roman" w:hAnsi="Times New Roman" w:cs="Times New Roman"/>
      <w:b/>
      <w:bCs/>
      <w:lang w:eastAsia="en-US"/>
    </w:rPr>
  </w:style>
  <w:style w:type="paragraph" w:styleId="Revision">
    <w:name w:val="Revision"/>
    <w:hidden/>
    <w:uiPriority w:val="99"/>
    <w:semiHidden/>
    <w:rsid w:val="00A23A0A"/>
    <w:pPr>
      <w:spacing w:after="0"/>
    </w:pPr>
    <w:rPr>
      <w:rFonts w:ascii="Times New Roman" w:hAnsi="Times New Roman" w:cs="Times New Roman"/>
      <w:sz w:val="24"/>
      <w:szCs w:val="24"/>
      <w:lang w:eastAsia="en-US"/>
    </w:rPr>
  </w:style>
  <w:style w:type="paragraph" w:styleId="ListParagraph">
    <w:name w:val="List Paragraph"/>
    <w:basedOn w:val="Normal"/>
    <w:uiPriority w:val="34"/>
    <w:qFormat/>
    <w:rsid w:val="0009424E"/>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9213F"/>
    <w:rPr>
      <w:sz w:val="20"/>
      <w:szCs w:val="20"/>
    </w:rPr>
  </w:style>
  <w:style w:type="character" w:customStyle="1" w:styleId="FootnoteTextChar">
    <w:name w:val="Footnote Text Char"/>
    <w:basedOn w:val="DefaultParagraphFont"/>
    <w:link w:val="FootnoteText"/>
    <w:uiPriority w:val="99"/>
    <w:rsid w:val="0029213F"/>
    <w:rPr>
      <w:rFonts w:ascii="Times New Roman" w:hAnsi="Times New Roman" w:cs="Times New Roman"/>
      <w:lang w:eastAsia="en-US"/>
    </w:rPr>
  </w:style>
  <w:style w:type="character" w:styleId="FootnoteReference">
    <w:name w:val="footnote reference"/>
    <w:basedOn w:val="DefaultParagraphFont"/>
    <w:uiPriority w:val="99"/>
    <w:unhideWhenUsed/>
    <w:rsid w:val="0029213F"/>
    <w:rPr>
      <w:vertAlign w:val="superscript"/>
    </w:rPr>
  </w:style>
  <w:style w:type="character" w:styleId="FollowedHyperlink">
    <w:name w:val="FollowedHyperlink"/>
    <w:basedOn w:val="DefaultParagraphFont"/>
    <w:uiPriority w:val="99"/>
    <w:semiHidden/>
    <w:unhideWhenUsed/>
    <w:rsid w:val="00106D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6189">
      <w:bodyDiv w:val="1"/>
      <w:marLeft w:val="0"/>
      <w:marRight w:val="0"/>
      <w:marTop w:val="0"/>
      <w:marBottom w:val="0"/>
      <w:divBdr>
        <w:top w:val="none" w:sz="0" w:space="0" w:color="auto"/>
        <w:left w:val="none" w:sz="0" w:space="0" w:color="auto"/>
        <w:bottom w:val="none" w:sz="0" w:space="0" w:color="auto"/>
        <w:right w:val="none" w:sz="0" w:space="0" w:color="auto"/>
      </w:divBdr>
    </w:div>
    <w:div w:id="358700003">
      <w:bodyDiv w:val="1"/>
      <w:marLeft w:val="0"/>
      <w:marRight w:val="0"/>
      <w:marTop w:val="0"/>
      <w:marBottom w:val="0"/>
      <w:divBdr>
        <w:top w:val="none" w:sz="0" w:space="0" w:color="auto"/>
        <w:left w:val="none" w:sz="0" w:space="0" w:color="auto"/>
        <w:bottom w:val="none" w:sz="0" w:space="0" w:color="auto"/>
        <w:right w:val="none" w:sz="0" w:space="0" w:color="auto"/>
      </w:divBdr>
    </w:div>
    <w:div w:id="860896695">
      <w:bodyDiv w:val="1"/>
      <w:marLeft w:val="0"/>
      <w:marRight w:val="0"/>
      <w:marTop w:val="0"/>
      <w:marBottom w:val="0"/>
      <w:divBdr>
        <w:top w:val="none" w:sz="0" w:space="0" w:color="auto"/>
        <w:left w:val="none" w:sz="0" w:space="0" w:color="auto"/>
        <w:bottom w:val="none" w:sz="0" w:space="0" w:color="auto"/>
        <w:right w:val="none" w:sz="0" w:space="0" w:color="auto"/>
      </w:divBdr>
    </w:div>
    <w:div w:id="1015379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jdc.info/wp-content/uploads/2014/09/Shackling_Reform_Position_Statement.pdf" TargetMode="External"/><Relationship Id="rId3" Type="http://schemas.openxmlformats.org/officeDocument/2006/relationships/hyperlink" Target="http://njdc.info/wp-content/uploads/2014/09/NCMHJJ-Position-Statement-on-Shackling-of-Juveniles-032615-with-logos.pdf" TargetMode="External"/><Relationship Id="rId7" Type="http://schemas.openxmlformats.org/officeDocument/2006/relationships/hyperlink" Target="http://njdc.info/wp-content/uploads/2014/09/Shackling_Reform_Position_Statement.pdf" TargetMode="External"/><Relationship Id="rId12" Type="http://schemas.openxmlformats.org/officeDocument/2006/relationships/hyperlink" Target="http://njdc.info/wp-content/uploads/2014/09/Ford-Affidavit-Final-Dec-2014.pdf" TargetMode="External"/><Relationship Id="rId2" Type="http://schemas.openxmlformats.org/officeDocument/2006/relationships/hyperlink" Target="http://njdc.info/wp-content/uploads/2014/09/Mandatory-Shackling-2015-Final-Statement.pdf" TargetMode="External"/><Relationship Id="rId1" Type="http://schemas.openxmlformats.org/officeDocument/2006/relationships/hyperlink" Target="http://njdc.info/wp-content/uploads/2014/09/Shackling_Reform_Position_Statement.pdf" TargetMode="External"/><Relationship Id="rId6" Type="http://schemas.openxmlformats.org/officeDocument/2006/relationships/hyperlink" Target="http://njdc.info/wp-content/uploads/2014/09/Bidwell-Shackling-Affidavit-General-April-2015.pdf" TargetMode="External"/><Relationship Id="rId11" Type="http://schemas.openxmlformats.org/officeDocument/2006/relationships/hyperlink" Target="http://njdc.info/wp-content/uploads/2014/09/Rosenblitt-Affidavit-Notarized-CV-Final-1-6-15.pdf" TargetMode="External"/><Relationship Id="rId5" Type="http://schemas.openxmlformats.org/officeDocument/2006/relationships/hyperlink" Target="http://njdc.info/wp-content/uploads/2014/09/Ford-Affidavit-Final-Dec-2014.pdf" TargetMode="External"/><Relationship Id="rId10" Type="http://schemas.openxmlformats.org/officeDocument/2006/relationships/hyperlink" Target="http://njdc.info/wp-content/uploads/2014/09/NCMHJJ-Position-Statement-on-Shackling-of-Juveniles-032615-with-logos.pdf" TargetMode="External"/><Relationship Id="rId4" Type="http://schemas.openxmlformats.org/officeDocument/2006/relationships/hyperlink" Target="http://njdc.info/wp-content/uploads/2014/09/Griffin-Affidavit-II.pdf" TargetMode="External"/><Relationship Id="rId9" Type="http://schemas.openxmlformats.org/officeDocument/2006/relationships/hyperlink" Target="http://njdc.info/wp-content/uploads/2014/09/Mandatory-Shackling-2015-Final-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apiro\AppData\Roaming\Microsoft\Templates\External%20CAIJ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6ABF-AB78-4FF2-8001-9B65AA92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CAIJS Template</Template>
  <TotalTime>0</TotalTime>
  <Pages>3</Pages>
  <Words>734</Words>
  <Characters>4185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Quicksilver Communication</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BEELERJ</dc:creator>
  <cp:lastModifiedBy>Christina Phillis</cp:lastModifiedBy>
  <cp:revision>2</cp:revision>
  <cp:lastPrinted>2015-07-14T18:52:00Z</cp:lastPrinted>
  <dcterms:created xsi:type="dcterms:W3CDTF">2015-10-21T21:03:00Z</dcterms:created>
  <dcterms:modified xsi:type="dcterms:W3CDTF">2015-10-21T21:03:00Z</dcterms:modified>
</cp:coreProperties>
</file>