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2" w:type="dxa"/>
        <w:tblLayout w:type="fixed"/>
        <w:tblLook w:val="0000" w:firstRow="0" w:lastRow="0" w:firstColumn="0" w:lastColumn="0" w:noHBand="0" w:noVBand="0"/>
      </w:tblPr>
      <w:tblGrid>
        <w:gridCol w:w="5472"/>
        <w:gridCol w:w="4200"/>
      </w:tblGrid>
      <w:tr w:rsidR="00115F42" w:rsidRPr="003A48AE" w:rsidTr="00047FD9">
        <w:trPr>
          <w:cantSplit/>
          <w:trHeight w:val="2167"/>
        </w:trPr>
        <w:tc>
          <w:tcPr>
            <w:tcW w:w="5472" w:type="dxa"/>
          </w:tcPr>
          <w:p w:rsidR="00115F42" w:rsidRPr="003A48AE" w:rsidRDefault="00115F42" w:rsidP="00047FD9">
            <w:pPr>
              <w:rPr>
                <w:szCs w:val="26"/>
              </w:rPr>
            </w:pPr>
            <w:bookmarkStart w:id="0" w:name="_zzmpFIXED_CounselTable"/>
            <w:r w:rsidRPr="003A48AE">
              <w:rPr>
                <w:szCs w:val="26"/>
              </w:rPr>
              <w:t xml:space="preserve">Christina M. Phillis, </w:t>
            </w:r>
          </w:p>
          <w:p w:rsidR="00115F42" w:rsidRDefault="00115F42" w:rsidP="00047FD9">
            <w:pPr>
              <w:rPr>
                <w:szCs w:val="26"/>
              </w:rPr>
            </w:pPr>
            <w:r>
              <w:rPr>
                <w:szCs w:val="26"/>
              </w:rPr>
              <w:t>Arizona Public Defender’s Association</w:t>
            </w:r>
          </w:p>
          <w:p w:rsidR="00115F42" w:rsidRDefault="00115F42" w:rsidP="00047FD9">
            <w:pPr>
              <w:rPr>
                <w:szCs w:val="26"/>
              </w:rPr>
            </w:pPr>
            <w:r>
              <w:rPr>
                <w:szCs w:val="26"/>
              </w:rPr>
              <w:t>106 W. Baseline</w:t>
            </w:r>
          </w:p>
          <w:p w:rsidR="00115F42" w:rsidRPr="003A48AE" w:rsidRDefault="00115F42" w:rsidP="00047FD9">
            <w:pPr>
              <w:rPr>
                <w:szCs w:val="26"/>
              </w:rPr>
            </w:pPr>
            <w:r w:rsidRPr="003A48AE">
              <w:rPr>
                <w:szCs w:val="26"/>
              </w:rPr>
              <w:t>Mesa, Arizona 85210</w:t>
            </w:r>
          </w:p>
          <w:p w:rsidR="00115F42" w:rsidRPr="003A48AE" w:rsidRDefault="00115F42" w:rsidP="00047FD9">
            <w:pPr>
              <w:rPr>
                <w:szCs w:val="26"/>
              </w:rPr>
            </w:pPr>
            <w:r w:rsidRPr="003A48AE">
              <w:rPr>
                <w:szCs w:val="26"/>
              </w:rPr>
              <w:t>Telephone (602) 372-2815</w:t>
            </w:r>
          </w:p>
          <w:p w:rsidR="00115F42" w:rsidRPr="003A48AE" w:rsidRDefault="00115F42" w:rsidP="00047FD9">
            <w:pPr>
              <w:rPr>
                <w:szCs w:val="26"/>
              </w:rPr>
            </w:pPr>
            <w:r w:rsidRPr="003A48AE">
              <w:rPr>
                <w:szCs w:val="26"/>
              </w:rPr>
              <w:t>Fax (602) 372-8919</w:t>
            </w:r>
          </w:p>
          <w:p w:rsidR="00115F42" w:rsidRPr="003A48AE" w:rsidRDefault="00115F42" w:rsidP="00047FD9">
            <w:pPr>
              <w:rPr>
                <w:szCs w:val="26"/>
              </w:rPr>
            </w:pPr>
            <w:r w:rsidRPr="003A48AE">
              <w:rPr>
                <w:szCs w:val="26"/>
              </w:rPr>
              <w:t>Arizona Bar Membership No. 014871</w:t>
            </w:r>
          </w:p>
          <w:p w:rsidR="00115F42" w:rsidRPr="003A48AE" w:rsidRDefault="00115F42" w:rsidP="00047FD9">
            <w:pPr>
              <w:rPr>
                <w:szCs w:val="26"/>
              </w:rPr>
            </w:pPr>
            <w:r w:rsidRPr="003A48AE">
              <w:rPr>
                <w:szCs w:val="26"/>
              </w:rPr>
              <w:t>Email Juv-SE@mail.maricopa.gov</w:t>
            </w:r>
          </w:p>
          <w:p w:rsidR="00115F42" w:rsidRPr="003A48AE" w:rsidRDefault="00115F42" w:rsidP="00047FD9">
            <w:pPr>
              <w:widowControl/>
              <w:spacing w:line="240" w:lineRule="auto"/>
              <w:ind w:left="-90" w:right="-288"/>
              <w:rPr>
                <w:szCs w:val="26"/>
              </w:rPr>
            </w:pPr>
          </w:p>
          <w:p w:rsidR="00115F42" w:rsidRPr="003A48AE" w:rsidRDefault="00115F42" w:rsidP="00047FD9">
            <w:pPr>
              <w:pStyle w:val="FirmInformation"/>
              <w:widowControl/>
              <w:spacing w:line="240" w:lineRule="auto"/>
              <w:ind w:left="-90" w:right="-288"/>
              <w:rPr>
                <w:szCs w:val="26"/>
              </w:rPr>
            </w:pPr>
          </w:p>
        </w:tc>
        <w:tc>
          <w:tcPr>
            <w:tcW w:w="4200" w:type="dxa"/>
          </w:tcPr>
          <w:p w:rsidR="00115F42" w:rsidRPr="003A48AE" w:rsidRDefault="00115F42" w:rsidP="00047FD9">
            <w:pPr>
              <w:widowControl/>
              <w:spacing w:line="240" w:lineRule="auto"/>
              <w:ind w:left="-90" w:right="-288"/>
              <w:rPr>
                <w:szCs w:val="26"/>
              </w:rPr>
            </w:pPr>
          </w:p>
        </w:tc>
      </w:tr>
    </w:tbl>
    <w:bookmarkEnd w:id="0"/>
    <w:p w:rsidR="00115F42" w:rsidRPr="003A48AE" w:rsidRDefault="00115F42" w:rsidP="00115F42">
      <w:pPr>
        <w:widowControl/>
        <w:spacing w:line="240" w:lineRule="auto"/>
        <w:ind w:left="-90" w:right="-288"/>
        <w:jc w:val="center"/>
        <w:rPr>
          <w:b/>
          <w:szCs w:val="26"/>
        </w:rPr>
      </w:pPr>
      <w:r w:rsidRPr="003A48AE">
        <w:rPr>
          <w:b/>
          <w:szCs w:val="26"/>
        </w:rPr>
        <w:t>IN THE SUPREME COURT</w:t>
      </w:r>
    </w:p>
    <w:p w:rsidR="00115F42" w:rsidRPr="003A48AE" w:rsidRDefault="00115F42" w:rsidP="00115F42">
      <w:pPr>
        <w:pStyle w:val="Court"/>
        <w:widowControl/>
        <w:spacing w:before="0" w:after="360" w:line="240" w:lineRule="auto"/>
        <w:ind w:left="-90" w:right="-288"/>
        <w:rPr>
          <w:szCs w:val="26"/>
        </w:rPr>
      </w:pPr>
      <w:r w:rsidRPr="003A48AE">
        <w:rPr>
          <w:b/>
          <w:szCs w:val="26"/>
        </w:rPr>
        <w:t>STATE OF ARIZONA</w:t>
      </w:r>
    </w:p>
    <w:tbl>
      <w:tblPr>
        <w:tblW w:w="9504" w:type="dxa"/>
        <w:tblInd w:w="-22" w:type="dxa"/>
        <w:tblLayout w:type="fixed"/>
        <w:tblLook w:val="0000" w:firstRow="0" w:lastRow="0" w:firstColumn="0" w:lastColumn="0" w:noHBand="0" w:noVBand="0"/>
      </w:tblPr>
      <w:tblGrid>
        <w:gridCol w:w="4360"/>
        <w:gridCol w:w="5144"/>
      </w:tblGrid>
      <w:tr w:rsidR="00115F42" w:rsidRPr="003A48AE" w:rsidTr="00047FD9">
        <w:trPr>
          <w:trHeight w:val="1440"/>
        </w:trPr>
        <w:tc>
          <w:tcPr>
            <w:tcW w:w="4360" w:type="dxa"/>
            <w:tcBorders>
              <w:bottom w:val="single" w:sz="4" w:space="0" w:color="auto"/>
              <w:right w:val="single" w:sz="4" w:space="0" w:color="auto"/>
            </w:tcBorders>
          </w:tcPr>
          <w:p w:rsidR="00115F42" w:rsidRPr="003A48AE" w:rsidRDefault="00115F42" w:rsidP="00047FD9">
            <w:pPr>
              <w:pStyle w:val="Caption-PlaintiffDefendant"/>
              <w:widowControl/>
              <w:spacing w:before="240" w:line="240" w:lineRule="auto"/>
              <w:ind w:left="-86" w:right="-288"/>
              <w:rPr>
                <w:szCs w:val="26"/>
              </w:rPr>
            </w:pPr>
            <w:r w:rsidRPr="003A48AE">
              <w:rPr>
                <w:szCs w:val="26"/>
              </w:rPr>
              <w:t xml:space="preserve">PETITION TO </w:t>
            </w:r>
            <w:bookmarkStart w:id="1" w:name="DefendantInfo"/>
            <w:bookmarkStart w:id="2" w:name="MultipleDefendant"/>
            <w:bookmarkEnd w:id="1"/>
            <w:bookmarkEnd w:id="2"/>
            <w:r>
              <w:rPr>
                <w:szCs w:val="26"/>
              </w:rPr>
              <w:t xml:space="preserve">CREATE </w:t>
            </w:r>
            <w:r w:rsidRPr="003A48AE">
              <w:rPr>
                <w:szCs w:val="26"/>
              </w:rPr>
              <w:t>RULE 40</w:t>
            </w:r>
            <w:r>
              <w:rPr>
                <w:szCs w:val="26"/>
              </w:rPr>
              <w:t>.2</w:t>
            </w:r>
            <w:r w:rsidRPr="003A48AE">
              <w:rPr>
                <w:szCs w:val="26"/>
              </w:rPr>
              <w:t>, Rules  of Procedure for Juvenile Court</w:t>
            </w:r>
          </w:p>
        </w:tc>
        <w:tc>
          <w:tcPr>
            <w:tcW w:w="5144" w:type="dxa"/>
            <w:tcBorders>
              <w:left w:val="single" w:sz="4" w:space="0" w:color="auto"/>
            </w:tcBorders>
            <w:tcMar>
              <w:left w:w="115" w:type="dxa"/>
              <w:right w:w="115" w:type="dxa"/>
            </w:tcMar>
          </w:tcPr>
          <w:p w:rsidR="00115F42" w:rsidRPr="003A48AE" w:rsidRDefault="00115F42" w:rsidP="00047FD9">
            <w:pPr>
              <w:pStyle w:val="Caption-RightSide"/>
              <w:widowControl/>
              <w:spacing w:before="240" w:after="240" w:line="240" w:lineRule="auto"/>
              <w:ind w:left="14" w:right="-288"/>
              <w:rPr>
                <w:szCs w:val="26"/>
              </w:rPr>
            </w:pPr>
            <w:r w:rsidRPr="003A48AE">
              <w:rPr>
                <w:szCs w:val="26"/>
              </w:rPr>
              <w:t>Supreme Court No. R- -</w:t>
            </w:r>
          </w:p>
          <w:p w:rsidR="00115F42" w:rsidRPr="003A48AE" w:rsidRDefault="00115F42" w:rsidP="00047FD9">
            <w:pPr>
              <w:pStyle w:val="Caption-RightSide"/>
              <w:widowControl/>
              <w:spacing w:line="240" w:lineRule="auto"/>
              <w:ind w:left="15" w:right="-11"/>
              <w:rPr>
                <w:b/>
                <w:szCs w:val="26"/>
              </w:rPr>
            </w:pPr>
            <w:r w:rsidRPr="003A48AE">
              <w:rPr>
                <w:b/>
                <w:szCs w:val="26"/>
              </w:rPr>
              <w:t xml:space="preserve">Petition to </w:t>
            </w:r>
            <w:r>
              <w:rPr>
                <w:b/>
                <w:szCs w:val="26"/>
              </w:rPr>
              <w:t>Create</w:t>
            </w:r>
            <w:r w:rsidRPr="003A48AE">
              <w:rPr>
                <w:b/>
                <w:szCs w:val="26"/>
              </w:rPr>
              <w:t xml:space="preserve"> Rule 40</w:t>
            </w:r>
            <w:r>
              <w:rPr>
                <w:b/>
                <w:szCs w:val="26"/>
              </w:rPr>
              <w:t>.2</w:t>
            </w:r>
            <w:r w:rsidRPr="003A48AE">
              <w:rPr>
                <w:b/>
                <w:szCs w:val="26"/>
              </w:rPr>
              <w:t>, Rules of Procedure for Juvenile Court</w:t>
            </w:r>
          </w:p>
        </w:tc>
      </w:tr>
    </w:tbl>
    <w:p w:rsidR="00115F42" w:rsidRDefault="00115F42" w:rsidP="00115F42">
      <w:pPr>
        <w:pStyle w:val="Default"/>
      </w:pPr>
      <w:bookmarkStart w:id="3" w:name="PlaintiffInfo"/>
      <w:bookmarkStart w:id="4" w:name="MultiplePlaintiff"/>
      <w:bookmarkEnd w:id="3"/>
      <w:bookmarkEnd w:id="4"/>
    </w:p>
    <w:p w:rsidR="00115F42" w:rsidRPr="003A48AE" w:rsidRDefault="00115F42" w:rsidP="00115F42">
      <w:pPr>
        <w:pStyle w:val="Default"/>
        <w:spacing w:line="480" w:lineRule="auto"/>
        <w:rPr>
          <w:sz w:val="26"/>
          <w:szCs w:val="26"/>
        </w:rPr>
      </w:pPr>
      <w:r>
        <w:t xml:space="preserve"> </w:t>
      </w:r>
      <w:r>
        <w:tab/>
      </w:r>
      <w:r w:rsidRPr="00B02E4D">
        <w:rPr>
          <w:sz w:val="26"/>
          <w:szCs w:val="26"/>
        </w:rPr>
        <w:t>Pursuant to Rule 28, Arizona Rules of the Supreme Court, the Arizona Public Defender Association (</w:t>
      </w:r>
      <w:r>
        <w:rPr>
          <w:sz w:val="26"/>
          <w:szCs w:val="26"/>
        </w:rPr>
        <w:t>“</w:t>
      </w:r>
      <w:r w:rsidRPr="00B02E4D">
        <w:rPr>
          <w:sz w:val="26"/>
          <w:szCs w:val="26"/>
        </w:rPr>
        <w:t>APDA</w:t>
      </w:r>
      <w:r>
        <w:rPr>
          <w:sz w:val="26"/>
          <w:szCs w:val="26"/>
        </w:rPr>
        <w:t>”</w:t>
      </w:r>
      <w:r w:rsidRPr="00B02E4D">
        <w:rPr>
          <w:sz w:val="26"/>
          <w:szCs w:val="26"/>
        </w:rPr>
        <w:t xml:space="preserve">) petitions this Court </w:t>
      </w:r>
      <w:r w:rsidRPr="003A48AE">
        <w:rPr>
          <w:sz w:val="26"/>
          <w:szCs w:val="26"/>
        </w:rPr>
        <w:t xml:space="preserve">to </w:t>
      </w:r>
      <w:r>
        <w:rPr>
          <w:sz w:val="26"/>
          <w:szCs w:val="26"/>
        </w:rPr>
        <w:t>create</w:t>
      </w:r>
      <w:r w:rsidRPr="003A48AE">
        <w:rPr>
          <w:sz w:val="26"/>
          <w:szCs w:val="26"/>
        </w:rPr>
        <w:t xml:space="preserve"> </w:t>
      </w:r>
      <w:r w:rsidRPr="00F41C7B">
        <w:rPr>
          <w:b/>
          <w:sz w:val="26"/>
          <w:szCs w:val="26"/>
        </w:rPr>
        <w:t>Rule 40.2</w:t>
      </w:r>
      <w:r w:rsidRPr="003A48AE">
        <w:rPr>
          <w:b/>
          <w:bCs/>
          <w:sz w:val="26"/>
          <w:szCs w:val="26"/>
        </w:rPr>
        <w:t xml:space="preserve">, </w:t>
      </w:r>
      <w:r>
        <w:rPr>
          <w:b/>
          <w:bCs/>
          <w:sz w:val="26"/>
          <w:szCs w:val="26"/>
        </w:rPr>
        <w:t>Rules of Procedure for Juvenile Court</w:t>
      </w:r>
      <w:r w:rsidRPr="003A48AE">
        <w:rPr>
          <w:sz w:val="26"/>
          <w:szCs w:val="26"/>
        </w:rPr>
        <w:t>, governing</w:t>
      </w:r>
      <w:r>
        <w:rPr>
          <w:sz w:val="26"/>
          <w:szCs w:val="26"/>
        </w:rPr>
        <w:t xml:space="preserve"> Duties and Responsibilities of Appointed Guardians Ad Litem for adults</w:t>
      </w:r>
      <w:r w:rsidRPr="003A48AE">
        <w:rPr>
          <w:sz w:val="26"/>
          <w:szCs w:val="26"/>
        </w:rPr>
        <w:t xml:space="preserve">, as proposed </w:t>
      </w:r>
      <w:r w:rsidRPr="003A48AE">
        <w:rPr>
          <w:b/>
          <w:bCs/>
          <w:sz w:val="26"/>
          <w:szCs w:val="26"/>
        </w:rPr>
        <w:t xml:space="preserve">below </w:t>
      </w:r>
      <w:r>
        <w:rPr>
          <w:b/>
          <w:bCs/>
          <w:sz w:val="26"/>
          <w:szCs w:val="26"/>
        </w:rPr>
        <w:t>in the draft of Rule 40.2</w:t>
      </w:r>
      <w:r w:rsidRPr="003A48AE">
        <w:rPr>
          <w:sz w:val="26"/>
          <w:szCs w:val="26"/>
        </w:rPr>
        <w:t xml:space="preserve">. </w:t>
      </w:r>
    </w:p>
    <w:p w:rsidR="00115F42" w:rsidRDefault="00115F42" w:rsidP="00115F42">
      <w:pPr>
        <w:autoSpaceDE w:val="0"/>
        <w:autoSpaceDN w:val="0"/>
        <w:adjustRightInd w:val="0"/>
        <w:spacing w:line="480" w:lineRule="auto"/>
        <w:ind w:firstLine="720"/>
        <w:contextualSpacing/>
        <w:jc w:val="both"/>
        <w:rPr>
          <w:szCs w:val="26"/>
        </w:rPr>
      </w:pPr>
      <w:r>
        <w:rPr>
          <w:szCs w:val="26"/>
        </w:rPr>
        <w:t>APDA is an Ariz</w:t>
      </w:r>
      <w:r w:rsidRPr="00B34724">
        <w:rPr>
          <w:szCs w:val="26"/>
        </w:rPr>
        <w:t xml:space="preserve">ona non-profit corporation comprised of public defense offices and programs throughout the State of Arizona.  The primary purposes of </w:t>
      </w:r>
      <w:r>
        <w:rPr>
          <w:szCs w:val="26"/>
        </w:rPr>
        <w:t>the</w:t>
      </w:r>
      <w:r w:rsidRPr="00B34724">
        <w:rPr>
          <w:szCs w:val="26"/>
        </w:rPr>
        <w:t xml:space="preserve"> organization include improving the quality of legal representation of indigent people who face the loss of liberty or the right to p</w:t>
      </w:r>
      <w:r>
        <w:rPr>
          <w:szCs w:val="26"/>
        </w:rPr>
        <w:t>a</w:t>
      </w:r>
      <w:r w:rsidRPr="00B34724">
        <w:rPr>
          <w:szCs w:val="26"/>
        </w:rPr>
        <w:t>rent</w:t>
      </w:r>
      <w:r>
        <w:rPr>
          <w:szCs w:val="26"/>
        </w:rPr>
        <w:t>,</w:t>
      </w:r>
      <w:r w:rsidRPr="00B34724">
        <w:rPr>
          <w:szCs w:val="26"/>
        </w:rPr>
        <w:t xml:space="preserve"> and ensuring </w:t>
      </w:r>
      <w:r>
        <w:rPr>
          <w:szCs w:val="26"/>
        </w:rPr>
        <w:t xml:space="preserve">a </w:t>
      </w:r>
      <w:r w:rsidRPr="00B34724">
        <w:rPr>
          <w:szCs w:val="26"/>
        </w:rPr>
        <w:t xml:space="preserve">just legal system.  </w:t>
      </w:r>
      <w:r>
        <w:rPr>
          <w:szCs w:val="26"/>
        </w:rPr>
        <w:t>APDA’s</w:t>
      </w:r>
      <w:r w:rsidRPr="00B34724">
        <w:rPr>
          <w:szCs w:val="26"/>
        </w:rPr>
        <w:t xml:space="preserve"> offices defend the majority of </w:t>
      </w:r>
      <w:r>
        <w:rPr>
          <w:szCs w:val="26"/>
        </w:rPr>
        <w:t xml:space="preserve">parents </w:t>
      </w:r>
      <w:r w:rsidRPr="00B34724">
        <w:rPr>
          <w:szCs w:val="26"/>
        </w:rPr>
        <w:t>who are involved in a Title 8 de</w:t>
      </w:r>
      <w:r>
        <w:rPr>
          <w:szCs w:val="26"/>
        </w:rPr>
        <w:t>pendency</w:t>
      </w:r>
      <w:r w:rsidRPr="00B34724">
        <w:rPr>
          <w:szCs w:val="26"/>
        </w:rPr>
        <w:t xml:space="preserve">. </w:t>
      </w:r>
    </w:p>
    <w:p w:rsidR="00115F42" w:rsidRDefault="00115F42" w:rsidP="00115F42">
      <w:pPr>
        <w:autoSpaceDE w:val="0"/>
        <w:autoSpaceDN w:val="0"/>
        <w:adjustRightInd w:val="0"/>
        <w:spacing w:line="480" w:lineRule="auto"/>
        <w:ind w:firstLine="720"/>
        <w:contextualSpacing/>
        <w:jc w:val="both"/>
        <w:rPr>
          <w:b/>
          <w:bCs/>
          <w:sz w:val="28"/>
          <w:szCs w:val="28"/>
        </w:rPr>
      </w:pPr>
      <w:r>
        <w:rPr>
          <w:szCs w:val="26"/>
        </w:rPr>
        <w:br w:type="page"/>
      </w:r>
      <w:r>
        <w:rPr>
          <w:b/>
          <w:bCs/>
          <w:sz w:val="28"/>
          <w:szCs w:val="28"/>
        </w:rPr>
        <w:lastRenderedPageBreak/>
        <w:t xml:space="preserve">Background and Purpose of the Proposed Rule Amendments </w:t>
      </w:r>
    </w:p>
    <w:p w:rsidR="00115F42" w:rsidRDefault="00115F42" w:rsidP="00115F42">
      <w:pPr>
        <w:pStyle w:val="Default"/>
        <w:spacing w:line="480" w:lineRule="auto"/>
        <w:ind w:firstLine="274"/>
        <w:contextualSpacing/>
        <w:jc w:val="both"/>
        <w:rPr>
          <w:sz w:val="26"/>
          <w:szCs w:val="26"/>
        </w:rPr>
      </w:pPr>
      <w:r w:rsidRPr="00023848">
        <w:rPr>
          <w:sz w:val="26"/>
          <w:szCs w:val="26"/>
        </w:rPr>
        <w:t>Rule 40</w:t>
      </w:r>
      <w:r>
        <w:rPr>
          <w:sz w:val="26"/>
          <w:szCs w:val="26"/>
        </w:rPr>
        <w:t>C</w:t>
      </w:r>
      <w:r w:rsidRPr="00023848">
        <w:rPr>
          <w:sz w:val="26"/>
          <w:szCs w:val="26"/>
        </w:rPr>
        <w:t xml:space="preserve">, Rules of Procedure for Juvenile Court, allows for the appointment of a Guardian Ad Litem for a parent, guardian or Indian custodian when the court believes the individual may be incompetent </w:t>
      </w:r>
      <w:r>
        <w:rPr>
          <w:sz w:val="26"/>
          <w:szCs w:val="26"/>
        </w:rPr>
        <w:t>and in need of protection.  The Guardian Ad Litem is required to conduct an investigation and report the findings to the court.  The court uses the information to enter orders to protect the interests of the parent, guardian or Indian custodian.  The Rule is silent as to what the continuing duties and responsibilities the Guardian Ad Litem are to the parent, guardian or Indian custodian.</w:t>
      </w:r>
    </w:p>
    <w:p w:rsidR="00115F42" w:rsidRDefault="00115F42" w:rsidP="00115F42">
      <w:pPr>
        <w:pStyle w:val="Default"/>
        <w:spacing w:line="480" w:lineRule="auto"/>
        <w:ind w:firstLine="274"/>
        <w:contextualSpacing/>
        <w:jc w:val="both"/>
        <w:rPr>
          <w:sz w:val="26"/>
          <w:szCs w:val="26"/>
        </w:rPr>
      </w:pPr>
      <w:r>
        <w:rPr>
          <w:sz w:val="26"/>
          <w:szCs w:val="26"/>
        </w:rPr>
        <w:t>Rule 40.1, Rules of Procedure for Juvenile Court, details the role and obligation of a Guardian Ad Litem who is appointed to represent a child.  The Guardian Ad Litem for a child is responsible for safeguarding the interest of the child, regardless of the child’s stated position.  The Guardian Ad Litem is responsible for pursuing placement, services and case plans that are in the best interest of the child and possibly contrary to the child’s desires.  A child’s Guardian Ad Litem should take into consideration the desires of the child when determining the best interest of the child.  However, the duty of the Guardian Ad Litem is to provide the court with information on the best interest of the child.</w:t>
      </w:r>
    </w:p>
    <w:p w:rsidR="00115F42" w:rsidRDefault="00115F42" w:rsidP="00115F42">
      <w:pPr>
        <w:pStyle w:val="Default"/>
        <w:spacing w:line="480" w:lineRule="auto"/>
        <w:ind w:firstLine="274"/>
        <w:contextualSpacing/>
        <w:jc w:val="both"/>
        <w:rPr>
          <w:sz w:val="26"/>
          <w:szCs w:val="26"/>
        </w:rPr>
      </w:pPr>
      <w:r>
        <w:rPr>
          <w:sz w:val="26"/>
          <w:szCs w:val="26"/>
        </w:rPr>
        <w:t xml:space="preserve">The role of Guardians Ad Litem appointed for parents, guardians, or Indian custodians is “to protect the interest of… an incompetent in a particular case before the court.” A.R.S. §8-531(7).  Absent a judicial finding the parent is actually incompetent, and to ensure due process before a parent’s decision-making right is infringed, a </w:t>
      </w:r>
      <w:r>
        <w:rPr>
          <w:sz w:val="26"/>
          <w:szCs w:val="26"/>
        </w:rPr>
        <w:lastRenderedPageBreak/>
        <w:t xml:space="preserve">GAL’s role must be limited to investigating the best interest of the parent and communicating those interests to the court.  </w:t>
      </w:r>
      <w:r>
        <w:rPr>
          <w:i/>
          <w:sz w:val="26"/>
          <w:szCs w:val="26"/>
        </w:rPr>
        <w:t xml:space="preserve">Maricopa County Juvenile Action No. JD6982, </w:t>
      </w:r>
      <w:r w:rsidRPr="00AC1D76">
        <w:rPr>
          <w:sz w:val="26"/>
          <w:szCs w:val="26"/>
        </w:rPr>
        <w:t>186 Ariz. 354, 359, 922 P.2d 319, 324 (1996)</w:t>
      </w:r>
      <w:r>
        <w:rPr>
          <w:sz w:val="26"/>
          <w:szCs w:val="26"/>
        </w:rPr>
        <w:t xml:space="preserve">.  The court may not substitute the opinions of the Guardian Ad Litem for the expressed interests of the parent. </w:t>
      </w:r>
    </w:p>
    <w:p w:rsidR="00115F42" w:rsidRDefault="00115F42" w:rsidP="00115F42">
      <w:pPr>
        <w:pStyle w:val="Default"/>
        <w:spacing w:line="480" w:lineRule="auto"/>
        <w:ind w:firstLine="274"/>
        <w:contextualSpacing/>
        <w:jc w:val="both"/>
        <w:rPr>
          <w:sz w:val="26"/>
          <w:szCs w:val="26"/>
        </w:rPr>
      </w:pPr>
      <w:r>
        <w:rPr>
          <w:sz w:val="26"/>
          <w:szCs w:val="26"/>
        </w:rPr>
        <w:t>A parent who is unable to adequately understand the complexities of dependency and termination matters is still entitled to assert their desire and ability to parent their child.  The parent, with the assistance of counsel, must be permitted to contest the matters in order to preserve their family.  To assist the parent in understanding the complex world of dependency and termination proceedings a Guardian Ad Litem should be appointed to explain the process.  The Guardian Ad Litem would be present for all hearings to answer the client’s questions about the process, allowing counsel for the parent to advocate the client’s position uninterrupted.  This process would ensure the parent Due Process.  The parent would be provided information about the process and the parent’s expressed desires would be advocated.</w:t>
      </w:r>
    </w:p>
    <w:p w:rsidR="00115F42" w:rsidRDefault="00115F42" w:rsidP="00115F42">
      <w:pPr>
        <w:pStyle w:val="Default"/>
        <w:spacing w:line="480" w:lineRule="auto"/>
        <w:ind w:firstLine="274"/>
        <w:contextualSpacing/>
        <w:jc w:val="both"/>
        <w:rPr>
          <w:sz w:val="26"/>
          <w:szCs w:val="26"/>
        </w:rPr>
      </w:pPr>
      <w:r>
        <w:rPr>
          <w:sz w:val="26"/>
          <w:szCs w:val="26"/>
        </w:rPr>
        <w:t xml:space="preserve">Client-attorney privilege should apply to Guardians Ad Litem for parents, guardians and Indian custodians.  The Guardian Ad Litem will be seated next to the parent, guardian or Indian custodian during proceedings.  The parent, not appreciating the role of counsel, may inadvertently provide damaging information to the Guardian Ad Litem during the proceedings, or the Guardian Ad Litem may overhear statements made by the parent to counsel.  In order for the Guardian Ad Litem to facilitate the </w:t>
      </w:r>
      <w:r>
        <w:rPr>
          <w:sz w:val="26"/>
          <w:szCs w:val="26"/>
        </w:rPr>
        <w:lastRenderedPageBreak/>
        <w:t>court process and protect the client from statements made to his court team, client-attorney privilege must apply.</w:t>
      </w:r>
    </w:p>
    <w:p w:rsidR="00115F42" w:rsidRDefault="00115F42" w:rsidP="00115F42">
      <w:pPr>
        <w:pStyle w:val="Default"/>
        <w:spacing w:line="480" w:lineRule="auto"/>
        <w:ind w:firstLine="274"/>
        <w:contextualSpacing/>
        <w:jc w:val="both"/>
        <w:rPr>
          <w:sz w:val="26"/>
          <w:szCs w:val="26"/>
        </w:rPr>
      </w:pPr>
      <w:r>
        <w:rPr>
          <w:sz w:val="26"/>
          <w:szCs w:val="26"/>
        </w:rPr>
        <w:t xml:space="preserve">Lastly, Guardians Ad Litem are permitted to file Notices of Appeal on the parent’s, guardian’s or Indian custodian’s behalf without being required to comply with the avowal requirement of Rule 104(B), Rules of Procedure for Juvenile Court.  As discussed in </w:t>
      </w:r>
      <w:r>
        <w:rPr>
          <w:i/>
          <w:sz w:val="26"/>
          <w:szCs w:val="26"/>
        </w:rPr>
        <w:t xml:space="preserve">Cecilia A. v. </w:t>
      </w:r>
      <w:r w:rsidRPr="0060427C">
        <w:rPr>
          <w:i/>
          <w:sz w:val="26"/>
          <w:szCs w:val="26"/>
        </w:rPr>
        <w:t>ADES</w:t>
      </w:r>
      <w:r>
        <w:rPr>
          <w:i/>
          <w:sz w:val="26"/>
          <w:szCs w:val="26"/>
        </w:rPr>
        <w:t xml:space="preserve">, </w:t>
      </w:r>
      <w:r>
        <w:rPr>
          <w:sz w:val="26"/>
          <w:szCs w:val="26"/>
        </w:rPr>
        <w:t>229 Ariz. 286, 274 P.3d 1220 (2012), when a parent is generally confused about the court proceedings and is unable to clearly express their position regarding an appeal, the right to an appeal is not defaulted because counsel is unable to make an avowal regarding the parent’s desire for an appeal.  In cases where a Guardian Ad Litem for the parent has been appointed and the parent, guardian or Indian custodian cannot communicate their position on an appeal, the Guardian Ad Litem must be permitted to file the notice of appeal without making the avowal.  To hold otherwise, would essentially deny all parents, guardians and Indian custodians who are not sophisticated enough to understand the complex juvenile court process, the right to an appeal.</w:t>
      </w:r>
    </w:p>
    <w:p w:rsidR="00115F42" w:rsidRDefault="00115F42" w:rsidP="00115F42">
      <w:pPr>
        <w:pStyle w:val="Default"/>
        <w:spacing w:line="480" w:lineRule="auto"/>
        <w:ind w:firstLine="274"/>
        <w:contextualSpacing/>
        <w:jc w:val="both"/>
        <w:rPr>
          <w:b/>
          <w:sz w:val="26"/>
          <w:szCs w:val="26"/>
        </w:rPr>
      </w:pPr>
      <w:r w:rsidRPr="000065F0">
        <w:rPr>
          <w:b/>
          <w:sz w:val="26"/>
          <w:szCs w:val="26"/>
        </w:rPr>
        <w:t>Conclusion</w:t>
      </w:r>
    </w:p>
    <w:p w:rsidR="00115F42" w:rsidRPr="000065F0" w:rsidRDefault="00115F42" w:rsidP="00115F42">
      <w:pPr>
        <w:pStyle w:val="Default"/>
        <w:spacing w:line="480" w:lineRule="auto"/>
        <w:ind w:firstLine="274"/>
        <w:contextualSpacing/>
        <w:jc w:val="both"/>
        <w:rPr>
          <w:sz w:val="26"/>
          <w:szCs w:val="26"/>
        </w:rPr>
      </w:pPr>
      <w:r w:rsidRPr="000065F0">
        <w:rPr>
          <w:sz w:val="26"/>
          <w:szCs w:val="26"/>
        </w:rPr>
        <w:t>The</w:t>
      </w:r>
      <w:r>
        <w:rPr>
          <w:sz w:val="26"/>
          <w:szCs w:val="26"/>
        </w:rPr>
        <w:t xml:space="preserve"> role of Guardians Ad Litem is not clearly delineated in Juvenile Court Rules.  The adoption of Rule 40.2, Rules of Procedure for Juvenile Court, would provide guidance to all parties on the expectations and duties of Guardians Ad Litem for parents. </w:t>
      </w:r>
    </w:p>
    <w:p w:rsidR="00115F42" w:rsidRDefault="00115F42" w:rsidP="00115F42">
      <w:pPr>
        <w:pStyle w:val="Default"/>
        <w:spacing w:line="480" w:lineRule="auto"/>
        <w:ind w:firstLine="274"/>
        <w:contextualSpacing/>
        <w:jc w:val="both"/>
        <w:rPr>
          <w:sz w:val="26"/>
          <w:szCs w:val="26"/>
        </w:rPr>
      </w:pPr>
      <w:r>
        <w:rPr>
          <w:sz w:val="26"/>
          <w:szCs w:val="26"/>
        </w:rPr>
        <w:t xml:space="preserve">    </w:t>
      </w:r>
    </w:p>
    <w:p w:rsidR="00115F42" w:rsidRPr="003A48AE" w:rsidRDefault="00115F42" w:rsidP="00115F42">
      <w:pPr>
        <w:pStyle w:val="Default"/>
        <w:spacing w:line="480" w:lineRule="auto"/>
        <w:ind w:firstLine="274"/>
        <w:contextualSpacing/>
        <w:jc w:val="both"/>
        <w:rPr>
          <w:szCs w:val="26"/>
        </w:rPr>
      </w:pPr>
      <w:r>
        <w:rPr>
          <w:sz w:val="26"/>
          <w:szCs w:val="26"/>
        </w:rPr>
        <w:br w:type="page"/>
      </w:r>
      <w:r w:rsidRPr="003A48AE">
        <w:rPr>
          <w:szCs w:val="26"/>
        </w:rPr>
        <w:lastRenderedPageBreak/>
        <w:t xml:space="preserve">RESPECTFULLY SUBMITTED this </w:t>
      </w:r>
      <w:r>
        <w:rPr>
          <w:szCs w:val="26"/>
        </w:rPr>
        <w:t>19t</w:t>
      </w:r>
      <w:r w:rsidRPr="003A48AE">
        <w:rPr>
          <w:szCs w:val="26"/>
        </w:rPr>
        <w:t>h day of</w:t>
      </w:r>
      <w:r>
        <w:rPr>
          <w:szCs w:val="26"/>
        </w:rPr>
        <w:t xml:space="preserve"> October</w:t>
      </w:r>
      <w:r w:rsidRPr="003A48AE">
        <w:rPr>
          <w:szCs w:val="26"/>
        </w:rPr>
        <w:t>, 201</w:t>
      </w:r>
      <w:r>
        <w:rPr>
          <w:szCs w:val="26"/>
        </w:rPr>
        <w:t>5</w:t>
      </w:r>
      <w:r w:rsidRPr="003A48AE">
        <w:rPr>
          <w:szCs w:val="26"/>
        </w:rPr>
        <w:t>.</w:t>
      </w:r>
    </w:p>
    <w:p w:rsidR="00115F42" w:rsidRPr="003A48AE" w:rsidRDefault="00115F42" w:rsidP="00115F42">
      <w:pPr>
        <w:pStyle w:val="BodyText"/>
        <w:keepNext/>
        <w:keepLines/>
        <w:widowControl/>
        <w:tabs>
          <w:tab w:val="left" w:pos="9180"/>
        </w:tabs>
        <w:spacing w:before="240" w:line="240" w:lineRule="auto"/>
        <w:ind w:left="4291" w:right="-288" w:firstLine="0"/>
        <w:rPr>
          <w:szCs w:val="26"/>
        </w:rPr>
      </w:pPr>
      <w:r>
        <w:rPr>
          <w:szCs w:val="26"/>
          <w:u w:val="single"/>
        </w:rPr>
        <w:t>/Christina Phillis/</w:t>
      </w:r>
      <w:r w:rsidRPr="003A48AE">
        <w:rPr>
          <w:szCs w:val="26"/>
          <w:u w:val="single"/>
        </w:rPr>
        <w:tab/>
      </w:r>
    </w:p>
    <w:p w:rsidR="00115F42" w:rsidRDefault="00115F42" w:rsidP="00115F42">
      <w:pPr>
        <w:pStyle w:val="BodyText"/>
        <w:keepNext/>
        <w:keepLines/>
        <w:widowControl/>
        <w:tabs>
          <w:tab w:val="left" w:pos="485"/>
        </w:tabs>
        <w:spacing w:line="240" w:lineRule="auto"/>
        <w:ind w:left="4290" w:right="-288" w:firstLine="0"/>
        <w:rPr>
          <w:szCs w:val="26"/>
        </w:rPr>
      </w:pPr>
      <w:r w:rsidRPr="003A48AE">
        <w:rPr>
          <w:szCs w:val="26"/>
        </w:rPr>
        <w:t>Christina Phillis</w:t>
      </w:r>
    </w:p>
    <w:p w:rsidR="00115F42" w:rsidRPr="003A48AE" w:rsidRDefault="00115F42" w:rsidP="00115F42">
      <w:pPr>
        <w:pStyle w:val="BodyText"/>
        <w:keepNext/>
        <w:keepLines/>
        <w:widowControl/>
        <w:tabs>
          <w:tab w:val="left" w:pos="485"/>
        </w:tabs>
        <w:spacing w:line="240" w:lineRule="auto"/>
        <w:ind w:left="4290" w:right="-288" w:firstLine="0"/>
        <w:rPr>
          <w:szCs w:val="26"/>
        </w:rPr>
      </w:pPr>
      <w:r>
        <w:rPr>
          <w:szCs w:val="26"/>
        </w:rPr>
        <w:t>On behalf of APDA</w:t>
      </w:r>
    </w:p>
    <w:p w:rsidR="00115F42" w:rsidRDefault="00115F42" w:rsidP="00115F42">
      <w:pPr>
        <w:pStyle w:val="BodyText"/>
        <w:keepNext/>
        <w:keepLines/>
        <w:widowControl/>
        <w:tabs>
          <w:tab w:val="left" w:pos="485"/>
        </w:tabs>
        <w:spacing w:line="240" w:lineRule="auto"/>
        <w:ind w:right="4752" w:firstLine="0"/>
        <w:rPr>
          <w:szCs w:val="26"/>
        </w:rPr>
      </w:pPr>
    </w:p>
    <w:p w:rsidR="00115F42" w:rsidRPr="003A48AE" w:rsidRDefault="00115F42" w:rsidP="00115F42">
      <w:pPr>
        <w:pStyle w:val="BodyText"/>
        <w:keepNext/>
        <w:keepLines/>
        <w:widowControl/>
        <w:tabs>
          <w:tab w:val="left" w:pos="485"/>
        </w:tabs>
        <w:spacing w:line="240" w:lineRule="auto"/>
        <w:ind w:right="4752" w:firstLine="0"/>
        <w:rPr>
          <w:szCs w:val="26"/>
        </w:rPr>
      </w:pPr>
      <w:r w:rsidRPr="003A48AE">
        <w:rPr>
          <w:szCs w:val="26"/>
        </w:rPr>
        <w:t xml:space="preserve">Electronic copy filed with the Clerk of the Supreme Court of Arizona this </w:t>
      </w:r>
      <w:r>
        <w:rPr>
          <w:szCs w:val="26"/>
        </w:rPr>
        <w:t>19th</w:t>
      </w:r>
      <w:r w:rsidRPr="003A48AE">
        <w:rPr>
          <w:szCs w:val="26"/>
        </w:rPr>
        <w:t xml:space="preserve"> day of</w:t>
      </w:r>
      <w:r>
        <w:rPr>
          <w:szCs w:val="26"/>
        </w:rPr>
        <w:t xml:space="preserve"> October</w:t>
      </w:r>
      <w:r w:rsidRPr="003A48AE">
        <w:rPr>
          <w:szCs w:val="26"/>
        </w:rPr>
        <w:t>, 201</w:t>
      </w:r>
      <w:r>
        <w:rPr>
          <w:szCs w:val="26"/>
        </w:rPr>
        <w:t>5.</w:t>
      </w:r>
    </w:p>
    <w:p w:rsidR="00115F42" w:rsidRPr="003A48AE" w:rsidRDefault="00115F42" w:rsidP="00115F42">
      <w:pPr>
        <w:pStyle w:val="BodyText"/>
        <w:keepNext/>
        <w:keepLines/>
        <w:widowControl/>
        <w:tabs>
          <w:tab w:val="left" w:pos="485"/>
        </w:tabs>
        <w:spacing w:line="240" w:lineRule="auto"/>
        <w:ind w:right="4752" w:firstLine="0"/>
        <w:rPr>
          <w:szCs w:val="26"/>
        </w:rPr>
      </w:pPr>
    </w:p>
    <w:p w:rsidR="00115F42" w:rsidRPr="003A48AE" w:rsidRDefault="00115F42" w:rsidP="00115F42">
      <w:pPr>
        <w:pStyle w:val="BodyText"/>
        <w:keepNext/>
        <w:keepLines/>
        <w:widowControl/>
        <w:tabs>
          <w:tab w:val="left" w:pos="485"/>
        </w:tabs>
        <w:spacing w:line="240" w:lineRule="auto"/>
        <w:ind w:right="4752" w:firstLine="0"/>
        <w:rPr>
          <w:szCs w:val="26"/>
        </w:rPr>
      </w:pPr>
    </w:p>
    <w:p w:rsidR="00115F42" w:rsidRPr="003A48AE" w:rsidRDefault="00115F42" w:rsidP="00115F42">
      <w:pPr>
        <w:pStyle w:val="BodyText"/>
        <w:keepNext/>
        <w:keepLines/>
        <w:widowControl/>
        <w:tabs>
          <w:tab w:val="left" w:pos="485"/>
        </w:tabs>
        <w:spacing w:line="240" w:lineRule="auto"/>
        <w:ind w:right="4752" w:firstLine="0"/>
        <w:rPr>
          <w:szCs w:val="26"/>
          <w:u w:val="single"/>
        </w:rPr>
      </w:pPr>
      <w:r w:rsidRPr="003A48AE">
        <w:rPr>
          <w:szCs w:val="26"/>
        </w:rPr>
        <w:t xml:space="preserve">by: </w:t>
      </w:r>
      <w:r>
        <w:rPr>
          <w:szCs w:val="26"/>
        </w:rPr>
        <w:t>Chris Phillis</w:t>
      </w:r>
    </w:p>
    <w:p w:rsidR="00115F42" w:rsidRPr="003A48AE" w:rsidRDefault="00115F42" w:rsidP="00115F42">
      <w:pPr>
        <w:pStyle w:val="BodyText"/>
        <w:keepNext/>
        <w:keepLines/>
        <w:widowControl/>
        <w:tabs>
          <w:tab w:val="left" w:pos="485"/>
        </w:tabs>
        <w:spacing w:line="240" w:lineRule="auto"/>
        <w:ind w:right="4752" w:firstLine="0"/>
        <w:rPr>
          <w:szCs w:val="26"/>
          <w:u w:val="single"/>
        </w:rPr>
      </w:pPr>
    </w:p>
    <w:p w:rsidR="00115F42" w:rsidRPr="00153A20" w:rsidRDefault="00115F42" w:rsidP="00115F42">
      <w:pPr>
        <w:pStyle w:val="BodyText"/>
        <w:spacing w:line="240" w:lineRule="auto"/>
        <w:ind w:firstLine="0"/>
        <w:jc w:val="center"/>
        <w:rPr>
          <w:sz w:val="28"/>
          <w:szCs w:val="28"/>
        </w:rPr>
      </w:pPr>
      <w:r w:rsidRPr="003B74AA">
        <w:rPr>
          <w:sz w:val="24"/>
          <w:szCs w:val="28"/>
          <w:u w:val="single"/>
        </w:rPr>
        <w:br w:type="page"/>
      </w:r>
      <w:r>
        <w:rPr>
          <w:sz w:val="28"/>
          <w:szCs w:val="28"/>
        </w:rPr>
        <w:lastRenderedPageBreak/>
        <w:t>Arizona Public Defender Association</w:t>
      </w:r>
      <w:r w:rsidRPr="00153A20">
        <w:rPr>
          <w:sz w:val="28"/>
          <w:szCs w:val="28"/>
        </w:rPr>
        <w:t xml:space="preserve"> proposed </w:t>
      </w:r>
      <w:r>
        <w:rPr>
          <w:sz w:val="28"/>
          <w:szCs w:val="28"/>
        </w:rPr>
        <w:t>addition to Rules of Procedure for Juvenile Court</w:t>
      </w:r>
    </w:p>
    <w:p w:rsidR="00115F42" w:rsidRDefault="00115F42" w:rsidP="00115F42">
      <w:pPr>
        <w:pStyle w:val="BodyText"/>
        <w:spacing w:line="240" w:lineRule="auto"/>
        <w:ind w:firstLine="0"/>
        <w:jc w:val="center"/>
        <w:rPr>
          <w:sz w:val="28"/>
          <w:szCs w:val="28"/>
        </w:rPr>
      </w:pPr>
    </w:p>
    <w:p w:rsidR="00115F42" w:rsidRPr="00153A20" w:rsidRDefault="00115F42" w:rsidP="00115F42">
      <w:pPr>
        <w:pStyle w:val="BodyText"/>
        <w:spacing w:line="240" w:lineRule="auto"/>
        <w:ind w:firstLine="0"/>
        <w:jc w:val="center"/>
        <w:rPr>
          <w:sz w:val="28"/>
          <w:szCs w:val="28"/>
        </w:rPr>
      </w:pPr>
    </w:p>
    <w:p w:rsidR="00115F42" w:rsidRPr="00153A20" w:rsidRDefault="00115F42" w:rsidP="00115F42">
      <w:pPr>
        <w:pStyle w:val="BodyText"/>
        <w:spacing w:line="240" w:lineRule="auto"/>
        <w:rPr>
          <w:sz w:val="28"/>
          <w:szCs w:val="28"/>
        </w:rPr>
      </w:pPr>
    </w:p>
    <w:p w:rsidR="00115F42" w:rsidRDefault="00115F42" w:rsidP="00115F42">
      <w:pPr>
        <w:spacing w:line="240" w:lineRule="auto"/>
        <w:jc w:val="center"/>
        <w:rPr>
          <w:b/>
          <w:sz w:val="32"/>
          <w:szCs w:val="32"/>
        </w:rPr>
      </w:pPr>
      <w:r w:rsidRPr="00FE6260">
        <w:rPr>
          <w:b/>
          <w:sz w:val="32"/>
          <w:szCs w:val="32"/>
        </w:rPr>
        <w:t>Rule 40.2</w:t>
      </w:r>
    </w:p>
    <w:p w:rsidR="00115F42" w:rsidRDefault="00115F42" w:rsidP="00115F42">
      <w:pPr>
        <w:spacing w:line="240" w:lineRule="auto"/>
        <w:jc w:val="center"/>
        <w:rPr>
          <w:b/>
          <w:sz w:val="32"/>
          <w:szCs w:val="32"/>
        </w:rPr>
      </w:pPr>
      <w:r>
        <w:rPr>
          <w:b/>
          <w:sz w:val="32"/>
          <w:szCs w:val="32"/>
        </w:rPr>
        <w:t xml:space="preserve">Duties and Responsibilities of Appointed Guardians Ad Litem </w:t>
      </w:r>
    </w:p>
    <w:p w:rsidR="00115F42" w:rsidRDefault="00115F42" w:rsidP="00115F42">
      <w:pPr>
        <w:spacing w:line="240" w:lineRule="auto"/>
        <w:jc w:val="center"/>
        <w:rPr>
          <w:b/>
          <w:sz w:val="32"/>
          <w:szCs w:val="32"/>
        </w:rPr>
      </w:pPr>
      <w:r>
        <w:rPr>
          <w:b/>
          <w:sz w:val="32"/>
          <w:szCs w:val="32"/>
        </w:rPr>
        <w:t>For Parents, Guardians and Indian Custodians</w:t>
      </w:r>
    </w:p>
    <w:p w:rsidR="00115F42" w:rsidRDefault="00115F42" w:rsidP="00115F42">
      <w:pPr>
        <w:spacing w:line="240" w:lineRule="auto"/>
        <w:jc w:val="center"/>
        <w:rPr>
          <w:b/>
          <w:sz w:val="32"/>
          <w:szCs w:val="32"/>
        </w:rPr>
      </w:pPr>
    </w:p>
    <w:p w:rsidR="00115F42" w:rsidRPr="00F578BF" w:rsidRDefault="00115F42" w:rsidP="00115F42">
      <w:pPr>
        <w:pStyle w:val="ListParagraph"/>
        <w:widowControl/>
        <w:numPr>
          <w:ilvl w:val="0"/>
          <w:numId w:val="1"/>
        </w:numPr>
        <w:spacing w:after="200"/>
        <w:contextualSpacing/>
        <w:jc w:val="both"/>
        <w:rPr>
          <w:rFonts w:ascii="Times New Roman" w:hAnsi="Times New Roman"/>
          <w:sz w:val="26"/>
          <w:szCs w:val="26"/>
        </w:rPr>
      </w:pPr>
      <w:r w:rsidRPr="00F578BF">
        <w:rPr>
          <w:rFonts w:ascii="Times New Roman" w:hAnsi="Times New Roman"/>
          <w:sz w:val="26"/>
          <w:szCs w:val="26"/>
        </w:rPr>
        <w:t xml:space="preserve"> A party may request or the court on its own motion may appoint a Guardian Ad Litem for a parent, guardian or Indian custodian if </w:t>
      </w:r>
      <w:r>
        <w:rPr>
          <w:rFonts w:ascii="Times New Roman" w:hAnsi="Times New Roman"/>
          <w:sz w:val="26"/>
          <w:szCs w:val="26"/>
        </w:rPr>
        <w:t>the parent, guardian or Indian c</w:t>
      </w:r>
      <w:r w:rsidRPr="00F578BF">
        <w:rPr>
          <w:rFonts w:ascii="Times New Roman" w:hAnsi="Times New Roman"/>
          <w:sz w:val="26"/>
          <w:szCs w:val="26"/>
        </w:rPr>
        <w:t>ustodian is believed to be incompetent</w:t>
      </w:r>
      <w:r>
        <w:rPr>
          <w:rFonts w:ascii="Times New Roman" w:hAnsi="Times New Roman"/>
          <w:sz w:val="26"/>
          <w:szCs w:val="26"/>
        </w:rPr>
        <w:t xml:space="preserve"> or their interests need protection</w:t>
      </w:r>
      <w:r w:rsidRPr="00F578BF">
        <w:rPr>
          <w:rFonts w:ascii="Times New Roman" w:hAnsi="Times New Roman"/>
          <w:sz w:val="26"/>
          <w:szCs w:val="26"/>
        </w:rPr>
        <w:t xml:space="preserve">.  </w:t>
      </w:r>
    </w:p>
    <w:p w:rsidR="00115F42" w:rsidRDefault="00115F42" w:rsidP="00115F42">
      <w:pPr>
        <w:spacing w:line="240" w:lineRule="auto"/>
        <w:ind w:left="1080"/>
        <w:jc w:val="both"/>
        <w:rPr>
          <w:szCs w:val="26"/>
        </w:rPr>
      </w:pPr>
      <w:r w:rsidRPr="000C7B43">
        <w:rPr>
          <w:szCs w:val="26"/>
        </w:rPr>
        <w:t>“Incompetent” means a parent, guardian or Indian custodian who does not have a sufficient present ability to rationally and factually understand the proceedings.</w:t>
      </w:r>
    </w:p>
    <w:p w:rsidR="00115F42" w:rsidRPr="000C7B43" w:rsidRDefault="00115F42" w:rsidP="00115F42">
      <w:pPr>
        <w:spacing w:line="240" w:lineRule="auto"/>
        <w:ind w:left="1080"/>
        <w:jc w:val="both"/>
        <w:rPr>
          <w:szCs w:val="26"/>
        </w:rPr>
      </w:pPr>
    </w:p>
    <w:p w:rsidR="00115F42" w:rsidRDefault="00115F42" w:rsidP="00115F42">
      <w:pPr>
        <w:pStyle w:val="ListParagraph"/>
        <w:widowControl/>
        <w:numPr>
          <w:ilvl w:val="0"/>
          <w:numId w:val="1"/>
        </w:numPr>
        <w:spacing w:after="200" w:line="276" w:lineRule="auto"/>
        <w:contextualSpacing/>
        <w:jc w:val="both"/>
        <w:rPr>
          <w:rFonts w:ascii="Times New Roman" w:hAnsi="Times New Roman"/>
          <w:sz w:val="26"/>
          <w:szCs w:val="26"/>
        </w:rPr>
      </w:pPr>
      <w:r>
        <w:rPr>
          <w:rFonts w:ascii="Times New Roman" w:hAnsi="Times New Roman"/>
          <w:sz w:val="26"/>
          <w:szCs w:val="26"/>
        </w:rPr>
        <w:t>The Guardian Ad Litem shall conduct an investigation to ascertain whether a parent, guardian or Indian custodian is incompetent or their interests are in need of protection.</w:t>
      </w:r>
    </w:p>
    <w:p w:rsidR="00115F42" w:rsidRPr="00FB7192" w:rsidRDefault="00115F42" w:rsidP="00115F42">
      <w:pPr>
        <w:pStyle w:val="ListParagraph"/>
        <w:widowControl/>
        <w:numPr>
          <w:ilvl w:val="0"/>
          <w:numId w:val="1"/>
        </w:numPr>
        <w:spacing w:after="200" w:line="276" w:lineRule="auto"/>
        <w:contextualSpacing/>
        <w:jc w:val="both"/>
        <w:rPr>
          <w:rFonts w:ascii="Times New Roman" w:hAnsi="Times New Roman"/>
          <w:sz w:val="26"/>
          <w:szCs w:val="26"/>
        </w:rPr>
      </w:pPr>
      <w:r w:rsidRPr="00FB7192">
        <w:rPr>
          <w:rFonts w:ascii="Times New Roman" w:hAnsi="Times New Roman"/>
          <w:sz w:val="26"/>
          <w:szCs w:val="26"/>
        </w:rPr>
        <w:t>If the Court deems the parent</w:t>
      </w:r>
      <w:r>
        <w:rPr>
          <w:rFonts w:ascii="Times New Roman" w:hAnsi="Times New Roman"/>
          <w:sz w:val="26"/>
          <w:szCs w:val="26"/>
        </w:rPr>
        <w:t>’s</w:t>
      </w:r>
      <w:r w:rsidRPr="00FB7192">
        <w:rPr>
          <w:rFonts w:ascii="Times New Roman" w:hAnsi="Times New Roman"/>
          <w:sz w:val="26"/>
          <w:szCs w:val="26"/>
        </w:rPr>
        <w:t>, guardian</w:t>
      </w:r>
      <w:r>
        <w:rPr>
          <w:rFonts w:ascii="Times New Roman" w:hAnsi="Times New Roman"/>
          <w:sz w:val="26"/>
          <w:szCs w:val="26"/>
        </w:rPr>
        <w:t>’s</w:t>
      </w:r>
      <w:r w:rsidRPr="00FB7192">
        <w:rPr>
          <w:rFonts w:ascii="Times New Roman" w:hAnsi="Times New Roman"/>
          <w:sz w:val="26"/>
          <w:szCs w:val="26"/>
        </w:rPr>
        <w:t xml:space="preserve"> or Indian custodian</w:t>
      </w:r>
      <w:r>
        <w:rPr>
          <w:rFonts w:ascii="Times New Roman" w:hAnsi="Times New Roman"/>
          <w:sz w:val="26"/>
          <w:szCs w:val="26"/>
        </w:rPr>
        <w:t>’s</w:t>
      </w:r>
      <w:r w:rsidRPr="00FB7192">
        <w:rPr>
          <w:rFonts w:ascii="Times New Roman" w:hAnsi="Times New Roman"/>
          <w:sz w:val="26"/>
          <w:szCs w:val="26"/>
        </w:rPr>
        <w:t xml:space="preserve"> interests are in need of protection after an investigation, the Guardian Ad Litem will remain appointed for the purpose of protecting the parent</w:t>
      </w:r>
      <w:r>
        <w:rPr>
          <w:rFonts w:ascii="Times New Roman" w:hAnsi="Times New Roman"/>
          <w:sz w:val="26"/>
          <w:szCs w:val="26"/>
        </w:rPr>
        <w:t>’s</w:t>
      </w:r>
      <w:r w:rsidRPr="00FB7192">
        <w:rPr>
          <w:rFonts w:ascii="Times New Roman" w:hAnsi="Times New Roman"/>
          <w:sz w:val="26"/>
          <w:szCs w:val="26"/>
        </w:rPr>
        <w:t>, guardian</w:t>
      </w:r>
      <w:r>
        <w:rPr>
          <w:rFonts w:ascii="Times New Roman" w:hAnsi="Times New Roman"/>
          <w:sz w:val="26"/>
          <w:szCs w:val="26"/>
        </w:rPr>
        <w:t>’s</w:t>
      </w:r>
      <w:r w:rsidRPr="00FB7192">
        <w:rPr>
          <w:rFonts w:ascii="Times New Roman" w:hAnsi="Times New Roman"/>
          <w:sz w:val="26"/>
          <w:szCs w:val="26"/>
        </w:rPr>
        <w:t xml:space="preserve"> or Indian custodian’s fundamental rights.  The Guardian Ad Litem shall be present for all hearings to ensure the parent, guardian or Indian custodian understands the proceedings.  The Guardian Ad Litem is not a best interest attorney.  Communications between the Guardian Ad Litem and the parent, guardian or Indian custodian are privileged.</w:t>
      </w:r>
    </w:p>
    <w:p w:rsidR="00115F42" w:rsidRDefault="00115F42" w:rsidP="00115F42">
      <w:pPr>
        <w:pStyle w:val="ListParagraph"/>
        <w:widowControl/>
        <w:numPr>
          <w:ilvl w:val="0"/>
          <w:numId w:val="1"/>
        </w:numPr>
        <w:spacing w:after="200" w:line="276" w:lineRule="auto"/>
        <w:contextualSpacing/>
        <w:jc w:val="both"/>
        <w:rPr>
          <w:rFonts w:ascii="Times New Roman" w:hAnsi="Times New Roman"/>
          <w:sz w:val="26"/>
          <w:szCs w:val="26"/>
        </w:rPr>
      </w:pPr>
      <w:r>
        <w:rPr>
          <w:rFonts w:ascii="Times New Roman" w:hAnsi="Times New Roman"/>
          <w:sz w:val="26"/>
          <w:szCs w:val="26"/>
        </w:rPr>
        <w:t>The Guardian Ad Litem has the ability to file a notice of appeal without an avowal for a client deemed to be incompetent or in need of protection.</w:t>
      </w:r>
    </w:p>
    <w:p w:rsidR="00115F42" w:rsidRPr="00153A20" w:rsidRDefault="00115F42" w:rsidP="00115F42">
      <w:pPr>
        <w:spacing w:before="11" w:line="260" w:lineRule="exact"/>
        <w:rPr>
          <w:sz w:val="28"/>
          <w:szCs w:val="26"/>
        </w:rPr>
      </w:pPr>
      <w:r>
        <w:rPr>
          <w:sz w:val="28"/>
          <w:szCs w:val="26"/>
        </w:rPr>
        <w:t>.</w:t>
      </w:r>
    </w:p>
    <w:p w:rsidR="00124570" w:rsidRDefault="00124570">
      <w:bookmarkStart w:id="5" w:name="_GoBack"/>
      <w:bookmarkEnd w:id="5"/>
    </w:p>
    <w:sectPr w:rsidR="00124570" w:rsidSect="0068265C">
      <w:headerReference w:type="default" r:id="rId6"/>
      <w:footerReference w:type="default" r:id="rId7"/>
      <w:headerReference w:type="first" r:id="rId8"/>
      <w:pgSz w:w="12240" w:h="15840" w:code="1"/>
      <w:pgMar w:top="-1944" w:right="1080" w:bottom="-1267" w:left="2088" w:header="432" w:footer="360" w:gutter="0"/>
      <w:pgNumType w:start="1"/>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032"/>
      <w:gridCol w:w="1555"/>
      <w:gridCol w:w="4032"/>
    </w:tblGrid>
    <w:tr w:rsidR="00B105CE">
      <w:trPr>
        <w:cantSplit/>
        <w:trHeight w:val="320"/>
      </w:trPr>
      <w:tc>
        <w:tcPr>
          <w:tcW w:w="4032" w:type="dxa"/>
        </w:tcPr>
        <w:p w:rsidR="00B105CE" w:rsidRDefault="000D3785"/>
      </w:tc>
      <w:tc>
        <w:tcPr>
          <w:tcW w:w="1555" w:type="dxa"/>
        </w:tcPr>
        <w:p w:rsidR="00B105CE" w:rsidRDefault="000D3785">
          <w:pPr>
            <w:jc w:val="center"/>
            <w:rPr>
              <w:rStyle w:val="PageNumber"/>
            </w:rPr>
          </w:pPr>
          <w:r>
            <w:rPr>
              <w:rStyle w:val="PageNumber"/>
            </w:rPr>
            <w:t>-</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w:t>
          </w:r>
          <w:r>
            <w:rPr>
              <w:rStyle w:val="PageNumber"/>
            </w:rPr>
            <w:fldChar w:fldCharType="end"/>
          </w:r>
          <w:r>
            <w:rPr>
              <w:rStyle w:val="PageNumber"/>
            </w:rPr>
            <w:t>-</w:t>
          </w:r>
        </w:p>
      </w:tc>
      <w:tc>
        <w:tcPr>
          <w:tcW w:w="4032" w:type="dxa"/>
        </w:tcPr>
        <w:p w:rsidR="00B105CE" w:rsidRDefault="000D3785">
          <w:pPr>
            <w:pStyle w:val="FooterDocumentTitle"/>
          </w:pPr>
        </w:p>
      </w:tc>
    </w:tr>
  </w:tbl>
  <w:p w:rsidR="00B105CE" w:rsidRDefault="000D378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B105CE">
      <w:trPr>
        <w:trHeight w:hRule="exact" w:val="14880"/>
      </w:trPr>
      <w:tc>
        <w:tcPr>
          <w:tcW w:w="630" w:type="dxa"/>
          <w:tcBorders>
            <w:right w:val="double" w:sz="4" w:space="0" w:color="auto"/>
          </w:tcBorders>
        </w:tcPr>
        <w:p w:rsidR="00B105CE" w:rsidRDefault="000D3785">
          <w:pPr>
            <w:pStyle w:val="HeaderNumbers"/>
            <w:spacing w:before="132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p>
      </w:tc>
      <w:tc>
        <w:tcPr>
          <w:tcW w:w="9720" w:type="dxa"/>
          <w:tcBorders>
            <w:left w:val="double" w:sz="4" w:space="0" w:color="auto"/>
            <w:right w:val="single" w:sz="6" w:space="0" w:color="auto"/>
          </w:tcBorders>
        </w:tcPr>
        <w:p w:rsidR="00B105CE" w:rsidRDefault="000D3785">
          <w:pPr>
            <w:tabs>
              <w:tab w:val="center" w:pos="4853"/>
              <w:tab w:val="right" w:pos="9547"/>
            </w:tabs>
            <w:ind w:left="113" w:right="113"/>
          </w:pPr>
        </w:p>
      </w:tc>
    </w:tr>
  </w:tbl>
  <w:p w:rsidR="00B105CE" w:rsidRDefault="000D3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B105CE">
      <w:trPr>
        <w:trHeight w:hRule="exact" w:val="14880"/>
      </w:trPr>
      <w:tc>
        <w:tcPr>
          <w:tcW w:w="630" w:type="dxa"/>
          <w:tcBorders>
            <w:right w:val="double" w:sz="4" w:space="0" w:color="auto"/>
          </w:tcBorders>
        </w:tcPr>
        <w:p w:rsidR="00B105CE" w:rsidRDefault="000D3785">
          <w:pPr>
            <w:pStyle w:val="HeaderNumbers"/>
            <w:spacing w:before="1320"/>
          </w:pPr>
          <w:r>
            <w:t>1</w:t>
          </w:r>
          <w:r>
            <w:br/>
            <w:t>2</w:t>
          </w:r>
          <w:r>
            <w:br/>
            <w:t>3</w:t>
          </w:r>
          <w:r>
            <w:br/>
            <w:t>4</w:t>
          </w:r>
          <w:r>
            <w:br/>
            <w:t>5</w:t>
          </w:r>
          <w:r>
            <w:br/>
            <w:t>6</w:t>
          </w:r>
          <w:r>
            <w:br/>
            <w:t>7</w:t>
          </w:r>
          <w:r>
            <w:br/>
            <w:t>8</w:t>
          </w:r>
          <w:r>
            <w:br/>
            <w:t>9</w:t>
          </w:r>
          <w:r>
            <w:br/>
            <w:t>10</w:t>
          </w:r>
          <w:r>
            <w:br/>
            <w:t>11</w:t>
          </w:r>
          <w:r>
            <w:br/>
            <w:t>12</w:t>
          </w:r>
          <w:r>
            <w:br/>
            <w:t>13</w:t>
          </w:r>
          <w:r>
            <w:br/>
            <w:t>14</w:t>
          </w:r>
          <w:r>
            <w:br/>
          </w:r>
          <w:r>
            <w:t>15</w:t>
          </w:r>
          <w:r>
            <w:br/>
            <w:t>16</w:t>
          </w:r>
          <w:r>
            <w:br/>
            <w:t>17</w:t>
          </w:r>
          <w:r>
            <w:br/>
            <w:t>18</w:t>
          </w:r>
          <w:r>
            <w:br/>
            <w:t>19</w:t>
          </w:r>
          <w:r>
            <w:br/>
            <w:t>20</w:t>
          </w:r>
          <w:r>
            <w:br/>
            <w:t>21</w:t>
          </w:r>
          <w:r>
            <w:br/>
            <w:t>22</w:t>
          </w:r>
          <w:r>
            <w:br/>
            <w:t>23</w:t>
          </w:r>
          <w:r>
            <w:br/>
            <w:t>24</w:t>
          </w:r>
          <w:r>
            <w:br/>
            <w:t>25</w:t>
          </w:r>
          <w:r>
            <w:br/>
            <w:t>26</w:t>
          </w:r>
        </w:p>
      </w:tc>
      <w:tc>
        <w:tcPr>
          <w:tcW w:w="9720" w:type="dxa"/>
          <w:tcBorders>
            <w:left w:val="double" w:sz="4" w:space="0" w:color="auto"/>
            <w:right w:val="single" w:sz="6" w:space="0" w:color="auto"/>
          </w:tcBorders>
        </w:tcPr>
        <w:p w:rsidR="00B105CE" w:rsidRDefault="000D3785">
          <w:pPr>
            <w:tabs>
              <w:tab w:val="center" w:pos="4853"/>
              <w:tab w:val="right" w:pos="9547"/>
            </w:tabs>
            <w:ind w:left="113" w:right="113"/>
          </w:pPr>
        </w:p>
      </w:tc>
    </w:tr>
  </w:tbl>
  <w:p w:rsidR="00B105CE" w:rsidRDefault="000D3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21EA0"/>
    <w:multiLevelType w:val="hybridMultilevel"/>
    <w:tmpl w:val="B12C7F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42"/>
    <w:rsid w:val="000D3785"/>
    <w:rsid w:val="00115F42"/>
    <w:rsid w:val="00124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42"/>
    <w:pPr>
      <w:widowControl w:val="0"/>
      <w:spacing w:after="0" w:line="240" w:lineRule="exac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5F42"/>
    <w:pPr>
      <w:spacing w:line="480" w:lineRule="exact"/>
      <w:ind w:firstLine="720"/>
    </w:pPr>
  </w:style>
  <w:style w:type="character" w:customStyle="1" w:styleId="BodyTextChar">
    <w:name w:val="Body Text Char"/>
    <w:basedOn w:val="DefaultParagraphFont"/>
    <w:link w:val="BodyText"/>
    <w:uiPriority w:val="1"/>
    <w:rsid w:val="00115F42"/>
    <w:rPr>
      <w:rFonts w:eastAsia="Times New Roman"/>
      <w:szCs w:val="20"/>
    </w:rPr>
  </w:style>
  <w:style w:type="paragraph" w:customStyle="1" w:styleId="Court">
    <w:name w:val="Court"/>
    <w:basedOn w:val="Normal"/>
    <w:rsid w:val="00115F42"/>
    <w:pPr>
      <w:spacing w:before="40" w:after="660" w:line="480" w:lineRule="exact"/>
      <w:jc w:val="center"/>
    </w:pPr>
    <w:rPr>
      <w:caps/>
      <w:szCs w:val="24"/>
    </w:rPr>
  </w:style>
  <w:style w:type="paragraph" w:customStyle="1" w:styleId="FirmInformation">
    <w:name w:val="Firm Information"/>
    <w:basedOn w:val="Normal"/>
    <w:rsid w:val="00115F42"/>
    <w:pPr>
      <w:ind w:right="144"/>
    </w:pPr>
  </w:style>
  <w:style w:type="paragraph" w:styleId="Footer">
    <w:name w:val="footer"/>
    <w:basedOn w:val="Normal"/>
    <w:link w:val="FooterChar"/>
    <w:rsid w:val="00115F42"/>
    <w:pPr>
      <w:tabs>
        <w:tab w:val="center" w:pos="4320"/>
        <w:tab w:val="right" w:pos="9360"/>
      </w:tabs>
      <w:spacing w:line="200" w:lineRule="exact"/>
    </w:pPr>
  </w:style>
  <w:style w:type="character" w:customStyle="1" w:styleId="FooterChar">
    <w:name w:val="Footer Char"/>
    <w:basedOn w:val="DefaultParagraphFont"/>
    <w:link w:val="Footer"/>
    <w:rsid w:val="00115F42"/>
    <w:rPr>
      <w:rFonts w:eastAsia="Times New Roman"/>
      <w:szCs w:val="20"/>
    </w:rPr>
  </w:style>
  <w:style w:type="paragraph" w:styleId="Header">
    <w:name w:val="header"/>
    <w:basedOn w:val="Normal"/>
    <w:link w:val="HeaderChar"/>
    <w:rsid w:val="00115F42"/>
    <w:pPr>
      <w:tabs>
        <w:tab w:val="center" w:pos="4320"/>
        <w:tab w:val="right" w:pos="9360"/>
      </w:tabs>
    </w:pPr>
  </w:style>
  <w:style w:type="character" w:customStyle="1" w:styleId="HeaderChar">
    <w:name w:val="Header Char"/>
    <w:basedOn w:val="DefaultParagraphFont"/>
    <w:link w:val="Header"/>
    <w:rsid w:val="00115F42"/>
    <w:rPr>
      <w:rFonts w:eastAsia="Times New Roman"/>
      <w:szCs w:val="20"/>
    </w:rPr>
  </w:style>
  <w:style w:type="paragraph" w:customStyle="1" w:styleId="HeaderNumbers">
    <w:name w:val="HeaderNumbers"/>
    <w:basedOn w:val="Normal"/>
    <w:rsid w:val="00115F42"/>
    <w:pPr>
      <w:spacing w:before="720" w:line="480" w:lineRule="exact"/>
      <w:ind w:right="144"/>
      <w:jc w:val="right"/>
    </w:pPr>
  </w:style>
  <w:style w:type="character" w:styleId="PageNumber">
    <w:name w:val="page number"/>
    <w:rsid w:val="00115F42"/>
    <w:rPr>
      <w:sz w:val="24"/>
    </w:rPr>
  </w:style>
  <w:style w:type="paragraph" w:customStyle="1" w:styleId="FooterDocumentTitle">
    <w:name w:val="Footer Document Title"/>
    <w:basedOn w:val="Normal"/>
    <w:rsid w:val="00115F42"/>
    <w:pPr>
      <w:widowControl/>
      <w:spacing w:line="240" w:lineRule="auto"/>
      <w:jc w:val="right"/>
    </w:pPr>
    <w:rPr>
      <w:sz w:val="22"/>
      <w:szCs w:val="22"/>
    </w:rPr>
  </w:style>
  <w:style w:type="paragraph" w:customStyle="1" w:styleId="Caption-PlaintiffDefendant">
    <w:name w:val="Caption - Plaintiff/Defendant"/>
    <w:basedOn w:val="Normal"/>
    <w:rsid w:val="00115F42"/>
    <w:pPr>
      <w:overflowPunct w:val="0"/>
      <w:autoSpaceDE w:val="0"/>
      <w:autoSpaceDN w:val="0"/>
      <w:adjustRightInd w:val="0"/>
      <w:spacing w:line="235" w:lineRule="exact"/>
      <w:textAlignment w:val="baseline"/>
    </w:pPr>
  </w:style>
  <w:style w:type="paragraph" w:customStyle="1" w:styleId="Caption-RightSide">
    <w:name w:val="Caption - Right Side"/>
    <w:basedOn w:val="Normal"/>
    <w:rsid w:val="00115F42"/>
    <w:pPr>
      <w:overflowPunct w:val="0"/>
      <w:autoSpaceDE w:val="0"/>
      <w:autoSpaceDN w:val="0"/>
      <w:adjustRightInd w:val="0"/>
      <w:spacing w:line="235" w:lineRule="exact"/>
      <w:ind w:left="72"/>
      <w:textAlignment w:val="baseline"/>
    </w:pPr>
  </w:style>
  <w:style w:type="paragraph" w:styleId="ListParagraph">
    <w:name w:val="List Paragraph"/>
    <w:basedOn w:val="Normal"/>
    <w:uiPriority w:val="34"/>
    <w:qFormat/>
    <w:rsid w:val="00115F42"/>
    <w:pPr>
      <w:spacing w:line="240" w:lineRule="auto"/>
    </w:pPr>
    <w:rPr>
      <w:rFonts w:ascii="Calibri" w:eastAsia="Calibri" w:hAnsi="Calibri"/>
      <w:sz w:val="22"/>
      <w:szCs w:val="22"/>
    </w:rPr>
  </w:style>
  <w:style w:type="paragraph" w:customStyle="1" w:styleId="Default">
    <w:name w:val="Default"/>
    <w:rsid w:val="00115F42"/>
    <w:pPr>
      <w:autoSpaceDE w:val="0"/>
      <w:autoSpaceDN w:val="0"/>
      <w:adjustRightInd w:val="0"/>
      <w:spacing w:after="0" w:line="240" w:lineRule="auto"/>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42"/>
    <w:pPr>
      <w:widowControl w:val="0"/>
      <w:spacing w:after="0" w:line="240" w:lineRule="exac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5F42"/>
    <w:pPr>
      <w:spacing w:line="480" w:lineRule="exact"/>
      <w:ind w:firstLine="720"/>
    </w:pPr>
  </w:style>
  <w:style w:type="character" w:customStyle="1" w:styleId="BodyTextChar">
    <w:name w:val="Body Text Char"/>
    <w:basedOn w:val="DefaultParagraphFont"/>
    <w:link w:val="BodyText"/>
    <w:uiPriority w:val="1"/>
    <w:rsid w:val="00115F42"/>
    <w:rPr>
      <w:rFonts w:eastAsia="Times New Roman"/>
      <w:szCs w:val="20"/>
    </w:rPr>
  </w:style>
  <w:style w:type="paragraph" w:customStyle="1" w:styleId="Court">
    <w:name w:val="Court"/>
    <w:basedOn w:val="Normal"/>
    <w:rsid w:val="00115F42"/>
    <w:pPr>
      <w:spacing w:before="40" w:after="660" w:line="480" w:lineRule="exact"/>
      <w:jc w:val="center"/>
    </w:pPr>
    <w:rPr>
      <w:caps/>
      <w:szCs w:val="24"/>
    </w:rPr>
  </w:style>
  <w:style w:type="paragraph" w:customStyle="1" w:styleId="FirmInformation">
    <w:name w:val="Firm Information"/>
    <w:basedOn w:val="Normal"/>
    <w:rsid w:val="00115F42"/>
    <w:pPr>
      <w:ind w:right="144"/>
    </w:pPr>
  </w:style>
  <w:style w:type="paragraph" w:styleId="Footer">
    <w:name w:val="footer"/>
    <w:basedOn w:val="Normal"/>
    <w:link w:val="FooterChar"/>
    <w:rsid w:val="00115F42"/>
    <w:pPr>
      <w:tabs>
        <w:tab w:val="center" w:pos="4320"/>
        <w:tab w:val="right" w:pos="9360"/>
      </w:tabs>
      <w:spacing w:line="200" w:lineRule="exact"/>
    </w:pPr>
  </w:style>
  <w:style w:type="character" w:customStyle="1" w:styleId="FooterChar">
    <w:name w:val="Footer Char"/>
    <w:basedOn w:val="DefaultParagraphFont"/>
    <w:link w:val="Footer"/>
    <w:rsid w:val="00115F42"/>
    <w:rPr>
      <w:rFonts w:eastAsia="Times New Roman"/>
      <w:szCs w:val="20"/>
    </w:rPr>
  </w:style>
  <w:style w:type="paragraph" w:styleId="Header">
    <w:name w:val="header"/>
    <w:basedOn w:val="Normal"/>
    <w:link w:val="HeaderChar"/>
    <w:rsid w:val="00115F42"/>
    <w:pPr>
      <w:tabs>
        <w:tab w:val="center" w:pos="4320"/>
        <w:tab w:val="right" w:pos="9360"/>
      </w:tabs>
    </w:pPr>
  </w:style>
  <w:style w:type="character" w:customStyle="1" w:styleId="HeaderChar">
    <w:name w:val="Header Char"/>
    <w:basedOn w:val="DefaultParagraphFont"/>
    <w:link w:val="Header"/>
    <w:rsid w:val="00115F42"/>
    <w:rPr>
      <w:rFonts w:eastAsia="Times New Roman"/>
      <w:szCs w:val="20"/>
    </w:rPr>
  </w:style>
  <w:style w:type="paragraph" w:customStyle="1" w:styleId="HeaderNumbers">
    <w:name w:val="HeaderNumbers"/>
    <w:basedOn w:val="Normal"/>
    <w:rsid w:val="00115F42"/>
    <w:pPr>
      <w:spacing w:before="720" w:line="480" w:lineRule="exact"/>
      <w:ind w:right="144"/>
      <w:jc w:val="right"/>
    </w:pPr>
  </w:style>
  <w:style w:type="character" w:styleId="PageNumber">
    <w:name w:val="page number"/>
    <w:rsid w:val="00115F42"/>
    <w:rPr>
      <w:sz w:val="24"/>
    </w:rPr>
  </w:style>
  <w:style w:type="paragraph" w:customStyle="1" w:styleId="FooterDocumentTitle">
    <w:name w:val="Footer Document Title"/>
    <w:basedOn w:val="Normal"/>
    <w:rsid w:val="00115F42"/>
    <w:pPr>
      <w:widowControl/>
      <w:spacing w:line="240" w:lineRule="auto"/>
      <w:jc w:val="right"/>
    </w:pPr>
    <w:rPr>
      <w:sz w:val="22"/>
      <w:szCs w:val="22"/>
    </w:rPr>
  </w:style>
  <w:style w:type="paragraph" w:customStyle="1" w:styleId="Caption-PlaintiffDefendant">
    <w:name w:val="Caption - Plaintiff/Defendant"/>
    <w:basedOn w:val="Normal"/>
    <w:rsid w:val="00115F42"/>
    <w:pPr>
      <w:overflowPunct w:val="0"/>
      <w:autoSpaceDE w:val="0"/>
      <w:autoSpaceDN w:val="0"/>
      <w:adjustRightInd w:val="0"/>
      <w:spacing w:line="235" w:lineRule="exact"/>
      <w:textAlignment w:val="baseline"/>
    </w:pPr>
  </w:style>
  <w:style w:type="paragraph" w:customStyle="1" w:styleId="Caption-RightSide">
    <w:name w:val="Caption - Right Side"/>
    <w:basedOn w:val="Normal"/>
    <w:rsid w:val="00115F42"/>
    <w:pPr>
      <w:overflowPunct w:val="0"/>
      <w:autoSpaceDE w:val="0"/>
      <w:autoSpaceDN w:val="0"/>
      <w:adjustRightInd w:val="0"/>
      <w:spacing w:line="235" w:lineRule="exact"/>
      <w:ind w:left="72"/>
      <w:textAlignment w:val="baseline"/>
    </w:pPr>
  </w:style>
  <w:style w:type="paragraph" w:styleId="ListParagraph">
    <w:name w:val="List Paragraph"/>
    <w:basedOn w:val="Normal"/>
    <w:uiPriority w:val="34"/>
    <w:qFormat/>
    <w:rsid w:val="00115F42"/>
    <w:pPr>
      <w:spacing w:line="240" w:lineRule="auto"/>
    </w:pPr>
    <w:rPr>
      <w:rFonts w:ascii="Calibri" w:eastAsia="Calibri" w:hAnsi="Calibri"/>
      <w:sz w:val="22"/>
      <w:szCs w:val="22"/>
    </w:rPr>
  </w:style>
  <w:style w:type="paragraph" w:customStyle="1" w:styleId="Default">
    <w:name w:val="Default"/>
    <w:rsid w:val="00115F42"/>
    <w:pPr>
      <w:autoSpaceDE w:val="0"/>
      <w:autoSpaceDN w:val="0"/>
      <w:adjustRightInd w:val="0"/>
      <w:spacing w:after="0" w:line="240" w:lineRule="auto"/>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Phillis</dc:creator>
  <cp:lastModifiedBy>Christina Phillis</cp:lastModifiedBy>
  <cp:revision>2</cp:revision>
  <dcterms:created xsi:type="dcterms:W3CDTF">2015-10-19T19:24:00Z</dcterms:created>
  <dcterms:modified xsi:type="dcterms:W3CDTF">2015-10-19T19:24:00Z</dcterms:modified>
</cp:coreProperties>
</file>