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44C64" w:rsidRDefault="00244C64" w:rsidP="00E74A85">
      <w:pPr>
        <w:pStyle w:val="AttorneyName"/>
        <w:rPr>
          <w:rFonts w:ascii="Times New Roman" w:hAnsi="Times New Roman"/>
          <w:b/>
          <w:sz w:val="28"/>
          <w:szCs w:val="28"/>
        </w:rPr>
      </w:pPr>
      <w:r>
        <w:rPr>
          <w:rFonts w:ascii="Times New Roman" w:hAnsi="Times New Roman"/>
          <w:b/>
          <w:sz w:val="28"/>
          <w:szCs w:val="28"/>
        </w:rPr>
        <w:t>Kevin D. Heade</w:t>
      </w:r>
    </w:p>
    <w:p w:rsidR="00E74A85" w:rsidRPr="00964AF1" w:rsidRDefault="00E74A85" w:rsidP="00E74A85">
      <w:pPr>
        <w:pStyle w:val="AttorneyName"/>
        <w:rPr>
          <w:rFonts w:ascii="Times New Roman" w:hAnsi="Times New Roman"/>
          <w:sz w:val="28"/>
          <w:szCs w:val="28"/>
        </w:rPr>
      </w:pPr>
      <w:r w:rsidRPr="00964AF1">
        <w:rPr>
          <w:rFonts w:ascii="Times New Roman" w:hAnsi="Times New Roman"/>
          <w:sz w:val="28"/>
          <w:szCs w:val="28"/>
        </w:rPr>
        <w:t>AZ Bar No. 02</w:t>
      </w:r>
      <w:r w:rsidR="00244C64">
        <w:rPr>
          <w:rFonts w:ascii="Times New Roman" w:hAnsi="Times New Roman"/>
          <w:sz w:val="28"/>
          <w:szCs w:val="28"/>
        </w:rPr>
        <w:t>9909</w:t>
      </w:r>
    </w:p>
    <w:p w:rsidR="00244C64" w:rsidRDefault="00244C64" w:rsidP="00E74A85">
      <w:pPr>
        <w:pStyle w:val="AttorneyName"/>
        <w:rPr>
          <w:rFonts w:ascii="Times New Roman" w:hAnsi="Times New Roman"/>
          <w:b/>
          <w:sz w:val="28"/>
          <w:szCs w:val="28"/>
        </w:rPr>
      </w:pPr>
      <w:r>
        <w:rPr>
          <w:rFonts w:ascii="Times New Roman" w:hAnsi="Times New Roman"/>
          <w:b/>
          <w:sz w:val="28"/>
          <w:szCs w:val="28"/>
        </w:rPr>
        <w:t xml:space="preserve">National Lawyers Guild </w:t>
      </w:r>
    </w:p>
    <w:p w:rsidR="00244C64" w:rsidRDefault="00244C64" w:rsidP="00E74A85">
      <w:pPr>
        <w:pStyle w:val="AttorneyName"/>
        <w:rPr>
          <w:rFonts w:ascii="Times New Roman" w:hAnsi="Times New Roman"/>
          <w:b/>
          <w:sz w:val="28"/>
          <w:szCs w:val="28"/>
        </w:rPr>
      </w:pPr>
      <w:r>
        <w:rPr>
          <w:rFonts w:ascii="Times New Roman" w:hAnsi="Times New Roman"/>
          <w:b/>
          <w:sz w:val="28"/>
          <w:szCs w:val="28"/>
        </w:rPr>
        <w:t>Central Arizona Chapter</w:t>
      </w:r>
    </w:p>
    <w:p w:rsidR="00244C64" w:rsidRPr="00244C64" w:rsidRDefault="00244C64" w:rsidP="00244C64">
      <w:pPr>
        <w:spacing w:line="258" w:lineRule="exact"/>
        <w:rPr>
          <w:rFonts w:ascii="Times New Roman" w:hAnsi="Times New Roman" w:cs="Sakkal Majalla"/>
          <w:sz w:val="26"/>
          <w:szCs w:val="26"/>
        </w:rPr>
      </w:pPr>
      <w:r w:rsidRPr="00244C64">
        <w:rPr>
          <w:rFonts w:ascii="Times New Roman" w:hAnsi="Times New Roman" w:cs="Sakkal Majalla"/>
          <w:sz w:val="26"/>
          <w:szCs w:val="26"/>
        </w:rPr>
        <w:t xml:space="preserve">P.O. Box 3436 </w:t>
      </w:r>
    </w:p>
    <w:p w:rsidR="00244C64" w:rsidRPr="00244C64" w:rsidRDefault="00244C64" w:rsidP="00244C64">
      <w:pPr>
        <w:spacing w:line="258" w:lineRule="exact"/>
        <w:rPr>
          <w:rFonts w:ascii="Times New Roman" w:hAnsi="Times New Roman" w:cs="Sakkal Majalla"/>
          <w:sz w:val="26"/>
          <w:szCs w:val="26"/>
        </w:rPr>
      </w:pPr>
      <w:r w:rsidRPr="00244C64">
        <w:rPr>
          <w:rFonts w:ascii="Times New Roman" w:hAnsi="Times New Roman" w:cs="Sakkal Majalla"/>
          <w:sz w:val="26"/>
          <w:szCs w:val="26"/>
        </w:rPr>
        <w:t xml:space="preserve">Phoenix, AZ 85030 </w:t>
      </w:r>
    </w:p>
    <w:p w:rsidR="00244C64" w:rsidRDefault="00FC5286" w:rsidP="00244C64">
      <w:pPr>
        <w:spacing w:line="258" w:lineRule="exact"/>
        <w:rPr>
          <w:rFonts w:ascii="Times New Roman" w:hAnsi="Times New Roman" w:cs="Sakkal Majalla"/>
          <w:sz w:val="26"/>
          <w:szCs w:val="26"/>
        </w:rPr>
      </w:pPr>
      <w:hyperlink r:id="rId8" w:history="1">
        <w:r w:rsidR="00244C64" w:rsidRPr="00386688">
          <w:rPr>
            <w:rStyle w:val="Hyperlink"/>
            <w:rFonts w:ascii="Times New Roman" w:hAnsi="Times New Roman" w:cs="Sakkal Majalla"/>
            <w:sz w:val="26"/>
            <w:szCs w:val="26"/>
          </w:rPr>
          <w:t>CentralAZ@NLG.org</w:t>
        </w:r>
      </w:hyperlink>
    </w:p>
    <w:p w:rsidR="00244C64" w:rsidRPr="00244C64" w:rsidRDefault="00244C64" w:rsidP="00244C64">
      <w:pPr>
        <w:spacing w:line="258" w:lineRule="exact"/>
        <w:rPr>
          <w:rFonts w:ascii="Times New Roman" w:hAnsi="Times New Roman" w:cs="Sakkal Majalla"/>
          <w:sz w:val="26"/>
          <w:szCs w:val="26"/>
        </w:rPr>
      </w:pPr>
      <w:r>
        <w:rPr>
          <w:rFonts w:ascii="Times New Roman" w:hAnsi="Times New Roman" w:cs="Sakkal Majalla"/>
          <w:sz w:val="26"/>
          <w:szCs w:val="26"/>
        </w:rPr>
        <w:t>(480) 251-8534</w:t>
      </w:r>
    </w:p>
    <w:p w:rsidR="00B969B4" w:rsidRDefault="00B969B4" w:rsidP="00B969B4">
      <w:pPr>
        <w:pStyle w:val="AttorneyName"/>
        <w:spacing w:line="240" w:lineRule="auto"/>
        <w:rPr>
          <w:rFonts w:ascii="Times New Roman" w:hAnsi="Times New Roman"/>
          <w:sz w:val="28"/>
          <w:szCs w:val="28"/>
        </w:rPr>
      </w:pPr>
    </w:p>
    <w:p w:rsidR="00244C64" w:rsidRDefault="00244C64" w:rsidP="00B969B4">
      <w:pPr>
        <w:pStyle w:val="AttorneyName"/>
        <w:spacing w:line="240" w:lineRule="auto"/>
        <w:rPr>
          <w:rFonts w:ascii="Times New Roman" w:hAnsi="Times New Roman"/>
          <w:sz w:val="28"/>
          <w:szCs w:val="28"/>
        </w:rPr>
      </w:pPr>
    </w:p>
    <w:p w:rsidR="00244C64" w:rsidRPr="00964AF1" w:rsidRDefault="00244C64" w:rsidP="00B969B4">
      <w:pPr>
        <w:pStyle w:val="AttorneyName"/>
        <w:spacing w:line="240" w:lineRule="auto"/>
        <w:rPr>
          <w:rFonts w:ascii="Times New Roman" w:hAnsi="Times New Roman"/>
          <w:sz w:val="28"/>
          <w:szCs w:val="28"/>
        </w:rPr>
      </w:pPr>
    </w:p>
    <w:p w:rsidR="00B969B4" w:rsidRPr="00964AF1" w:rsidRDefault="00B969B4" w:rsidP="00B969B4">
      <w:pPr>
        <w:pStyle w:val="AttorneyName"/>
        <w:spacing w:line="240" w:lineRule="auto"/>
        <w:jc w:val="center"/>
        <w:rPr>
          <w:rFonts w:ascii="Times New Roman" w:hAnsi="Times New Roman"/>
          <w:b/>
          <w:sz w:val="28"/>
          <w:szCs w:val="28"/>
        </w:rPr>
      </w:pPr>
      <w:r w:rsidRPr="00964AF1">
        <w:rPr>
          <w:rFonts w:ascii="Times New Roman" w:hAnsi="Times New Roman"/>
          <w:b/>
          <w:sz w:val="28"/>
          <w:szCs w:val="28"/>
        </w:rPr>
        <w:t xml:space="preserve">IN THE SUPREME </w:t>
      </w:r>
      <w:r w:rsidR="008E30E2" w:rsidRPr="00964AF1">
        <w:rPr>
          <w:rFonts w:ascii="Times New Roman" w:hAnsi="Times New Roman"/>
          <w:b/>
          <w:sz w:val="28"/>
          <w:szCs w:val="28"/>
        </w:rPr>
        <w:t>COURT</w:t>
      </w:r>
      <w:r w:rsidRPr="00964AF1">
        <w:rPr>
          <w:rFonts w:ascii="Times New Roman" w:hAnsi="Times New Roman"/>
          <w:b/>
          <w:sz w:val="28"/>
          <w:szCs w:val="28"/>
        </w:rPr>
        <w:t xml:space="preserve"> OF THE STATE OF ARIZONA</w:t>
      </w:r>
    </w:p>
    <w:p w:rsidR="00B969B4" w:rsidRPr="00964AF1" w:rsidRDefault="00B969B4" w:rsidP="00B969B4">
      <w:pPr>
        <w:pStyle w:val="AttorneyName"/>
        <w:jc w:val="center"/>
        <w:rPr>
          <w:rFonts w:ascii="Times New Roman" w:hAnsi="Times New Roman"/>
          <w:b/>
          <w:sz w:val="28"/>
          <w:szCs w:val="28"/>
        </w:rPr>
      </w:pPr>
    </w:p>
    <w:p w:rsidR="00E74A85" w:rsidRPr="00964AF1" w:rsidRDefault="00E74A85" w:rsidP="00E74A85">
      <w:pPr>
        <w:pStyle w:val="AttorneyName"/>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542"/>
        <w:gridCol w:w="138"/>
        <w:gridCol w:w="138"/>
        <w:gridCol w:w="4542"/>
        <w:gridCol w:w="108"/>
      </w:tblGrid>
      <w:tr w:rsidR="00E74A85" w:rsidRPr="00964AF1">
        <w:tc>
          <w:tcPr>
            <w:tcW w:w="4788" w:type="dxa"/>
            <w:gridSpan w:val="3"/>
            <w:tcBorders>
              <w:top w:val="nil"/>
              <w:left w:val="nil"/>
              <w:bottom w:val="nil"/>
            </w:tcBorders>
          </w:tcPr>
          <w:p w:rsidR="00E74A85" w:rsidRPr="00964AF1" w:rsidRDefault="00E74A85" w:rsidP="00E74A85">
            <w:pPr>
              <w:pStyle w:val="AttorneyName"/>
              <w:rPr>
                <w:rFonts w:ascii="Times New Roman" w:hAnsi="Times New Roman"/>
                <w:sz w:val="28"/>
                <w:szCs w:val="28"/>
              </w:rPr>
            </w:pPr>
            <w:r w:rsidRPr="00964AF1">
              <w:rPr>
                <w:rFonts w:ascii="Times New Roman" w:hAnsi="Times New Roman"/>
                <w:sz w:val="28"/>
                <w:szCs w:val="28"/>
              </w:rPr>
              <w:t>In the Matter of:</w:t>
            </w:r>
          </w:p>
          <w:p w:rsidR="00E74A85" w:rsidRPr="00964AF1" w:rsidRDefault="00E74A85" w:rsidP="00E74A85">
            <w:pPr>
              <w:pStyle w:val="AttorneyName"/>
              <w:rPr>
                <w:rFonts w:ascii="Times New Roman" w:hAnsi="Times New Roman"/>
                <w:sz w:val="28"/>
                <w:szCs w:val="28"/>
              </w:rPr>
            </w:pPr>
          </w:p>
          <w:p w:rsidR="00E74A85" w:rsidRPr="00964AF1" w:rsidRDefault="00E74A85" w:rsidP="00E74A85">
            <w:pPr>
              <w:pStyle w:val="AttorneyName"/>
              <w:rPr>
                <w:rFonts w:ascii="Times New Roman" w:hAnsi="Times New Roman"/>
                <w:sz w:val="28"/>
                <w:szCs w:val="28"/>
              </w:rPr>
            </w:pPr>
          </w:p>
          <w:p w:rsidR="00E74A85" w:rsidRPr="00964AF1" w:rsidRDefault="00E74A85" w:rsidP="00964AF1">
            <w:pPr>
              <w:rPr>
                <w:rFonts w:ascii="Times New Roman" w:hAnsi="Times New Roman" w:cs="Times New Roman"/>
                <w:sz w:val="28"/>
                <w:szCs w:val="28"/>
              </w:rPr>
            </w:pPr>
            <w:r w:rsidRPr="00964AF1">
              <w:rPr>
                <w:rFonts w:ascii="Times New Roman" w:hAnsi="Times New Roman" w:cs="Times New Roman"/>
                <w:sz w:val="28"/>
                <w:szCs w:val="28"/>
              </w:rPr>
              <w:t xml:space="preserve">Petition to Amend Rule </w:t>
            </w:r>
            <w:r w:rsidR="00964AF1">
              <w:rPr>
                <w:rFonts w:ascii="Times New Roman" w:hAnsi="Times New Roman" w:cs="Times New Roman"/>
                <w:sz w:val="28"/>
                <w:szCs w:val="28"/>
              </w:rPr>
              <w:t>39(b)</w:t>
            </w:r>
            <w:r w:rsidRPr="00964AF1">
              <w:rPr>
                <w:rFonts w:ascii="Times New Roman" w:hAnsi="Times New Roman" w:cs="Times New Roman"/>
                <w:sz w:val="28"/>
                <w:szCs w:val="28"/>
              </w:rPr>
              <w:t xml:space="preserve"> of</w:t>
            </w:r>
            <w:r w:rsidR="00964AF1">
              <w:rPr>
                <w:rFonts w:ascii="Times New Roman" w:hAnsi="Times New Roman" w:cs="Times New Roman"/>
                <w:sz w:val="28"/>
                <w:szCs w:val="28"/>
              </w:rPr>
              <w:t xml:space="preserve"> the</w:t>
            </w:r>
            <w:r w:rsidRPr="00964AF1">
              <w:rPr>
                <w:rFonts w:ascii="Times New Roman" w:hAnsi="Times New Roman" w:cs="Times New Roman"/>
                <w:sz w:val="28"/>
                <w:szCs w:val="28"/>
              </w:rPr>
              <w:t xml:space="preserve"> Arizona Rules of Criminal Procedure</w:t>
            </w:r>
          </w:p>
        </w:tc>
        <w:tc>
          <w:tcPr>
            <w:tcW w:w="4788" w:type="dxa"/>
            <w:gridSpan w:val="3"/>
            <w:tcBorders>
              <w:top w:val="nil"/>
              <w:bottom w:val="nil"/>
              <w:right w:val="nil"/>
            </w:tcBorders>
          </w:tcPr>
          <w:p w:rsidR="00E74A85" w:rsidRPr="00964AF1" w:rsidRDefault="00964AF1" w:rsidP="00E74A85">
            <w:pPr>
              <w:pStyle w:val="AttorneyName"/>
              <w:rPr>
                <w:rFonts w:ascii="Times New Roman" w:hAnsi="Times New Roman"/>
                <w:sz w:val="28"/>
                <w:szCs w:val="28"/>
              </w:rPr>
            </w:pPr>
            <w:r>
              <w:rPr>
                <w:rFonts w:ascii="Times New Roman" w:hAnsi="Times New Roman"/>
                <w:sz w:val="28"/>
                <w:szCs w:val="28"/>
              </w:rPr>
              <w:t>No. R-14-002</w:t>
            </w:r>
            <w:r w:rsidR="00E74A85" w:rsidRPr="00964AF1">
              <w:rPr>
                <w:rFonts w:ascii="Times New Roman" w:hAnsi="Times New Roman"/>
                <w:sz w:val="28"/>
                <w:szCs w:val="28"/>
              </w:rPr>
              <w:t>2</w:t>
            </w:r>
          </w:p>
          <w:p w:rsidR="00E74A85" w:rsidRPr="00964AF1" w:rsidRDefault="00E74A85" w:rsidP="00E74A85">
            <w:pPr>
              <w:pStyle w:val="AttorneyName"/>
              <w:rPr>
                <w:rFonts w:ascii="Times New Roman" w:hAnsi="Times New Roman"/>
                <w:b/>
                <w:sz w:val="28"/>
                <w:szCs w:val="28"/>
              </w:rPr>
            </w:pPr>
          </w:p>
          <w:p w:rsidR="00E74A85" w:rsidRPr="00964AF1" w:rsidRDefault="00E74A85" w:rsidP="00E74A85">
            <w:pPr>
              <w:rPr>
                <w:rFonts w:ascii="Times New Roman" w:eastAsia="Times New Roman" w:hAnsi="Times New Roman" w:cs="Times New Roman"/>
                <w:b/>
                <w:caps/>
                <w:color w:val="auto"/>
                <w:sz w:val="28"/>
                <w:szCs w:val="28"/>
              </w:rPr>
            </w:pPr>
            <w:r w:rsidRPr="00964AF1">
              <w:rPr>
                <w:rFonts w:ascii="Times New Roman" w:hAnsi="Times New Roman" w:cs="Times New Roman"/>
                <w:b/>
                <w:caps/>
                <w:sz w:val="28"/>
                <w:szCs w:val="28"/>
              </w:rPr>
              <w:t xml:space="preserve">COMMENT OF </w:t>
            </w:r>
            <w:r w:rsidR="00244C64">
              <w:rPr>
                <w:rFonts w:ascii="Times New Roman" w:hAnsi="Times New Roman" w:cs="Times New Roman"/>
                <w:b/>
                <w:caps/>
                <w:sz w:val="28"/>
                <w:szCs w:val="28"/>
              </w:rPr>
              <w:t xml:space="preserve">CENTRAL ARIZONA CHAPTER OF THE NATIONAL LAWYERS GUILD </w:t>
            </w:r>
            <w:r w:rsidRPr="00964AF1">
              <w:rPr>
                <w:rFonts w:ascii="Times New Roman" w:hAnsi="Times New Roman" w:cs="Times New Roman"/>
                <w:b/>
                <w:caps/>
                <w:sz w:val="28"/>
                <w:szCs w:val="28"/>
              </w:rPr>
              <w:t xml:space="preserve">REGARDING PETITION TO AMEND RULE </w:t>
            </w:r>
            <w:r w:rsidR="002C435D" w:rsidRPr="00964AF1">
              <w:rPr>
                <w:rFonts w:ascii="Times New Roman" w:hAnsi="Times New Roman" w:cs="Times New Roman"/>
                <w:b/>
                <w:caps/>
                <w:sz w:val="28"/>
                <w:szCs w:val="28"/>
              </w:rPr>
              <w:t>39(b)</w:t>
            </w:r>
            <w:r w:rsidRPr="00964AF1">
              <w:rPr>
                <w:rFonts w:ascii="Times New Roman" w:hAnsi="Times New Roman" w:cs="Times New Roman"/>
                <w:b/>
                <w:caps/>
                <w:sz w:val="28"/>
                <w:szCs w:val="28"/>
              </w:rPr>
              <w:t xml:space="preserve"> OF ARIZONA RULES OF CRIMINAL PROCEDURE</w:t>
            </w:r>
          </w:p>
          <w:p w:rsidR="00E74A85" w:rsidRPr="00964AF1" w:rsidRDefault="00E74A85" w:rsidP="00E74A85">
            <w:pPr>
              <w:pStyle w:val="AttorneyName"/>
              <w:rPr>
                <w:rFonts w:ascii="Times New Roman" w:hAnsi="Times New Roman"/>
                <w:b/>
                <w:sz w:val="28"/>
                <w:szCs w:val="28"/>
              </w:rPr>
            </w:pPr>
          </w:p>
          <w:p w:rsidR="00E74A85" w:rsidRPr="00964AF1" w:rsidRDefault="00E74A85" w:rsidP="00E74A85">
            <w:pPr>
              <w:pStyle w:val="AttorneyName"/>
              <w:rPr>
                <w:rFonts w:ascii="Times New Roman" w:hAnsi="Times New Roman"/>
                <w:b/>
                <w:sz w:val="28"/>
                <w:szCs w:val="28"/>
              </w:rPr>
            </w:pPr>
          </w:p>
        </w:tc>
      </w:tr>
      <w:tr w:rsidR="00E74A85" w:rsidRPr="00964AF1">
        <w:tc>
          <w:tcPr>
            <w:tcW w:w="4788" w:type="dxa"/>
            <w:gridSpan w:val="3"/>
            <w:tcBorders>
              <w:top w:val="nil"/>
              <w:left w:val="nil"/>
            </w:tcBorders>
          </w:tcPr>
          <w:p w:rsidR="00E74A85" w:rsidRPr="00964AF1" w:rsidRDefault="00E74A85" w:rsidP="00E74A85">
            <w:pPr>
              <w:pStyle w:val="AttorneyName"/>
              <w:rPr>
                <w:rFonts w:ascii="Times New Roman" w:hAnsi="Times New Roman"/>
                <w:b/>
                <w:sz w:val="28"/>
                <w:szCs w:val="28"/>
              </w:rPr>
            </w:pPr>
          </w:p>
        </w:tc>
        <w:tc>
          <w:tcPr>
            <w:tcW w:w="4788" w:type="dxa"/>
            <w:gridSpan w:val="3"/>
            <w:tcBorders>
              <w:top w:val="nil"/>
              <w:bottom w:val="nil"/>
              <w:right w:val="nil"/>
            </w:tcBorders>
          </w:tcPr>
          <w:p w:rsidR="00E74A85" w:rsidRPr="00964AF1" w:rsidRDefault="00E74A85" w:rsidP="00E74A85">
            <w:pPr>
              <w:pStyle w:val="AttorneyName"/>
              <w:rPr>
                <w:rFonts w:ascii="Times New Roman" w:hAnsi="Times New Roman"/>
                <w:b/>
                <w:sz w:val="28"/>
                <w:szCs w:val="28"/>
              </w:rPr>
            </w:pPr>
          </w:p>
        </w:tc>
      </w:tr>
      <w:tr w:rsidR="00B969B4" w:rsidRPr="00964A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tblPrEx>
        <w:trPr>
          <w:gridBefore w:val="1"/>
          <w:gridAfter w:val="1"/>
          <w:wBefore w:w="108" w:type="dxa"/>
          <w:wAfter w:w="108" w:type="dxa"/>
        </w:trPr>
        <w:tc>
          <w:tcPr>
            <w:tcW w:w="4542" w:type="dxa"/>
            <w:shd w:val="clear" w:color="auto" w:fill="auto"/>
          </w:tcPr>
          <w:p w:rsidR="00B969B4" w:rsidRPr="00964AF1" w:rsidRDefault="00B969B4" w:rsidP="003D7A5B">
            <w:pPr>
              <w:tabs>
                <w:tab w:val="left" w:pos="1500"/>
              </w:tabs>
              <w:spacing w:line="240" w:lineRule="auto"/>
              <w:rPr>
                <w:rFonts w:ascii="Times New Roman" w:hAnsi="Times New Roman" w:cs="Times New Roman"/>
                <w:sz w:val="28"/>
                <w:szCs w:val="28"/>
              </w:rPr>
            </w:pPr>
            <w:bookmarkStart w:id="0" w:name="Parties"/>
            <w:bookmarkEnd w:id="0"/>
          </w:p>
        </w:tc>
        <w:tc>
          <w:tcPr>
            <w:tcW w:w="276" w:type="dxa"/>
            <w:gridSpan w:val="2"/>
            <w:shd w:val="clear" w:color="auto" w:fill="auto"/>
          </w:tcPr>
          <w:p w:rsidR="00B969B4" w:rsidRPr="00964AF1" w:rsidRDefault="00B969B4" w:rsidP="00B969B4">
            <w:pPr>
              <w:pStyle w:val="SingleSpacing"/>
              <w:spacing w:line="240" w:lineRule="auto"/>
              <w:rPr>
                <w:rFonts w:ascii="Times New Roman" w:hAnsi="Times New Roman"/>
                <w:sz w:val="28"/>
                <w:szCs w:val="28"/>
              </w:rPr>
            </w:pPr>
          </w:p>
        </w:tc>
        <w:tc>
          <w:tcPr>
            <w:tcW w:w="4542" w:type="dxa"/>
            <w:shd w:val="clear" w:color="auto" w:fill="auto"/>
          </w:tcPr>
          <w:p w:rsidR="00B969B4" w:rsidRPr="00964AF1" w:rsidRDefault="00B969B4" w:rsidP="003D7A5B">
            <w:pPr>
              <w:pStyle w:val="SingleSpacing"/>
              <w:spacing w:line="240" w:lineRule="auto"/>
              <w:rPr>
                <w:rFonts w:ascii="Times New Roman" w:hAnsi="Times New Roman"/>
                <w:b/>
                <w:i/>
                <w:sz w:val="28"/>
                <w:szCs w:val="28"/>
              </w:rPr>
            </w:pPr>
            <w:bookmarkStart w:id="1" w:name="CaseNumber"/>
            <w:bookmarkEnd w:id="1"/>
          </w:p>
        </w:tc>
      </w:tr>
    </w:tbl>
    <w:p w:rsidR="00861DBB" w:rsidRPr="00964AF1" w:rsidRDefault="00B969B4" w:rsidP="00EF5A20">
      <w:pPr>
        <w:spacing w:line="480" w:lineRule="auto"/>
        <w:ind w:firstLine="720"/>
        <w:jc w:val="both"/>
        <w:rPr>
          <w:rFonts w:ascii="Times New Roman" w:eastAsia="Times New Roman" w:hAnsi="Times New Roman" w:cs="Times New Roman"/>
          <w:sz w:val="28"/>
          <w:szCs w:val="28"/>
          <w:highlight w:val="white"/>
        </w:rPr>
      </w:pPr>
      <w:r w:rsidRPr="00964AF1">
        <w:rPr>
          <w:rFonts w:ascii="Times New Roman" w:eastAsia="Times New Roman" w:hAnsi="Times New Roman" w:cs="Times New Roman"/>
          <w:sz w:val="28"/>
          <w:szCs w:val="28"/>
          <w:highlight w:val="white"/>
        </w:rPr>
        <w:t xml:space="preserve">Pursuant to Rule 28 of the </w:t>
      </w:r>
      <w:r w:rsidR="003D7A5B" w:rsidRPr="00964AF1">
        <w:rPr>
          <w:rFonts w:ascii="Times New Roman" w:eastAsia="Times New Roman" w:hAnsi="Times New Roman" w:cs="Times New Roman"/>
          <w:sz w:val="28"/>
          <w:szCs w:val="28"/>
          <w:highlight w:val="white"/>
        </w:rPr>
        <w:t xml:space="preserve">Arizona Rules of Supreme </w:t>
      </w:r>
      <w:r w:rsidR="008E30E2" w:rsidRPr="00964AF1">
        <w:rPr>
          <w:rFonts w:ascii="Times New Roman" w:eastAsia="Times New Roman" w:hAnsi="Times New Roman" w:cs="Times New Roman"/>
          <w:sz w:val="28"/>
          <w:szCs w:val="28"/>
          <w:highlight w:val="white"/>
        </w:rPr>
        <w:t>Court</w:t>
      </w:r>
      <w:r w:rsidR="003D7A5B" w:rsidRPr="00964AF1">
        <w:rPr>
          <w:rFonts w:ascii="Times New Roman" w:eastAsia="Times New Roman" w:hAnsi="Times New Roman" w:cs="Times New Roman"/>
          <w:sz w:val="28"/>
          <w:szCs w:val="28"/>
          <w:highlight w:val="white"/>
        </w:rPr>
        <w:t xml:space="preserve">, the </w:t>
      </w:r>
      <w:r w:rsidR="00244C64">
        <w:rPr>
          <w:rFonts w:ascii="Times New Roman" w:eastAsia="Times New Roman" w:hAnsi="Times New Roman" w:cs="Times New Roman"/>
          <w:sz w:val="28"/>
          <w:szCs w:val="28"/>
          <w:highlight w:val="white"/>
        </w:rPr>
        <w:t xml:space="preserve">Central Arizona National Lawyers Guild </w:t>
      </w:r>
      <w:r w:rsidR="003D7A5B" w:rsidRPr="00964AF1">
        <w:rPr>
          <w:rFonts w:ascii="Times New Roman" w:eastAsia="Times New Roman" w:hAnsi="Times New Roman" w:cs="Times New Roman"/>
          <w:sz w:val="28"/>
          <w:szCs w:val="28"/>
          <w:highlight w:val="white"/>
        </w:rPr>
        <w:t>(“</w:t>
      </w:r>
      <w:r w:rsidR="00244C64">
        <w:rPr>
          <w:rFonts w:ascii="Times New Roman" w:eastAsia="Times New Roman" w:hAnsi="Times New Roman" w:cs="Times New Roman"/>
          <w:sz w:val="28"/>
          <w:szCs w:val="28"/>
          <w:highlight w:val="white"/>
        </w:rPr>
        <w:t>Central AZ NLG</w:t>
      </w:r>
      <w:r w:rsidR="003D7A5B" w:rsidRPr="00964AF1">
        <w:rPr>
          <w:rFonts w:ascii="Times New Roman" w:eastAsia="Times New Roman" w:hAnsi="Times New Roman" w:cs="Times New Roman"/>
          <w:sz w:val="28"/>
          <w:szCs w:val="28"/>
          <w:highlight w:val="white"/>
        </w:rPr>
        <w:t>”)</w:t>
      </w:r>
      <w:r w:rsidR="00861DBB" w:rsidRPr="00964AF1">
        <w:rPr>
          <w:rFonts w:ascii="Times New Roman" w:eastAsia="Times New Roman" w:hAnsi="Times New Roman" w:cs="Times New Roman"/>
          <w:sz w:val="28"/>
          <w:szCs w:val="28"/>
          <w:highlight w:val="white"/>
        </w:rPr>
        <w:t xml:space="preserve"> submit</w:t>
      </w:r>
      <w:r w:rsidR="002C435D" w:rsidRPr="00964AF1">
        <w:rPr>
          <w:rFonts w:ascii="Times New Roman" w:eastAsia="Times New Roman" w:hAnsi="Times New Roman" w:cs="Times New Roman"/>
          <w:sz w:val="28"/>
          <w:szCs w:val="28"/>
          <w:highlight w:val="white"/>
        </w:rPr>
        <w:t>s</w:t>
      </w:r>
      <w:r w:rsidRPr="00964AF1">
        <w:rPr>
          <w:rFonts w:ascii="Times New Roman" w:eastAsia="Times New Roman" w:hAnsi="Times New Roman" w:cs="Times New Roman"/>
          <w:sz w:val="28"/>
          <w:szCs w:val="28"/>
          <w:highlight w:val="white"/>
        </w:rPr>
        <w:t xml:space="preserve"> the following comment to the above-referenced petition.</w:t>
      </w:r>
      <w:r w:rsidR="007407A8" w:rsidRPr="00964AF1">
        <w:rPr>
          <w:rFonts w:ascii="Times New Roman" w:eastAsia="Times New Roman" w:hAnsi="Times New Roman" w:cs="Times New Roman"/>
          <w:sz w:val="28"/>
          <w:szCs w:val="28"/>
          <w:highlight w:val="white"/>
        </w:rPr>
        <w:t xml:space="preserve"> </w:t>
      </w:r>
      <w:r w:rsidRPr="00964AF1">
        <w:rPr>
          <w:rFonts w:ascii="Times New Roman" w:eastAsia="Times New Roman" w:hAnsi="Times New Roman" w:cs="Times New Roman"/>
          <w:sz w:val="28"/>
          <w:szCs w:val="28"/>
          <w:highlight w:val="white"/>
        </w:rPr>
        <w:t xml:space="preserve"> </w:t>
      </w:r>
    </w:p>
    <w:p w:rsidR="00EF5A20" w:rsidRPr="00861FFD" w:rsidRDefault="00244C64" w:rsidP="00EF5A20">
      <w:pPr>
        <w:spacing w:line="480" w:lineRule="auto"/>
        <w:ind w:firstLine="720"/>
        <w:jc w:val="both"/>
        <w:rPr>
          <w:rFonts w:ascii="Times New Roman" w:eastAsia="Times New Roman" w:hAnsi="Times New Roman" w:cs="Times New Roman"/>
          <w:color w:val="auto"/>
          <w:sz w:val="28"/>
          <w:szCs w:val="28"/>
        </w:rPr>
      </w:pPr>
      <w:r w:rsidRPr="00861FFD">
        <w:rPr>
          <w:rFonts w:ascii="Times New Roman" w:hAnsi="Times New Roman" w:cs="Times New Roman"/>
          <w:sz w:val="28"/>
          <w:szCs w:val="28"/>
        </w:rPr>
        <w:t xml:space="preserve">The National Lawyers Guild is a non-profit federation of lawyers, legal workers, and law students. Since 1937, Guild members have been using the law to advance social justice and support progressive social movements. The National Lawyers Guild has chapters across the United States, including two chapters in Arizona, The Central Arizona chapter and The Southern Arizona chapter.  The </w:t>
      </w:r>
      <w:r w:rsidRPr="00861FFD">
        <w:rPr>
          <w:rFonts w:ascii="Times New Roman" w:hAnsi="Times New Roman" w:cs="Times New Roman"/>
          <w:sz w:val="28"/>
          <w:szCs w:val="28"/>
        </w:rPr>
        <w:lastRenderedPageBreak/>
        <w:t>Central Arizona chapter of the National Lawyers Guild includes attorney members f</w:t>
      </w:r>
      <w:r w:rsidR="00A206CE" w:rsidRPr="00861FFD">
        <w:rPr>
          <w:rFonts w:ascii="Times New Roman" w:hAnsi="Times New Roman" w:cs="Times New Roman"/>
          <w:sz w:val="28"/>
          <w:szCs w:val="28"/>
        </w:rPr>
        <w:t xml:space="preserve">rom the Phoenix-metro area and surrounding areas.  Members include criminal defense attorneys who practice within the Superior Courts in Arizona. </w:t>
      </w:r>
    </w:p>
    <w:p w:rsidR="00A672DE" w:rsidRPr="00964AF1" w:rsidRDefault="009E7A40" w:rsidP="000279BD">
      <w:pPr>
        <w:pStyle w:val="normal0"/>
        <w:spacing w:line="480" w:lineRule="auto"/>
        <w:jc w:val="center"/>
        <w:rPr>
          <w:rFonts w:ascii="Times New Roman" w:hAnsi="Times New Roman" w:cs="Times New Roman"/>
          <w:sz w:val="28"/>
          <w:szCs w:val="28"/>
          <w:u w:val="single"/>
        </w:rPr>
      </w:pPr>
      <w:r w:rsidRPr="00964AF1">
        <w:rPr>
          <w:rFonts w:ascii="Times New Roman" w:eastAsia="Times New Roman" w:hAnsi="Times New Roman" w:cs="Times New Roman"/>
          <w:b/>
          <w:sz w:val="28"/>
          <w:szCs w:val="28"/>
          <w:highlight w:val="white"/>
          <w:u w:val="single"/>
        </w:rPr>
        <w:t>DISCUSSION</w:t>
      </w:r>
    </w:p>
    <w:p w:rsidR="00E06BC8" w:rsidRDefault="0058350D" w:rsidP="004611AC">
      <w:pPr>
        <w:pStyle w:val="normal0"/>
        <w:spacing w:line="480" w:lineRule="auto"/>
        <w:jc w:val="both"/>
        <w:rPr>
          <w:rFonts w:ascii="Times New Roman" w:eastAsia="Times New Roman" w:hAnsi="Times New Roman" w:cs="Times New Roman"/>
          <w:sz w:val="28"/>
          <w:szCs w:val="28"/>
        </w:rPr>
      </w:pPr>
      <w:r w:rsidRPr="00964AF1">
        <w:rPr>
          <w:rFonts w:ascii="Times New Roman" w:eastAsia="Times New Roman" w:hAnsi="Times New Roman" w:cs="Times New Roman"/>
          <w:sz w:val="28"/>
          <w:szCs w:val="28"/>
        </w:rPr>
        <w:tab/>
      </w:r>
      <w:r w:rsidR="00A206CE">
        <w:rPr>
          <w:rFonts w:ascii="Times New Roman" w:eastAsia="Times New Roman" w:hAnsi="Times New Roman" w:cs="Times New Roman"/>
          <w:sz w:val="28"/>
          <w:szCs w:val="28"/>
        </w:rPr>
        <w:t>The Central AZ NLG opposes the proposed rule change for several reasons.  First, the proposed rule change should not be adopted because it would effectively endorse a statute, A.R.S. § 13-</w:t>
      </w:r>
      <w:r w:rsidR="00347974">
        <w:rPr>
          <w:rFonts w:ascii="Times New Roman" w:eastAsia="Times New Roman" w:hAnsi="Times New Roman" w:cs="Times New Roman"/>
          <w:sz w:val="28"/>
          <w:szCs w:val="28"/>
        </w:rPr>
        <w:t xml:space="preserve">4434, </w:t>
      </w:r>
      <w:r w:rsidR="00A206CE">
        <w:rPr>
          <w:rFonts w:ascii="Times New Roman" w:eastAsia="Times New Roman" w:hAnsi="Times New Roman" w:cs="Times New Roman"/>
          <w:sz w:val="28"/>
          <w:szCs w:val="28"/>
        </w:rPr>
        <w:t xml:space="preserve">that is an unconstitutional intrusion </w:t>
      </w:r>
      <w:r w:rsidR="006D3378">
        <w:rPr>
          <w:rFonts w:ascii="Times New Roman" w:eastAsia="Times New Roman" w:hAnsi="Times New Roman" w:cs="Times New Roman"/>
          <w:sz w:val="28"/>
          <w:szCs w:val="28"/>
        </w:rPr>
        <w:t xml:space="preserve">upon </w:t>
      </w:r>
      <w:r w:rsidR="00A206CE">
        <w:rPr>
          <w:rFonts w:ascii="Times New Roman" w:eastAsia="Times New Roman" w:hAnsi="Times New Roman" w:cs="Times New Roman"/>
          <w:sz w:val="28"/>
          <w:szCs w:val="28"/>
        </w:rPr>
        <w:t xml:space="preserve">the Arizona Supreme Court’s rule-making authority under Arizona Constitution’s  separation of powers doctrine.  Second, the proposed rule change will effectively deny criminal defendants due process and effective representation of counsel.  </w:t>
      </w:r>
    </w:p>
    <w:p w:rsidR="00D11E58" w:rsidRDefault="00D11E58" w:rsidP="00A206CE">
      <w:pPr>
        <w:pStyle w:val="normal0"/>
        <w:numPr>
          <w:ilvl w:val="0"/>
          <w:numId w:val="5"/>
        </w:numPr>
        <w:spacing w:line="240" w:lineRule="auto"/>
        <w:ind w:left="720"/>
        <w:jc w:val="both"/>
        <w:rPr>
          <w:rFonts w:ascii="Times New Roman" w:eastAsia="Times New Roman" w:hAnsi="Times New Roman" w:cs="Times New Roman"/>
          <w:b/>
          <w:sz w:val="28"/>
          <w:szCs w:val="28"/>
        </w:rPr>
      </w:pPr>
      <w:r w:rsidRPr="00D11E58">
        <w:rPr>
          <w:rFonts w:ascii="Times New Roman" w:eastAsia="Times New Roman" w:hAnsi="Times New Roman" w:cs="Times New Roman"/>
          <w:b/>
          <w:sz w:val="28"/>
          <w:szCs w:val="28"/>
        </w:rPr>
        <w:t>The proposed rule change should not be adopted because</w:t>
      </w:r>
      <w:r w:rsidR="006D3378">
        <w:rPr>
          <w:rFonts w:ascii="Times New Roman" w:eastAsia="Times New Roman" w:hAnsi="Times New Roman" w:cs="Times New Roman"/>
          <w:b/>
          <w:sz w:val="28"/>
          <w:szCs w:val="28"/>
        </w:rPr>
        <w:t xml:space="preserve"> the recently amended</w:t>
      </w:r>
      <w:r w:rsidRPr="00D11E58">
        <w:rPr>
          <w:rFonts w:ascii="Times New Roman" w:eastAsia="Times New Roman" w:hAnsi="Times New Roman" w:cs="Times New Roman"/>
          <w:b/>
          <w:sz w:val="28"/>
          <w:szCs w:val="28"/>
        </w:rPr>
        <w:t xml:space="preserve"> A.R.S. § 13-</w:t>
      </w:r>
      <w:r w:rsidR="00347974">
        <w:rPr>
          <w:rFonts w:ascii="Times New Roman" w:eastAsia="Times New Roman" w:hAnsi="Times New Roman" w:cs="Times New Roman"/>
          <w:b/>
          <w:sz w:val="28"/>
          <w:szCs w:val="28"/>
        </w:rPr>
        <w:t>4</w:t>
      </w:r>
      <w:r w:rsidR="006D3378">
        <w:rPr>
          <w:rFonts w:ascii="Times New Roman" w:eastAsia="Times New Roman" w:hAnsi="Times New Roman" w:cs="Times New Roman"/>
          <w:b/>
          <w:sz w:val="28"/>
          <w:szCs w:val="28"/>
        </w:rPr>
        <w:t>434</w:t>
      </w:r>
      <w:r w:rsidRPr="00D11E58">
        <w:rPr>
          <w:rFonts w:ascii="Times New Roman" w:eastAsia="Times New Roman" w:hAnsi="Times New Roman" w:cs="Times New Roman"/>
          <w:b/>
          <w:sz w:val="28"/>
          <w:szCs w:val="28"/>
        </w:rPr>
        <w:t xml:space="preserve"> violates the separation of powers doctrine. </w:t>
      </w:r>
    </w:p>
    <w:p w:rsidR="00D11E58" w:rsidRDefault="00D11E58" w:rsidP="00D11E58">
      <w:pPr>
        <w:pStyle w:val="normal0"/>
        <w:spacing w:line="240" w:lineRule="auto"/>
        <w:jc w:val="both"/>
        <w:rPr>
          <w:rFonts w:ascii="Times New Roman" w:eastAsia="Times New Roman" w:hAnsi="Times New Roman" w:cs="Times New Roman"/>
          <w:b/>
          <w:sz w:val="28"/>
          <w:szCs w:val="28"/>
        </w:rPr>
      </w:pPr>
    </w:p>
    <w:p w:rsidR="00266C19" w:rsidRPr="00C06D28" w:rsidRDefault="006D3378" w:rsidP="00C06D28">
      <w:pPr>
        <w:spacing w:after="240" w:line="480" w:lineRule="auto"/>
        <w:ind w:firstLine="720"/>
        <w:jc w:val="both"/>
        <w:rPr>
          <w:rFonts w:ascii="Times New Roman" w:eastAsia="Times New Roman" w:hAnsi="Times New Roman" w:cs="Times New Roman"/>
          <w:color w:val="auto"/>
          <w:sz w:val="28"/>
          <w:szCs w:val="28"/>
        </w:rPr>
      </w:pPr>
      <w:r w:rsidRPr="00C06D28">
        <w:rPr>
          <w:rFonts w:ascii="Times New Roman" w:hAnsi="Times New Roman" w:cs="Times New Roman"/>
          <w:color w:val="auto"/>
          <w:sz w:val="28"/>
          <w:szCs w:val="28"/>
        </w:rPr>
        <w:t xml:space="preserve">The Arizona Constitution commands that the legislative, executive, and judicial departments “shall be separate and distinct, and no one of such departments shall exercise the powers properly belonging to either of the others.” </w:t>
      </w:r>
      <w:hyperlink r:id="rId9" w:history="1">
        <w:proofErr w:type="gramStart"/>
        <w:r w:rsidRPr="00C06D28">
          <w:rPr>
            <w:rStyle w:val="Hyperlink"/>
            <w:rFonts w:ascii="Times New Roman" w:hAnsi="Times New Roman" w:cs="Times New Roman"/>
            <w:color w:val="auto"/>
            <w:sz w:val="28"/>
            <w:szCs w:val="28"/>
          </w:rPr>
          <w:t>Ariz. Const. art.</w:t>
        </w:r>
        <w:proofErr w:type="gramEnd"/>
        <w:r w:rsidRPr="00C06D28">
          <w:rPr>
            <w:rStyle w:val="Hyperlink"/>
            <w:rFonts w:ascii="Times New Roman" w:hAnsi="Times New Roman" w:cs="Times New Roman"/>
            <w:color w:val="auto"/>
            <w:sz w:val="28"/>
            <w:szCs w:val="28"/>
          </w:rPr>
          <w:t xml:space="preserve"> 3</w:t>
        </w:r>
      </w:hyperlink>
      <w:r w:rsidRPr="00C06D28">
        <w:rPr>
          <w:rFonts w:ascii="Times New Roman" w:hAnsi="Times New Roman" w:cs="Times New Roman"/>
          <w:color w:val="auto"/>
          <w:sz w:val="28"/>
          <w:szCs w:val="28"/>
        </w:rPr>
        <w:t>.</w:t>
      </w:r>
      <w:r w:rsidRPr="00C06D28">
        <w:rPr>
          <w:rFonts w:ascii="Times New Roman" w:eastAsia="Times New Roman" w:hAnsi="Times New Roman" w:cs="Times New Roman"/>
          <w:color w:val="auto"/>
          <w:sz w:val="28"/>
          <w:szCs w:val="28"/>
        </w:rPr>
        <w:t xml:space="preserve">  </w:t>
      </w:r>
      <w:r w:rsidR="00D11E58" w:rsidRPr="00C06D28">
        <w:rPr>
          <w:rFonts w:ascii="Times New Roman" w:eastAsia="Times New Roman" w:hAnsi="Times New Roman" w:cs="Times New Roman"/>
          <w:color w:val="auto"/>
          <w:sz w:val="28"/>
          <w:szCs w:val="28"/>
        </w:rPr>
        <w:t xml:space="preserve">The Arizona Constitution vests the authority to establish procedural rules in criminal cases with the Arizona Supreme Court.  See, Ariz. Const. art. </w:t>
      </w:r>
      <w:proofErr w:type="gramStart"/>
      <w:r w:rsidR="00D11E58" w:rsidRPr="00C06D28">
        <w:rPr>
          <w:rFonts w:ascii="Times New Roman" w:eastAsia="Times New Roman" w:hAnsi="Times New Roman" w:cs="Times New Roman"/>
          <w:color w:val="auto"/>
          <w:sz w:val="28"/>
          <w:szCs w:val="28"/>
        </w:rPr>
        <w:t>VI § 5.</w:t>
      </w:r>
      <w:proofErr w:type="gramEnd"/>
      <w:r w:rsidR="00D11E58" w:rsidRPr="00C06D28">
        <w:rPr>
          <w:rFonts w:ascii="Times New Roman" w:eastAsia="Times New Roman" w:hAnsi="Times New Roman" w:cs="Times New Roman"/>
          <w:color w:val="auto"/>
          <w:sz w:val="28"/>
          <w:szCs w:val="28"/>
        </w:rPr>
        <w:t xml:space="preserve"> </w:t>
      </w:r>
      <w:r w:rsidR="00266C19" w:rsidRPr="00C06D28">
        <w:rPr>
          <w:rFonts w:ascii="Times New Roman" w:eastAsia="Times New Roman" w:hAnsi="Times New Roman" w:cs="Times New Roman"/>
          <w:color w:val="auto"/>
          <w:sz w:val="28"/>
          <w:szCs w:val="28"/>
        </w:rPr>
        <w:t>While the Arizona Supreme Court has previously stated that it alone possesses the exclusive authority to establish procedural rules for Arizona courts, the legislature may pass</w:t>
      </w:r>
      <w:r w:rsidR="0033714A">
        <w:rPr>
          <w:rFonts w:ascii="Times New Roman" w:eastAsia="Times New Roman" w:hAnsi="Times New Roman" w:cs="Times New Roman"/>
          <w:color w:val="auto"/>
          <w:sz w:val="28"/>
          <w:szCs w:val="28"/>
        </w:rPr>
        <w:t xml:space="preserve"> a</w:t>
      </w:r>
      <w:r w:rsidR="00266C19" w:rsidRPr="00C06D28">
        <w:rPr>
          <w:rFonts w:ascii="Times New Roman" w:eastAsia="Times New Roman" w:hAnsi="Times New Roman" w:cs="Times New Roman"/>
          <w:color w:val="auto"/>
          <w:sz w:val="28"/>
          <w:szCs w:val="28"/>
        </w:rPr>
        <w:t xml:space="preserve"> statute concern</w:t>
      </w:r>
      <w:r w:rsidR="0033714A">
        <w:rPr>
          <w:rFonts w:ascii="Times New Roman" w:eastAsia="Times New Roman" w:hAnsi="Times New Roman" w:cs="Times New Roman"/>
          <w:color w:val="auto"/>
          <w:sz w:val="28"/>
          <w:szCs w:val="28"/>
        </w:rPr>
        <w:t>ing</w:t>
      </w:r>
      <w:r w:rsidR="00266C19" w:rsidRPr="00C06D28">
        <w:rPr>
          <w:rFonts w:ascii="Times New Roman" w:eastAsia="Times New Roman" w:hAnsi="Times New Roman" w:cs="Times New Roman"/>
          <w:color w:val="auto"/>
          <w:sz w:val="28"/>
          <w:szCs w:val="28"/>
        </w:rPr>
        <w:t xml:space="preserve"> court procedural rules so long as the statute does not conflict with the rules established by the Arizona Supreme Court</w:t>
      </w:r>
      <w:r w:rsidR="00347974">
        <w:rPr>
          <w:rFonts w:ascii="Times New Roman" w:eastAsia="Times New Roman" w:hAnsi="Times New Roman" w:cs="Times New Roman"/>
          <w:color w:val="auto"/>
          <w:sz w:val="28"/>
          <w:szCs w:val="28"/>
        </w:rPr>
        <w:t>;</w:t>
      </w:r>
      <w:r w:rsidR="0033714A">
        <w:rPr>
          <w:rFonts w:ascii="Times New Roman" w:eastAsia="Times New Roman" w:hAnsi="Times New Roman" w:cs="Times New Roman"/>
          <w:color w:val="auto"/>
          <w:sz w:val="28"/>
          <w:szCs w:val="28"/>
        </w:rPr>
        <w:t xml:space="preserve"> </w:t>
      </w:r>
      <w:r w:rsidR="00266C19" w:rsidRPr="00C06D28">
        <w:rPr>
          <w:rFonts w:ascii="Times New Roman" w:eastAsia="Times New Roman" w:hAnsi="Times New Roman" w:cs="Times New Roman"/>
          <w:color w:val="auto"/>
          <w:sz w:val="28"/>
          <w:szCs w:val="28"/>
        </w:rPr>
        <w:t xml:space="preserve">in the event that </w:t>
      </w:r>
      <w:r w:rsidR="00266C19" w:rsidRPr="00C06D28">
        <w:rPr>
          <w:rFonts w:ascii="Times New Roman" w:eastAsia="Times New Roman" w:hAnsi="Times New Roman" w:cs="Times New Roman"/>
          <w:color w:val="auto"/>
          <w:sz w:val="28"/>
          <w:szCs w:val="28"/>
        </w:rPr>
        <w:lastRenderedPageBreak/>
        <w:t xml:space="preserve">a statute conflicts with a rule, the rule shall prevail. </w:t>
      </w:r>
      <w:proofErr w:type="spellStart"/>
      <w:proofErr w:type="gramStart"/>
      <w:r w:rsidR="00266C19" w:rsidRPr="00C06D28">
        <w:rPr>
          <w:rFonts w:ascii="Times New Roman" w:eastAsia="Times New Roman" w:hAnsi="Times New Roman" w:cs="Times New Roman"/>
          <w:color w:val="auto"/>
          <w:sz w:val="28"/>
          <w:szCs w:val="28"/>
          <w:u w:val="single"/>
        </w:rPr>
        <w:t>Seisinger</w:t>
      </w:r>
      <w:proofErr w:type="spellEnd"/>
      <w:r w:rsidR="00266C19" w:rsidRPr="00C06D28">
        <w:rPr>
          <w:rFonts w:ascii="Times New Roman" w:eastAsia="Times New Roman" w:hAnsi="Times New Roman" w:cs="Times New Roman"/>
          <w:color w:val="auto"/>
          <w:sz w:val="28"/>
          <w:szCs w:val="28"/>
          <w:u w:val="single"/>
        </w:rPr>
        <w:t xml:space="preserve"> v. Siebel</w:t>
      </w:r>
      <w:r w:rsidR="00266C19" w:rsidRPr="00C06D28">
        <w:rPr>
          <w:rFonts w:ascii="Times New Roman" w:eastAsia="Times New Roman" w:hAnsi="Times New Roman" w:cs="Times New Roman"/>
          <w:color w:val="auto"/>
          <w:sz w:val="28"/>
          <w:szCs w:val="28"/>
        </w:rPr>
        <w:t>, 220 Ariz. 85, 89, 203 P.3d 483, 487 (2009).</w:t>
      </w:r>
      <w:proofErr w:type="gramEnd"/>
    </w:p>
    <w:p w:rsidR="00266C19" w:rsidRPr="00C06D28" w:rsidRDefault="00266C19" w:rsidP="00C06D28">
      <w:pPr>
        <w:spacing w:line="480" w:lineRule="auto"/>
        <w:jc w:val="both"/>
        <w:rPr>
          <w:rFonts w:ascii="Times New Roman" w:eastAsia="Times New Roman" w:hAnsi="Times New Roman" w:cs="Times New Roman"/>
          <w:color w:val="auto"/>
          <w:sz w:val="28"/>
          <w:szCs w:val="28"/>
        </w:rPr>
      </w:pPr>
      <w:r w:rsidRPr="00C06D28">
        <w:rPr>
          <w:rFonts w:ascii="Times New Roman" w:eastAsia="Times New Roman" w:hAnsi="Times New Roman" w:cs="Times New Roman"/>
          <w:color w:val="auto"/>
          <w:sz w:val="28"/>
          <w:szCs w:val="28"/>
        </w:rPr>
        <w:tab/>
      </w:r>
      <w:r w:rsidR="0033714A">
        <w:rPr>
          <w:rFonts w:ascii="Times New Roman" w:eastAsia="Times New Roman" w:hAnsi="Times New Roman" w:cs="Times New Roman"/>
          <w:color w:val="auto"/>
          <w:sz w:val="28"/>
          <w:szCs w:val="28"/>
        </w:rPr>
        <w:t>As recently as March 26, 2014, t</w:t>
      </w:r>
      <w:r w:rsidRPr="00C06D28">
        <w:rPr>
          <w:rFonts w:ascii="Times New Roman" w:eastAsia="Times New Roman" w:hAnsi="Times New Roman" w:cs="Times New Roman"/>
          <w:color w:val="auto"/>
          <w:sz w:val="28"/>
          <w:szCs w:val="28"/>
        </w:rPr>
        <w:t>he Arizona Supreme Court interpreted A.R.S. § 13-</w:t>
      </w:r>
      <w:r w:rsidR="00347974">
        <w:rPr>
          <w:rFonts w:ascii="Times New Roman" w:eastAsia="Times New Roman" w:hAnsi="Times New Roman" w:cs="Times New Roman"/>
          <w:color w:val="auto"/>
          <w:sz w:val="28"/>
          <w:szCs w:val="28"/>
        </w:rPr>
        <w:t>4434(</w:t>
      </w:r>
      <w:r w:rsidRPr="00C06D28">
        <w:rPr>
          <w:rFonts w:ascii="Times New Roman" w:eastAsia="Times New Roman" w:hAnsi="Times New Roman" w:cs="Times New Roman"/>
          <w:color w:val="auto"/>
          <w:sz w:val="28"/>
          <w:szCs w:val="28"/>
        </w:rPr>
        <w:t xml:space="preserve">B) in the context of appellate litigation concerning </w:t>
      </w:r>
      <w:r w:rsidR="00347974">
        <w:rPr>
          <w:rFonts w:ascii="Times New Roman" w:eastAsia="Times New Roman" w:hAnsi="Times New Roman" w:cs="Times New Roman"/>
          <w:color w:val="auto"/>
          <w:sz w:val="28"/>
          <w:szCs w:val="28"/>
        </w:rPr>
        <w:t>a prosecuting agency’s</w:t>
      </w:r>
      <w:r w:rsidRPr="00C06D28">
        <w:rPr>
          <w:rFonts w:ascii="Times New Roman" w:eastAsia="Times New Roman" w:hAnsi="Times New Roman" w:cs="Times New Roman"/>
          <w:color w:val="auto"/>
          <w:sz w:val="28"/>
          <w:szCs w:val="28"/>
        </w:rPr>
        <w:t xml:space="preserve"> unilateral redaction of date of birth information in discovery provided to defendants in criminal litigation.  </w:t>
      </w:r>
      <w:r w:rsidRPr="00861FFD">
        <w:rPr>
          <w:rFonts w:ascii="Times New Roman" w:eastAsia="Times New Roman" w:hAnsi="Times New Roman" w:cs="Times New Roman"/>
          <w:i/>
          <w:color w:val="auto"/>
          <w:sz w:val="28"/>
          <w:szCs w:val="28"/>
        </w:rPr>
        <w:t>See</w:t>
      </w:r>
      <w:r w:rsidRPr="00C06D28">
        <w:rPr>
          <w:rFonts w:ascii="Times New Roman" w:eastAsia="Times New Roman" w:hAnsi="Times New Roman" w:cs="Times New Roman"/>
          <w:color w:val="auto"/>
          <w:sz w:val="28"/>
          <w:szCs w:val="28"/>
        </w:rPr>
        <w:t>,</w:t>
      </w:r>
      <w:r w:rsidRPr="00C06D28">
        <w:rPr>
          <w:rFonts w:ascii="Times New Roman" w:eastAsia="Times New Roman" w:hAnsi="Times New Roman" w:cs="Times New Roman"/>
          <w:color w:val="auto"/>
          <w:sz w:val="28"/>
          <w:szCs w:val="28"/>
          <w:u w:val="single"/>
        </w:rPr>
        <w:t xml:space="preserve"> State ex rel. Montgomery v. Chavez ex rel. County of Maricopa</w:t>
      </w:r>
      <w:r w:rsidRPr="00C06D28">
        <w:rPr>
          <w:rFonts w:ascii="Times New Roman" w:eastAsia="Times New Roman" w:hAnsi="Times New Roman" w:cs="Times New Roman"/>
          <w:color w:val="auto"/>
          <w:sz w:val="28"/>
          <w:szCs w:val="28"/>
        </w:rPr>
        <w:t>, 234 Ariz. 255, 258, 321 P.3d 420, 423 (2014) (</w:t>
      </w:r>
      <w:proofErr w:type="spellStart"/>
      <w:r w:rsidRPr="00C06D28">
        <w:rPr>
          <w:rFonts w:ascii="Times New Roman" w:eastAsia="Times New Roman" w:hAnsi="Times New Roman" w:cs="Times New Roman"/>
          <w:color w:val="auto"/>
          <w:sz w:val="28"/>
          <w:szCs w:val="28"/>
        </w:rPr>
        <w:t>herineafter</w:t>
      </w:r>
      <w:proofErr w:type="spellEnd"/>
      <w:r w:rsidRPr="00C06D28">
        <w:rPr>
          <w:rFonts w:ascii="Times New Roman" w:eastAsia="Times New Roman" w:hAnsi="Times New Roman" w:cs="Times New Roman"/>
          <w:color w:val="auto"/>
          <w:sz w:val="28"/>
          <w:szCs w:val="28"/>
        </w:rPr>
        <w:t>, “</w:t>
      </w:r>
      <w:r w:rsidRPr="00C06D28">
        <w:rPr>
          <w:rFonts w:ascii="Times New Roman" w:eastAsia="Times New Roman" w:hAnsi="Times New Roman" w:cs="Times New Roman"/>
          <w:color w:val="auto"/>
          <w:sz w:val="28"/>
          <w:szCs w:val="28"/>
          <w:u w:val="single"/>
        </w:rPr>
        <w:t>Chavez</w:t>
      </w:r>
      <w:r w:rsidRPr="00C06D28">
        <w:rPr>
          <w:rFonts w:ascii="Times New Roman" w:eastAsia="Times New Roman" w:hAnsi="Times New Roman" w:cs="Times New Roman"/>
          <w:color w:val="auto"/>
          <w:sz w:val="28"/>
          <w:szCs w:val="28"/>
        </w:rPr>
        <w:t>”</w:t>
      </w:r>
      <w:r w:rsidR="00744343" w:rsidRPr="00C06D28">
        <w:rPr>
          <w:rFonts w:ascii="Times New Roman" w:eastAsia="Times New Roman" w:hAnsi="Times New Roman" w:cs="Times New Roman"/>
          <w:color w:val="auto"/>
          <w:sz w:val="28"/>
          <w:szCs w:val="28"/>
        </w:rPr>
        <w:t xml:space="preserve">).  In </w:t>
      </w:r>
      <w:r w:rsidR="00744343" w:rsidRPr="0033714A">
        <w:rPr>
          <w:rFonts w:ascii="Times New Roman" w:eastAsia="Times New Roman" w:hAnsi="Times New Roman" w:cs="Times New Roman"/>
          <w:color w:val="auto"/>
          <w:sz w:val="28"/>
          <w:szCs w:val="28"/>
          <w:u w:val="single"/>
        </w:rPr>
        <w:t>Chavez</w:t>
      </w:r>
      <w:r w:rsidR="00744343" w:rsidRPr="00C06D28">
        <w:rPr>
          <w:rFonts w:ascii="Times New Roman" w:eastAsia="Times New Roman" w:hAnsi="Times New Roman" w:cs="Times New Roman"/>
          <w:color w:val="auto"/>
          <w:sz w:val="28"/>
          <w:szCs w:val="28"/>
        </w:rPr>
        <w:t xml:space="preserve">, the Arizona Supreme Court stated:  </w:t>
      </w:r>
    </w:p>
    <w:p w:rsidR="00744343" w:rsidRPr="0033714A" w:rsidRDefault="00744343" w:rsidP="00861FFD">
      <w:pPr>
        <w:tabs>
          <w:tab w:val="left" w:pos="8460"/>
        </w:tabs>
        <w:spacing w:after="240" w:line="240" w:lineRule="auto"/>
        <w:ind w:left="720" w:right="720"/>
        <w:jc w:val="both"/>
        <w:rPr>
          <w:rFonts w:ascii="Times New Roman" w:eastAsia="Times New Roman" w:hAnsi="Times New Roman" w:cs="Times New Roman"/>
          <w:b/>
          <w:color w:val="auto"/>
          <w:sz w:val="28"/>
          <w:szCs w:val="28"/>
        </w:rPr>
      </w:pPr>
      <w:r w:rsidRPr="00C06D28">
        <w:rPr>
          <w:rFonts w:ascii="Times New Roman" w:eastAsia="Times New Roman" w:hAnsi="Times New Roman" w:cs="Times New Roman"/>
          <w:color w:val="auto"/>
          <w:sz w:val="28"/>
          <w:szCs w:val="28"/>
        </w:rPr>
        <w:t xml:space="preserve">Essentially, the State urges us to rewrite Rule 39(b) and § 13–4434 to better shield certain victim-related information. That argument, however, should be brought through different channels. </w:t>
      </w:r>
      <w:r w:rsidRPr="0033714A">
        <w:rPr>
          <w:rFonts w:ascii="Times New Roman" w:eastAsia="Times New Roman" w:hAnsi="Times New Roman" w:cs="Times New Roman"/>
          <w:b/>
          <w:color w:val="auto"/>
          <w:sz w:val="28"/>
          <w:szCs w:val="28"/>
        </w:rPr>
        <w:t>Whether the disclosure requirements should be revised in light of technological advances is better addressed through a rule change or statutory amendment, either of which would allow broad input and consideration of the policy implications.</w:t>
      </w:r>
    </w:p>
    <w:p w:rsidR="00744343" w:rsidRPr="00C06D28" w:rsidRDefault="00744343" w:rsidP="00C06D28">
      <w:pPr>
        <w:spacing w:line="480" w:lineRule="auto"/>
        <w:rPr>
          <w:rFonts w:ascii="Times New Roman" w:eastAsia="Times New Roman" w:hAnsi="Times New Roman" w:cs="Times New Roman"/>
          <w:color w:val="auto"/>
          <w:sz w:val="28"/>
          <w:szCs w:val="28"/>
        </w:rPr>
      </w:pPr>
      <w:r w:rsidRPr="00C06D28">
        <w:rPr>
          <w:rFonts w:ascii="Times New Roman" w:eastAsia="Times New Roman" w:hAnsi="Times New Roman" w:cs="Times New Roman"/>
          <w:color w:val="auto"/>
          <w:sz w:val="28"/>
          <w:szCs w:val="28"/>
          <w:u w:val="single"/>
        </w:rPr>
        <w:t>State ex rel. Montgomery v. Chavez ex rel. County of Maricopa</w:t>
      </w:r>
      <w:r w:rsidRPr="00C06D28">
        <w:rPr>
          <w:rFonts w:ascii="Times New Roman" w:eastAsia="Times New Roman" w:hAnsi="Times New Roman" w:cs="Times New Roman"/>
          <w:color w:val="auto"/>
          <w:sz w:val="28"/>
          <w:szCs w:val="28"/>
        </w:rPr>
        <w:t>, 234 Ariz. 255, 258, 321 P.3d 420, 423 (2014)</w:t>
      </w:r>
      <w:r w:rsidR="0033714A">
        <w:rPr>
          <w:rFonts w:ascii="Times New Roman" w:eastAsia="Times New Roman" w:hAnsi="Times New Roman" w:cs="Times New Roman"/>
          <w:color w:val="auto"/>
          <w:sz w:val="28"/>
          <w:szCs w:val="28"/>
        </w:rPr>
        <w:t xml:space="preserve"> (emphasis added).</w:t>
      </w:r>
    </w:p>
    <w:p w:rsidR="00744343" w:rsidRPr="00C06D28" w:rsidRDefault="00744343" w:rsidP="0033714A">
      <w:pPr>
        <w:spacing w:line="480" w:lineRule="auto"/>
        <w:ind w:firstLine="720"/>
        <w:jc w:val="both"/>
        <w:rPr>
          <w:rFonts w:ascii="Times New Roman" w:eastAsia="Times New Roman" w:hAnsi="Times New Roman" w:cs="Times New Roman"/>
          <w:color w:val="auto"/>
          <w:sz w:val="28"/>
          <w:szCs w:val="28"/>
        </w:rPr>
      </w:pPr>
      <w:r w:rsidRPr="00C06D28">
        <w:rPr>
          <w:rFonts w:ascii="Times New Roman" w:eastAsia="Times New Roman" w:hAnsi="Times New Roman" w:cs="Times New Roman"/>
          <w:color w:val="auto"/>
          <w:sz w:val="28"/>
          <w:szCs w:val="28"/>
        </w:rPr>
        <w:t>While the Arizona Legislature did subsequently act to amend the statute, it does not appear that the amendment to the statute was made through a process that allowed for “</w:t>
      </w:r>
      <w:r w:rsidR="00861FFD" w:rsidRPr="00C06D28">
        <w:rPr>
          <w:rFonts w:ascii="Times New Roman" w:eastAsia="Times New Roman" w:hAnsi="Times New Roman" w:cs="Times New Roman"/>
          <w:color w:val="auto"/>
          <w:sz w:val="28"/>
          <w:szCs w:val="28"/>
        </w:rPr>
        <w:t>broad</w:t>
      </w:r>
      <w:r w:rsidRPr="00C06D28">
        <w:rPr>
          <w:rFonts w:ascii="Times New Roman" w:eastAsia="Times New Roman" w:hAnsi="Times New Roman" w:cs="Times New Roman"/>
          <w:color w:val="auto"/>
          <w:sz w:val="28"/>
          <w:szCs w:val="28"/>
        </w:rPr>
        <w:t xml:space="preserve"> input and consideration of the policy implications” of the amendment.  The Arizona Legislature passed HB 2454, which was titled as a bill</w:t>
      </w:r>
      <w:r w:rsidR="0033714A">
        <w:rPr>
          <w:rFonts w:ascii="Times New Roman" w:eastAsia="Times New Roman" w:hAnsi="Times New Roman" w:cs="Times New Roman"/>
          <w:color w:val="auto"/>
          <w:sz w:val="28"/>
          <w:szCs w:val="28"/>
        </w:rPr>
        <w:t xml:space="preserve"> “Relating to Human Trafficking,</w:t>
      </w:r>
      <w:r w:rsidRPr="00C06D28">
        <w:rPr>
          <w:rFonts w:ascii="Times New Roman" w:eastAsia="Times New Roman" w:hAnsi="Times New Roman" w:cs="Times New Roman"/>
          <w:color w:val="auto"/>
          <w:sz w:val="28"/>
          <w:szCs w:val="28"/>
        </w:rPr>
        <w:t xml:space="preserve">” </w:t>
      </w:r>
      <w:r w:rsidR="0033714A">
        <w:rPr>
          <w:rFonts w:ascii="Times New Roman" w:eastAsia="Times New Roman" w:hAnsi="Times New Roman" w:cs="Times New Roman"/>
          <w:color w:val="auto"/>
          <w:sz w:val="28"/>
          <w:szCs w:val="28"/>
        </w:rPr>
        <w:t xml:space="preserve">on April 16, 2014. </w:t>
      </w:r>
      <w:r w:rsidRPr="00C06D28">
        <w:rPr>
          <w:rFonts w:ascii="Times New Roman" w:eastAsia="Times New Roman" w:hAnsi="Times New Roman" w:cs="Times New Roman"/>
          <w:color w:val="auto"/>
          <w:sz w:val="28"/>
          <w:szCs w:val="28"/>
        </w:rPr>
        <w:t xml:space="preserve"> See, H.B. 2454, </w:t>
      </w:r>
      <w:proofErr w:type="gramStart"/>
      <w:r w:rsidRPr="00C06D28">
        <w:rPr>
          <w:rFonts w:ascii="Times New Roman" w:eastAsia="Times New Roman" w:hAnsi="Times New Roman" w:cs="Times New Roman"/>
          <w:color w:val="auto"/>
          <w:sz w:val="28"/>
          <w:szCs w:val="28"/>
        </w:rPr>
        <w:t>51</w:t>
      </w:r>
      <w:r w:rsidRPr="00C06D28">
        <w:rPr>
          <w:rFonts w:ascii="Times New Roman" w:eastAsia="Times New Roman" w:hAnsi="Times New Roman" w:cs="Times New Roman"/>
          <w:color w:val="auto"/>
          <w:sz w:val="28"/>
          <w:szCs w:val="28"/>
          <w:vertAlign w:val="superscript"/>
        </w:rPr>
        <w:t>st</w:t>
      </w:r>
      <w:r w:rsidRPr="00C06D28">
        <w:rPr>
          <w:rFonts w:ascii="Times New Roman" w:eastAsia="Times New Roman" w:hAnsi="Times New Roman" w:cs="Times New Roman"/>
          <w:color w:val="auto"/>
          <w:sz w:val="28"/>
          <w:szCs w:val="28"/>
        </w:rPr>
        <w:t xml:space="preserve">  Leg</w:t>
      </w:r>
      <w:proofErr w:type="gramEnd"/>
      <w:r w:rsidRPr="00C06D28">
        <w:rPr>
          <w:rFonts w:ascii="Times New Roman" w:eastAsia="Times New Roman" w:hAnsi="Times New Roman" w:cs="Times New Roman"/>
          <w:color w:val="auto"/>
          <w:sz w:val="28"/>
          <w:szCs w:val="28"/>
        </w:rPr>
        <w:t xml:space="preserve">., 2d Sess. (2014).  </w:t>
      </w:r>
      <w:r w:rsidR="0033714A">
        <w:rPr>
          <w:rFonts w:ascii="Times New Roman" w:eastAsia="Times New Roman" w:hAnsi="Times New Roman" w:cs="Times New Roman"/>
          <w:color w:val="auto"/>
          <w:sz w:val="28"/>
          <w:szCs w:val="28"/>
        </w:rPr>
        <w:t xml:space="preserve">The Governor signed the bill on April 22, 2014. </w:t>
      </w:r>
      <w:r w:rsidR="006D3378">
        <w:rPr>
          <w:rFonts w:ascii="Times New Roman" w:eastAsia="Times New Roman" w:hAnsi="Times New Roman" w:cs="Times New Roman"/>
          <w:color w:val="auto"/>
          <w:sz w:val="28"/>
          <w:szCs w:val="28"/>
        </w:rPr>
        <w:t>T</w:t>
      </w:r>
      <w:r w:rsidRPr="00C06D28">
        <w:rPr>
          <w:rFonts w:ascii="Times New Roman" w:eastAsia="Times New Roman" w:hAnsi="Times New Roman" w:cs="Times New Roman"/>
          <w:color w:val="auto"/>
          <w:sz w:val="28"/>
          <w:szCs w:val="28"/>
        </w:rPr>
        <w:t xml:space="preserve">here appears to have been little to no time for the “broad input and consideration of the policy implications” </w:t>
      </w:r>
      <w:r w:rsidR="00F950EF" w:rsidRPr="00C06D28">
        <w:rPr>
          <w:rFonts w:ascii="Times New Roman" w:eastAsia="Times New Roman" w:hAnsi="Times New Roman" w:cs="Times New Roman"/>
          <w:color w:val="auto"/>
          <w:sz w:val="28"/>
          <w:szCs w:val="28"/>
        </w:rPr>
        <w:t>regarding the amendment to A.R.S. § 13-</w:t>
      </w:r>
      <w:r w:rsidR="00347974">
        <w:rPr>
          <w:rFonts w:ascii="Times New Roman" w:eastAsia="Times New Roman" w:hAnsi="Times New Roman" w:cs="Times New Roman"/>
          <w:color w:val="auto"/>
          <w:sz w:val="28"/>
          <w:szCs w:val="28"/>
        </w:rPr>
        <w:t>4434</w:t>
      </w:r>
      <w:r w:rsidR="00F950EF" w:rsidRPr="00C06D28">
        <w:rPr>
          <w:rFonts w:ascii="Times New Roman" w:eastAsia="Times New Roman" w:hAnsi="Times New Roman" w:cs="Times New Roman"/>
          <w:color w:val="auto"/>
          <w:sz w:val="28"/>
          <w:szCs w:val="28"/>
        </w:rPr>
        <w:t xml:space="preserve">. The legislative history suggests that the amendment to the bill was tacked on by the Senate shortly after the Arizona Supreme Court’s decision in </w:t>
      </w:r>
      <w:r w:rsidR="00F950EF" w:rsidRPr="00347974">
        <w:rPr>
          <w:rFonts w:ascii="Times New Roman" w:eastAsia="Times New Roman" w:hAnsi="Times New Roman" w:cs="Times New Roman"/>
          <w:color w:val="auto"/>
          <w:sz w:val="28"/>
          <w:szCs w:val="28"/>
          <w:u w:val="single"/>
        </w:rPr>
        <w:t>Chavez</w:t>
      </w:r>
      <w:r w:rsidR="00F950EF" w:rsidRPr="00C06D28">
        <w:rPr>
          <w:rFonts w:ascii="Times New Roman" w:eastAsia="Times New Roman" w:hAnsi="Times New Roman" w:cs="Times New Roman"/>
          <w:color w:val="auto"/>
          <w:sz w:val="28"/>
          <w:szCs w:val="28"/>
        </w:rPr>
        <w:t xml:space="preserve"> was published on March 26, 2014.  This is demonstrated by copies of the House Summaries and Senate Fact Sheets concerning HB 2454.  As of March 11, 2014, the Senate Fact Sheet contains no reference to amending A.R.S. § 13-</w:t>
      </w:r>
      <w:r w:rsidR="00347974">
        <w:rPr>
          <w:rFonts w:ascii="Times New Roman" w:eastAsia="Times New Roman" w:hAnsi="Times New Roman" w:cs="Times New Roman"/>
          <w:color w:val="auto"/>
          <w:sz w:val="28"/>
          <w:szCs w:val="28"/>
        </w:rPr>
        <w:t>4</w:t>
      </w:r>
      <w:r w:rsidR="00F950EF" w:rsidRPr="00C06D28">
        <w:rPr>
          <w:rFonts w:ascii="Times New Roman" w:eastAsia="Times New Roman" w:hAnsi="Times New Roman" w:cs="Times New Roman"/>
          <w:color w:val="auto"/>
          <w:sz w:val="28"/>
          <w:szCs w:val="28"/>
        </w:rPr>
        <w:t xml:space="preserve">434(B) regarding procedural rules for disclosing the birth dates of alleged victims.  </w:t>
      </w:r>
      <w:r w:rsidR="00F950EF" w:rsidRPr="00347974">
        <w:rPr>
          <w:rFonts w:ascii="Times New Roman" w:eastAsia="Times New Roman" w:hAnsi="Times New Roman" w:cs="Times New Roman"/>
          <w:i/>
          <w:color w:val="auto"/>
          <w:sz w:val="28"/>
          <w:szCs w:val="28"/>
        </w:rPr>
        <w:t>See</w:t>
      </w:r>
      <w:r w:rsidR="00F950EF" w:rsidRPr="00C06D28">
        <w:rPr>
          <w:rFonts w:ascii="Times New Roman" w:eastAsia="Times New Roman" w:hAnsi="Times New Roman" w:cs="Times New Roman"/>
          <w:color w:val="auto"/>
          <w:sz w:val="28"/>
          <w:szCs w:val="28"/>
        </w:rPr>
        <w:t xml:space="preserve">, Senate Fact Sheet: HB 2454, available at </w:t>
      </w:r>
      <w:hyperlink r:id="rId10" w:history="1">
        <w:r w:rsidR="00F950EF" w:rsidRPr="00C06D28">
          <w:rPr>
            <w:rStyle w:val="Hyperlink"/>
            <w:rFonts w:ascii="Times New Roman" w:eastAsia="Times New Roman" w:hAnsi="Times New Roman" w:cs="Times New Roman"/>
            <w:color w:val="auto"/>
            <w:sz w:val="28"/>
            <w:szCs w:val="28"/>
          </w:rPr>
          <w:t>http://www.azleg.gov//FormatDocument.asp?inDoc=/legtext/51leg/2r/summary/s.2454jud_aspassedcommittee.doc.htm&amp;Session_ID=112</w:t>
        </w:r>
      </w:hyperlink>
      <w:r w:rsidR="00F950EF" w:rsidRPr="00C06D28">
        <w:rPr>
          <w:rFonts w:ascii="Times New Roman" w:eastAsia="Times New Roman" w:hAnsi="Times New Roman" w:cs="Times New Roman"/>
          <w:color w:val="auto"/>
          <w:sz w:val="28"/>
          <w:szCs w:val="28"/>
        </w:rPr>
        <w:t xml:space="preserve"> (last accessed Sept. 24, 2014). Simi</w:t>
      </w:r>
      <w:r w:rsidR="00861FFD">
        <w:rPr>
          <w:rFonts w:ascii="Times New Roman" w:eastAsia="Times New Roman" w:hAnsi="Times New Roman" w:cs="Times New Roman"/>
          <w:color w:val="auto"/>
          <w:sz w:val="28"/>
          <w:szCs w:val="28"/>
        </w:rPr>
        <w:t xml:space="preserve">larly, </w:t>
      </w:r>
      <w:r w:rsidR="00F950EF" w:rsidRPr="00C06D28">
        <w:rPr>
          <w:rFonts w:ascii="Times New Roman" w:eastAsia="Times New Roman" w:hAnsi="Times New Roman" w:cs="Times New Roman"/>
          <w:color w:val="auto"/>
          <w:sz w:val="28"/>
          <w:szCs w:val="28"/>
        </w:rPr>
        <w:t>as of February 28, 2014, no mention of amending A.R.S. § 13-</w:t>
      </w:r>
      <w:r w:rsidR="00347974">
        <w:rPr>
          <w:rFonts w:ascii="Times New Roman" w:eastAsia="Times New Roman" w:hAnsi="Times New Roman" w:cs="Times New Roman"/>
          <w:color w:val="auto"/>
          <w:sz w:val="28"/>
          <w:szCs w:val="28"/>
        </w:rPr>
        <w:t>4</w:t>
      </w:r>
      <w:r w:rsidR="00F950EF" w:rsidRPr="00C06D28">
        <w:rPr>
          <w:rFonts w:ascii="Times New Roman" w:eastAsia="Times New Roman" w:hAnsi="Times New Roman" w:cs="Times New Roman"/>
          <w:color w:val="auto"/>
          <w:sz w:val="28"/>
          <w:szCs w:val="28"/>
        </w:rPr>
        <w:t xml:space="preserve">434(B) </w:t>
      </w:r>
      <w:r w:rsidR="00861FFD">
        <w:rPr>
          <w:rFonts w:ascii="Times New Roman" w:eastAsia="Times New Roman" w:hAnsi="Times New Roman" w:cs="Times New Roman"/>
          <w:color w:val="auto"/>
          <w:sz w:val="28"/>
          <w:szCs w:val="28"/>
        </w:rPr>
        <w:t>was</w:t>
      </w:r>
      <w:r w:rsidR="00347974">
        <w:rPr>
          <w:rFonts w:ascii="Times New Roman" w:eastAsia="Times New Roman" w:hAnsi="Times New Roman" w:cs="Times New Roman"/>
          <w:color w:val="auto"/>
          <w:sz w:val="28"/>
          <w:szCs w:val="28"/>
        </w:rPr>
        <w:t xml:space="preserve"> </w:t>
      </w:r>
      <w:r w:rsidR="00F950EF" w:rsidRPr="00C06D28">
        <w:rPr>
          <w:rFonts w:ascii="Times New Roman" w:eastAsia="Times New Roman" w:hAnsi="Times New Roman" w:cs="Times New Roman"/>
          <w:color w:val="auto"/>
          <w:sz w:val="28"/>
          <w:szCs w:val="28"/>
        </w:rPr>
        <w:t xml:space="preserve">present in the House Summary.  </w:t>
      </w:r>
      <w:r w:rsidR="00F950EF" w:rsidRPr="00861FFD">
        <w:rPr>
          <w:rFonts w:ascii="Times New Roman" w:eastAsia="Times New Roman" w:hAnsi="Times New Roman" w:cs="Times New Roman"/>
          <w:i/>
          <w:color w:val="auto"/>
          <w:sz w:val="28"/>
          <w:szCs w:val="28"/>
        </w:rPr>
        <w:t>See</w:t>
      </w:r>
      <w:r w:rsidR="00861FFD">
        <w:rPr>
          <w:rFonts w:ascii="Times New Roman" w:eastAsia="Times New Roman" w:hAnsi="Times New Roman" w:cs="Times New Roman"/>
          <w:color w:val="auto"/>
          <w:sz w:val="28"/>
          <w:szCs w:val="28"/>
        </w:rPr>
        <w:t>,</w:t>
      </w:r>
      <w:r w:rsidR="00F950EF" w:rsidRPr="00C06D28">
        <w:rPr>
          <w:rFonts w:ascii="Times New Roman" w:eastAsia="Times New Roman" w:hAnsi="Times New Roman" w:cs="Times New Roman"/>
          <w:color w:val="auto"/>
          <w:sz w:val="28"/>
          <w:szCs w:val="28"/>
        </w:rPr>
        <w:t xml:space="preserve"> House Summary: HB 2454, available</w:t>
      </w:r>
      <w:r w:rsidR="00861FFD">
        <w:rPr>
          <w:rFonts w:ascii="Times New Roman" w:eastAsia="Times New Roman" w:hAnsi="Times New Roman" w:cs="Times New Roman"/>
          <w:color w:val="auto"/>
          <w:sz w:val="28"/>
          <w:szCs w:val="28"/>
        </w:rPr>
        <w:t xml:space="preserve"> </w:t>
      </w:r>
      <w:r w:rsidR="00F950EF" w:rsidRPr="00C06D28">
        <w:rPr>
          <w:rFonts w:ascii="Times New Roman" w:eastAsia="Times New Roman" w:hAnsi="Times New Roman" w:cs="Times New Roman"/>
          <w:color w:val="auto"/>
          <w:sz w:val="28"/>
          <w:szCs w:val="28"/>
        </w:rPr>
        <w:t xml:space="preserve">at </w:t>
      </w:r>
      <w:hyperlink r:id="rId11" w:history="1">
        <w:r w:rsidR="00F950EF" w:rsidRPr="00C06D28">
          <w:rPr>
            <w:rStyle w:val="Hyperlink"/>
            <w:rFonts w:ascii="Times New Roman" w:eastAsia="Times New Roman" w:hAnsi="Times New Roman" w:cs="Times New Roman"/>
            <w:color w:val="auto"/>
            <w:sz w:val="28"/>
            <w:szCs w:val="28"/>
          </w:rPr>
          <w:t>http://www.azleg.gov//FormatDocument.asp?inDoc=/legtext/51leg/2r/summary/h.hb2454_02-27-14_houseengrossed.doc.htm&amp;Session_ID=112</w:t>
        </w:r>
      </w:hyperlink>
      <w:r w:rsidR="00F950EF" w:rsidRPr="00C06D28">
        <w:rPr>
          <w:rFonts w:ascii="Times New Roman" w:eastAsia="Times New Roman" w:hAnsi="Times New Roman" w:cs="Times New Roman"/>
          <w:color w:val="auto"/>
          <w:sz w:val="28"/>
          <w:szCs w:val="28"/>
        </w:rPr>
        <w:t xml:space="preserve"> (last accessed Sept. 24, 2014). </w:t>
      </w:r>
    </w:p>
    <w:p w:rsidR="00CA6DD8" w:rsidRPr="00C06D28" w:rsidRDefault="00F950EF" w:rsidP="00861FFD">
      <w:pPr>
        <w:spacing w:line="480" w:lineRule="auto"/>
        <w:jc w:val="both"/>
        <w:rPr>
          <w:rFonts w:ascii="Times New Roman" w:eastAsia="Times New Roman" w:hAnsi="Times New Roman" w:cs="Times New Roman"/>
          <w:color w:val="auto"/>
          <w:sz w:val="28"/>
          <w:szCs w:val="28"/>
        </w:rPr>
      </w:pPr>
      <w:r w:rsidRPr="00C06D28">
        <w:rPr>
          <w:rFonts w:ascii="Times New Roman" w:eastAsia="Times New Roman" w:hAnsi="Times New Roman" w:cs="Times New Roman"/>
          <w:color w:val="auto"/>
          <w:sz w:val="28"/>
          <w:szCs w:val="28"/>
        </w:rPr>
        <w:tab/>
        <w:t xml:space="preserve">However, the Arizona Senate acted quickly after the </w:t>
      </w:r>
      <w:r w:rsidRPr="00C06D28">
        <w:rPr>
          <w:rFonts w:ascii="Times New Roman" w:eastAsia="Times New Roman" w:hAnsi="Times New Roman" w:cs="Times New Roman"/>
          <w:color w:val="auto"/>
          <w:sz w:val="28"/>
          <w:szCs w:val="28"/>
          <w:u w:val="single"/>
        </w:rPr>
        <w:t xml:space="preserve">Chavez </w:t>
      </w:r>
      <w:r w:rsidRPr="00C06D28">
        <w:rPr>
          <w:rFonts w:ascii="Times New Roman" w:eastAsia="Times New Roman" w:hAnsi="Times New Roman" w:cs="Times New Roman"/>
          <w:color w:val="auto"/>
          <w:sz w:val="28"/>
          <w:szCs w:val="28"/>
        </w:rPr>
        <w:t>decision was issued by tacking on a “Miscellaneous</w:t>
      </w:r>
      <w:r w:rsidR="00CA6DD8" w:rsidRPr="00C06D28">
        <w:rPr>
          <w:rFonts w:ascii="Times New Roman" w:eastAsia="Times New Roman" w:hAnsi="Times New Roman" w:cs="Times New Roman"/>
          <w:color w:val="auto"/>
          <w:sz w:val="28"/>
          <w:szCs w:val="28"/>
        </w:rPr>
        <w:t xml:space="preserve"> Amendment” that was reflected in the April 15,</w:t>
      </w:r>
      <w:r w:rsidR="00861FFD">
        <w:rPr>
          <w:rFonts w:ascii="Times New Roman" w:eastAsia="Times New Roman" w:hAnsi="Times New Roman" w:cs="Times New Roman"/>
          <w:color w:val="auto"/>
          <w:sz w:val="28"/>
          <w:szCs w:val="28"/>
        </w:rPr>
        <w:t xml:space="preserve"> 2014 House Summary as follows</w:t>
      </w:r>
      <w:r w:rsidR="00CA6DD8" w:rsidRPr="00C06D28">
        <w:rPr>
          <w:rFonts w:ascii="Times New Roman" w:eastAsia="Times New Roman" w:hAnsi="Times New Roman" w:cs="Times New Roman"/>
          <w:color w:val="auto"/>
          <w:sz w:val="28"/>
          <w:szCs w:val="28"/>
        </w:rPr>
        <w:t xml:space="preserve">: </w:t>
      </w:r>
    </w:p>
    <w:p w:rsidR="00CA6DD8" w:rsidRPr="00C06D28" w:rsidRDefault="00CA6DD8" w:rsidP="00861FFD">
      <w:pPr>
        <w:spacing w:line="480" w:lineRule="auto"/>
        <w:ind w:right="720"/>
        <w:jc w:val="both"/>
        <w:rPr>
          <w:rFonts w:ascii="Times New Roman" w:eastAsia="Times New Roman" w:hAnsi="Times New Roman" w:cs="Times New Roman"/>
          <w:color w:val="auto"/>
          <w:sz w:val="28"/>
          <w:szCs w:val="28"/>
        </w:rPr>
      </w:pPr>
    </w:p>
    <w:p w:rsidR="00CA6DD8" w:rsidRPr="00C06D28" w:rsidRDefault="00F950EF" w:rsidP="00861FFD">
      <w:pPr>
        <w:tabs>
          <w:tab w:val="left" w:pos="9270"/>
        </w:tabs>
        <w:spacing w:after="120" w:line="240" w:lineRule="auto"/>
        <w:ind w:left="1440" w:right="720"/>
        <w:jc w:val="both"/>
        <w:rPr>
          <w:rFonts w:ascii="Times New Roman" w:eastAsia="Times New Roman" w:hAnsi="Times New Roman" w:cs="Times New Roman"/>
          <w:color w:val="auto"/>
          <w:sz w:val="28"/>
          <w:szCs w:val="28"/>
        </w:rPr>
      </w:pPr>
      <w:r w:rsidRPr="00C06D28">
        <w:rPr>
          <w:rFonts w:ascii="Times New Roman" w:eastAsia="Times New Roman" w:hAnsi="Times New Roman" w:cs="Times New Roman"/>
          <w:color w:val="auto"/>
          <w:sz w:val="28"/>
          <w:szCs w:val="28"/>
        </w:rPr>
        <w:t xml:space="preserve"> </w:t>
      </w:r>
      <w:r w:rsidR="00CA6DD8" w:rsidRPr="00C06D28">
        <w:rPr>
          <w:rFonts w:ascii="Times New Roman" w:eastAsia="Times New Roman" w:hAnsi="Times New Roman" w:cs="Times New Roman"/>
          <w:color w:val="auto"/>
          <w:sz w:val="28"/>
          <w:szCs w:val="28"/>
        </w:rPr>
        <w:t>        Expand the identifying or locating information that is subject to the victim’s right to privacy.</w:t>
      </w:r>
    </w:p>
    <w:p w:rsidR="00CA6DD8" w:rsidRPr="00C06D28" w:rsidRDefault="00CA6DD8" w:rsidP="00861FFD">
      <w:pPr>
        <w:tabs>
          <w:tab w:val="left" w:pos="9270"/>
        </w:tabs>
        <w:spacing w:after="120" w:line="240" w:lineRule="auto"/>
        <w:ind w:left="1440" w:right="720"/>
        <w:jc w:val="both"/>
        <w:rPr>
          <w:rFonts w:ascii="Times New Roman" w:eastAsia="Times New Roman" w:hAnsi="Times New Roman" w:cs="Times New Roman"/>
          <w:color w:val="auto"/>
          <w:sz w:val="28"/>
          <w:szCs w:val="28"/>
        </w:rPr>
      </w:pPr>
      <w:r w:rsidRPr="00C06D28">
        <w:rPr>
          <w:rFonts w:ascii="Times New Roman" w:eastAsia="Times New Roman" w:hAnsi="Times New Roman" w:cs="Times New Roman"/>
          <w:color w:val="auto"/>
          <w:sz w:val="28"/>
          <w:szCs w:val="28"/>
        </w:rPr>
        <w:t xml:space="preserve">·          Require prosecution agencies to redact this information from records and specifies that the records include discovery disclosed to the defendant. </w:t>
      </w:r>
    </w:p>
    <w:p w:rsidR="00CA6DD8" w:rsidRPr="00C06D28" w:rsidRDefault="00CA6DD8" w:rsidP="00861FFD">
      <w:pPr>
        <w:tabs>
          <w:tab w:val="left" w:pos="9270"/>
        </w:tabs>
        <w:spacing w:after="120" w:line="240" w:lineRule="auto"/>
        <w:ind w:left="1440" w:right="720"/>
        <w:jc w:val="both"/>
        <w:rPr>
          <w:rFonts w:ascii="Times New Roman" w:eastAsia="Times New Roman" w:hAnsi="Times New Roman" w:cs="Times New Roman"/>
          <w:color w:val="auto"/>
          <w:sz w:val="28"/>
          <w:szCs w:val="28"/>
        </w:rPr>
      </w:pPr>
      <w:r w:rsidRPr="00C06D28">
        <w:rPr>
          <w:rFonts w:ascii="Times New Roman" w:eastAsia="Times New Roman" w:hAnsi="Times New Roman" w:cs="Times New Roman"/>
          <w:color w:val="auto"/>
          <w:sz w:val="28"/>
          <w:szCs w:val="28"/>
        </w:rPr>
        <w:t>·          Declare the Legislature’s intent to protect the privacy of crime victims by preventing the disclosure of identifying or locating information in agency records pertaining to the criminal case involving the victim.</w:t>
      </w:r>
    </w:p>
    <w:p w:rsidR="00347974" w:rsidRDefault="00347974" w:rsidP="00861FFD">
      <w:pPr>
        <w:tabs>
          <w:tab w:val="left" w:pos="1800"/>
          <w:tab w:val="left" w:pos="9270"/>
        </w:tabs>
        <w:spacing w:after="120" w:line="480" w:lineRule="auto"/>
        <w:jc w:val="both"/>
        <w:rPr>
          <w:rFonts w:ascii="Times New Roman" w:eastAsia="Times New Roman" w:hAnsi="Times New Roman" w:cs="Times New Roman"/>
          <w:i/>
          <w:color w:val="auto"/>
          <w:sz w:val="28"/>
          <w:szCs w:val="28"/>
        </w:rPr>
      </w:pPr>
    </w:p>
    <w:p w:rsidR="00CA6DD8" w:rsidRPr="00C06D28" w:rsidRDefault="00861FFD" w:rsidP="00861FFD">
      <w:pPr>
        <w:tabs>
          <w:tab w:val="left" w:pos="1800"/>
          <w:tab w:val="left" w:pos="9270"/>
        </w:tabs>
        <w:spacing w:after="120" w:line="480" w:lineRule="auto"/>
        <w:jc w:val="both"/>
        <w:rPr>
          <w:rFonts w:ascii="Times New Roman" w:eastAsia="Times New Roman" w:hAnsi="Times New Roman" w:cs="Times New Roman"/>
          <w:color w:val="auto"/>
          <w:sz w:val="28"/>
          <w:szCs w:val="28"/>
        </w:rPr>
      </w:pPr>
      <w:r w:rsidRPr="00861FFD">
        <w:rPr>
          <w:rFonts w:ascii="Times New Roman" w:eastAsia="Times New Roman" w:hAnsi="Times New Roman" w:cs="Times New Roman"/>
          <w:i/>
          <w:color w:val="auto"/>
          <w:sz w:val="28"/>
          <w:szCs w:val="28"/>
        </w:rPr>
        <w:t>See</w:t>
      </w:r>
      <w:r>
        <w:rPr>
          <w:rFonts w:ascii="Times New Roman" w:eastAsia="Times New Roman" w:hAnsi="Times New Roman" w:cs="Times New Roman"/>
          <w:color w:val="auto"/>
          <w:sz w:val="28"/>
          <w:szCs w:val="28"/>
        </w:rPr>
        <w:t xml:space="preserve">, </w:t>
      </w:r>
      <w:r w:rsidR="00CA6DD8" w:rsidRPr="00C06D28">
        <w:rPr>
          <w:rFonts w:ascii="Times New Roman" w:eastAsia="Times New Roman" w:hAnsi="Times New Roman" w:cs="Times New Roman"/>
          <w:color w:val="auto"/>
          <w:sz w:val="28"/>
          <w:szCs w:val="28"/>
        </w:rPr>
        <w:t xml:space="preserve">House Summary: HB 2454, available at </w:t>
      </w:r>
      <w:hyperlink r:id="rId12" w:history="1">
        <w:r w:rsidR="00CA6DD8" w:rsidRPr="00C06D28">
          <w:rPr>
            <w:rStyle w:val="Hyperlink"/>
            <w:rFonts w:ascii="Times New Roman" w:eastAsia="Times New Roman" w:hAnsi="Times New Roman" w:cs="Times New Roman"/>
            <w:color w:val="auto"/>
            <w:sz w:val="28"/>
            <w:szCs w:val="28"/>
          </w:rPr>
          <w:t>http://www.azleg.gov//FormatDocument.asp?inDoc=/legtext/51leg/2r/summary/h.hb2454_concurrefusememo.doc.htm&amp;Session_ID=112</w:t>
        </w:r>
      </w:hyperlink>
      <w:r w:rsidR="00CA6DD8" w:rsidRPr="00C06D28">
        <w:rPr>
          <w:rFonts w:ascii="Times New Roman" w:eastAsia="Times New Roman" w:hAnsi="Times New Roman" w:cs="Times New Roman"/>
          <w:color w:val="auto"/>
          <w:sz w:val="28"/>
          <w:szCs w:val="28"/>
        </w:rPr>
        <w:t xml:space="preserve"> (last accessed on Sept. 24, 2014).  </w:t>
      </w:r>
    </w:p>
    <w:p w:rsidR="006D3378" w:rsidRDefault="00CA6DD8" w:rsidP="00861FFD">
      <w:pPr>
        <w:tabs>
          <w:tab w:val="left" w:pos="0"/>
        </w:tabs>
        <w:spacing w:after="120" w:line="480" w:lineRule="auto"/>
        <w:jc w:val="both"/>
        <w:rPr>
          <w:rFonts w:ascii="Times New Roman" w:eastAsia="Times New Roman" w:hAnsi="Times New Roman" w:cs="Times New Roman"/>
          <w:color w:val="auto"/>
          <w:sz w:val="28"/>
          <w:szCs w:val="28"/>
        </w:rPr>
      </w:pPr>
      <w:r w:rsidRPr="00C06D28">
        <w:rPr>
          <w:rFonts w:ascii="Times New Roman" w:eastAsia="Times New Roman" w:hAnsi="Times New Roman" w:cs="Times New Roman"/>
          <w:color w:val="auto"/>
          <w:sz w:val="28"/>
          <w:szCs w:val="28"/>
        </w:rPr>
        <w:tab/>
        <w:t>The speed by which the Arizona Legislature adopted the ame</w:t>
      </w:r>
      <w:r w:rsidR="00861FFD">
        <w:rPr>
          <w:rFonts w:ascii="Times New Roman" w:eastAsia="Times New Roman" w:hAnsi="Times New Roman" w:cs="Times New Roman"/>
          <w:color w:val="auto"/>
          <w:sz w:val="28"/>
          <w:szCs w:val="28"/>
        </w:rPr>
        <w:t>ndment to A.R.S. § 13-</w:t>
      </w:r>
      <w:r w:rsidR="00347974">
        <w:rPr>
          <w:rFonts w:ascii="Times New Roman" w:eastAsia="Times New Roman" w:hAnsi="Times New Roman" w:cs="Times New Roman"/>
          <w:color w:val="auto"/>
          <w:sz w:val="28"/>
          <w:szCs w:val="28"/>
        </w:rPr>
        <w:t>4</w:t>
      </w:r>
      <w:r w:rsidR="00861FFD">
        <w:rPr>
          <w:rFonts w:ascii="Times New Roman" w:eastAsia="Times New Roman" w:hAnsi="Times New Roman" w:cs="Times New Roman"/>
          <w:color w:val="auto"/>
          <w:sz w:val="28"/>
          <w:szCs w:val="28"/>
        </w:rPr>
        <w:t>434(B)</w:t>
      </w:r>
      <w:r w:rsidRPr="00C06D28">
        <w:rPr>
          <w:rFonts w:ascii="Times New Roman" w:eastAsia="Times New Roman" w:hAnsi="Times New Roman" w:cs="Times New Roman"/>
          <w:color w:val="auto"/>
          <w:sz w:val="28"/>
          <w:szCs w:val="28"/>
        </w:rPr>
        <w:t>, combined with the way the law was amended by adding a portion to a human sex-trafficking bill, should give rise to serious concern by the Arizona Supreme Court as to whether the amendment to A.R.S. § 13-</w:t>
      </w:r>
      <w:r w:rsidR="00347974">
        <w:rPr>
          <w:rFonts w:ascii="Times New Roman" w:eastAsia="Times New Roman" w:hAnsi="Times New Roman" w:cs="Times New Roman"/>
          <w:color w:val="auto"/>
          <w:sz w:val="28"/>
          <w:szCs w:val="28"/>
        </w:rPr>
        <w:t>4</w:t>
      </w:r>
      <w:r w:rsidRPr="00C06D28">
        <w:rPr>
          <w:rFonts w:ascii="Times New Roman" w:eastAsia="Times New Roman" w:hAnsi="Times New Roman" w:cs="Times New Roman"/>
          <w:color w:val="auto"/>
          <w:sz w:val="28"/>
          <w:szCs w:val="28"/>
        </w:rPr>
        <w:t>434</w:t>
      </w:r>
      <w:r w:rsidR="006D3378">
        <w:rPr>
          <w:rFonts w:ascii="Times New Roman" w:eastAsia="Times New Roman" w:hAnsi="Times New Roman" w:cs="Times New Roman"/>
          <w:color w:val="auto"/>
          <w:sz w:val="28"/>
          <w:szCs w:val="28"/>
        </w:rPr>
        <w:t xml:space="preserve"> </w:t>
      </w:r>
      <w:r w:rsidRPr="00C06D28">
        <w:rPr>
          <w:rFonts w:ascii="Times New Roman" w:eastAsia="Times New Roman" w:hAnsi="Times New Roman" w:cs="Times New Roman"/>
          <w:color w:val="auto"/>
          <w:sz w:val="28"/>
          <w:szCs w:val="28"/>
        </w:rPr>
        <w:t>was made with  “broad input and consideration of the policy implications” or whether the amendment to A.R.S. § 13-</w:t>
      </w:r>
      <w:r w:rsidR="00347974">
        <w:rPr>
          <w:rFonts w:ascii="Times New Roman" w:eastAsia="Times New Roman" w:hAnsi="Times New Roman" w:cs="Times New Roman"/>
          <w:color w:val="auto"/>
          <w:sz w:val="28"/>
          <w:szCs w:val="28"/>
        </w:rPr>
        <w:t>4</w:t>
      </w:r>
      <w:r w:rsidRPr="00C06D28">
        <w:rPr>
          <w:rFonts w:ascii="Times New Roman" w:eastAsia="Times New Roman" w:hAnsi="Times New Roman" w:cs="Times New Roman"/>
          <w:color w:val="auto"/>
          <w:sz w:val="28"/>
          <w:szCs w:val="28"/>
        </w:rPr>
        <w:t>434</w:t>
      </w:r>
      <w:r w:rsidR="006D3378">
        <w:rPr>
          <w:rFonts w:ascii="Times New Roman" w:eastAsia="Times New Roman" w:hAnsi="Times New Roman" w:cs="Times New Roman"/>
          <w:color w:val="auto"/>
          <w:sz w:val="28"/>
          <w:szCs w:val="28"/>
        </w:rPr>
        <w:t xml:space="preserve"> </w:t>
      </w:r>
      <w:r w:rsidRPr="00C06D28">
        <w:rPr>
          <w:rFonts w:ascii="Times New Roman" w:eastAsia="Times New Roman" w:hAnsi="Times New Roman" w:cs="Times New Roman"/>
          <w:color w:val="auto"/>
          <w:sz w:val="28"/>
          <w:szCs w:val="28"/>
        </w:rPr>
        <w:t xml:space="preserve">was nothing more than a bold attempt by members of the Arizona Legislature  to sneak a substantive criminal procedure rule change into an unrelated bill </w:t>
      </w:r>
      <w:r w:rsidR="00C06D28" w:rsidRPr="00C06D28">
        <w:rPr>
          <w:rFonts w:ascii="Times New Roman" w:eastAsia="Times New Roman" w:hAnsi="Times New Roman" w:cs="Times New Roman"/>
          <w:color w:val="auto"/>
          <w:sz w:val="28"/>
          <w:szCs w:val="28"/>
        </w:rPr>
        <w:t xml:space="preserve">so that other legislators could be tricked into </w:t>
      </w:r>
      <w:r w:rsidRPr="00C06D28">
        <w:rPr>
          <w:rFonts w:ascii="Times New Roman" w:eastAsia="Times New Roman" w:hAnsi="Times New Roman" w:cs="Times New Roman"/>
          <w:color w:val="auto"/>
          <w:sz w:val="28"/>
          <w:szCs w:val="28"/>
        </w:rPr>
        <w:t>usurp</w:t>
      </w:r>
      <w:r w:rsidR="00C06D28" w:rsidRPr="00C06D28">
        <w:rPr>
          <w:rFonts w:ascii="Times New Roman" w:eastAsia="Times New Roman" w:hAnsi="Times New Roman" w:cs="Times New Roman"/>
          <w:color w:val="auto"/>
          <w:sz w:val="28"/>
          <w:szCs w:val="28"/>
        </w:rPr>
        <w:t xml:space="preserve">ing </w:t>
      </w:r>
      <w:r w:rsidRPr="00C06D28">
        <w:rPr>
          <w:rFonts w:ascii="Times New Roman" w:eastAsia="Times New Roman" w:hAnsi="Times New Roman" w:cs="Times New Roman"/>
          <w:color w:val="auto"/>
          <w:sz w:val="28"/>
          <w:szCs w:val="28"/>
        </w:rPr>
        <w:t xml:space="preserve"> the rule</w:t>
      </w:r>
      <w:r w:rsidR="00C06D28" w:rsidRPr="00C06D28">
        <w:rPr>
          <w:rFonts w:ascii="Times New Roman" w:eastAsia="Times New Roman" w:hAnsi="Times New Roman" w:cs="Times New Roman"/>
          <w:color w:val="auto"/>
          <w:sz w:val="28"/>
          <w:szCs w:val="28"/>
        </w:rPr>
        <w:t>-</w:t>
      </w:r>
      <w:r w:rsidRPr="00C06D28">
        <w:rPr>
          <w:rFonts w:ascii="Times New Roman" w:eastAsia="Times New Roman" w:hAnsi="Times New Roman" w:cs="Times New Roman"/>
          <w:color w:val="auto"/>
          <w:sz w:val="28"/>
          <w:szCs w:val="28"/>
        </w:rPr>
        <w:t>m</w:t>
      </w:r>
      <w:r w:rsidR="00C06D28" w:rsidRPr="00C06D28">
        <w:rPr>
          <w:rFonts w:ascii="Times New Roman" w:eastAsia="Times New Roman" w:hAnsi="Times New Roman" w:cs="Times New Roman"/>
          <w:color w:val="auto"/>
          <w:sz w:val="28"/>
          <w:szCs w:val="28"/>
        </w:rPr>
        <w:t xml:space="preserve">aking authority of the Arizona Supreme Court. </w:t>
      </w:r>
      <w:r w:rsidR="00861FFD">
        <w:rPr>
          <w:rFonts w:ascii="Times New Roman" w:eastAsia="Times New Roman" w:hAnsi="Times New Roman" w:cs="Times New Roman"/>
          <w:color w:val="auto"/>
          <w:sz w:val="28"/>
          <w:szCs w:val="28"/>
        </w:rPr>
        <w:t xml:space="preserve"> </w:t>
      </w:r>
    </w:p>
    <w:p w:rsidR="00CA6DD8" w:rsidRPr="00C06D28" w:rsidRDefault="006D3378" w:rsidP="00861FFD">
      <w:pPr>
        <w:tabs>
          <w:tab w:val="left" w:pos="0"/>
        </w:tabs>
        <w:spacing w:after="120" w:line="480" w:lineRule="auto"/>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ab/>
      </w:r>
      <w:r w:rsidR="00861FFD">
        <w:rPr>
          <w:rFonts w:ascii="Times New Roman" w:eastAsia="Times New Roman" w:hAnsi="Times New Roman" w:cs="Times New Roman"/>
          <w:color w:val="auto"/>
          <w:sz w:val="28"/>
          <w:szCs w:val="28"/>
        </w:rPr>
        <w:t xml:space="preserve">The Arizona Supreme </w:t>
      </w:r>
      <w:r w:rsidR="00861FFD">
        <w:rPr>
          <w:rFonts w:ascii="Times New Roman" w:eastAsia="Times New Roman" w:hAnsi="Times New Roman" w:cs="Times New Roman"/>
          <w:color w:val="auto"/>
          <w:sz w:val="28"/>
          <w:szCs w:val="28"/>
        </w:rPr>
        <w:lastRenderedPageBreak/>
        <w:t xml:space="preserve">Court should not condone the </w:t>
      </w:r>
      <w:r>
        <w:rPr>
          <w:rFonts w:ascii="Times New Roman" w:eastAsia="Times New Roman" w:hAnsi="Times New Roman" w:cs="Times New Roman"/>
          <w:color w:val="auto"/>
          <w:sz w:val="28"/>
          <w:szCs w:val="28"/>
        </w:rPr>
        <w:t xml:space="preserve">potentially unconstitutional </w:t>
      </w:r>
      <w:r w:rsidR="00861FFD">
        <w:rPr>
          <w:rFonts w:ascii="Times New Roman" w:eastAsia="Times New Roman" w:hAnsi="Times New Roman" w:cs="Times New Roman"/>
          <w:color w:val="auto"/>
          <w:sz w:val="28"/>
          <w:szCs w:val="28"/>
        </w:rPr>
        <w:t>actions of the Arizona Legislature by passing the proposed amendment to Rule 39</w:t>
      </w:r>
      <w:r w:rsidR="00E97247">
        <w:rPr>
          <w:rFonts w:ascii="Times New Roman" w:eastAsia="Times New Roman" w:hAnsi="Times New Roman" w:cs="Times New Roman"/>
          <w:color w:val="auto"/>
          <w:sz w:val="28"/>
          <w:szCs w:val="28"/>
        </w:rPr>
        <w:t>(b)</w:t>
      </w:r>
      <w:r w:rsidR="00861FFD">
        <w:rPr>
          <w:rFonts w:ascii="Times New Roman" w:eastAsia="Times New Roman" w:hAnsi="Times New Roman" w:cs="Times New Roman"/>
          <w:color w:val="auto"/>
          <w:sz w:val="28"/>
          <w:szCs w:val="28"/>
        </w:rPr>
        <w:t>.</w:t>
      </w:r>
    </w:p>
    <w:p w:rsidR="00A206CE" w:rsidRPr="00861FFD" w:rsidRDefault="004F298A" w:rsidP="00861FFD">
      <w:pPr>
        <w:pStyle w:val="ListParagraph"/>
        <w:numPr>
          <w:ilvl w:val="0"/>
          <w:numId w:val="5"/>
        </w:numPr>
        <w:tabs>
          <w:tab w:val="left" w:pos="9270"/>
        </w:tabs>
        <w:spacing w:before="100" w:beforeAutospacing="1" w:after="100" w:afterAutospacing="1" w:line="240" w:lineRule="auto"/>
        <w:jc w:val="both"/>
        <w:rPr>
          <w:rFonts w:ascii="Times New Roman" w:eastAsia="Times New Roman" w:hAnsi="Times New Roman" w:cs="Times New Roman"/>
          <w:color w:val="auto"/>
          <w:sz w:val="28"/>
          <w:szCs w:val="28"/>
        </w:rPr>
      </w:pPr>
      <w:r w:rsidRPr="00861FFD">
        <w:rPr>
          <w:rFonts w:ascii="Times New Roman" w:eastAsia="Times New Roman" w:hAnsi="Times New Roman" w:cs="Times New Roman"/>
          <w:b/>
          <w:color w:val="auto"/>
          <w:sz w:val="28"/>
          <w:szCs w:val="28"/>
        </w:rPr>
        <w:t>The</w:t>
      </w:r>
      <w:r w:rsidR="00A206CE" w:rsidRPr="00861FFD">
        <w:rPr>
          <w:rFonts w:ascii="Times New Roman" w:eastAsia="Times New Roman" w:hAnsi="Times New Roman" w:cs="Times New Roman"/>
          <w:b/>
          <w:color w:val="auto"/>
          <w:sz w:val="28"/>
          <w:szCs w:val="28"/>
        </w:rPr>
        <w:t xml:space="preserve"> proposed rule change will interfere with a defendant’s </w:t>
      </w:r>
      <w:r w:rsidR="00D11E58" w:rsidRPr="00861FFD">
        <w:rPr>
          <w:rFonts w:ascii="Times New Roman" w:eastAsia="Times New Roman" w:hAnsi="Times New Roman" w:cs="Times New Roman"/>
          <w:b/>
          <w:color w:val="auto"/>
          <w:sz w:val="28"/>
          <w:szCs w:val="28"/>
        </w:rPr>
        <w:t xml:space="preserve">right to receive a fair and speedy trial by unnecessarily limiting the defendant’s </w:t>
      </w:r>
      <w:r w:rsidR="00A206CE" w:rsidRPr="00861FFD">
        <w:rPr>
          <w:rFonts w:ascii="Times New Roman" w:eastAsia="Times New Roman" w:hAnsi="Times New Roman" w:cs="Times New Roman"/>
          <w:b/>
          <w:color w:val="auto"/>
          <w:sz w:val="28"/>
          <w:szCs w:val="28"/>
        </w:rPr>
        <w:t xml:space="preserve">attorney ability to adequately investigate and prepare a defense while also creating ethical dilemmas for defense attorneys in </w:t>
      </w:r>
      <w:r w:rsidR="00D11E58" w:rsidRPr="00861FFD">
        <w:rPr>
          <w:rFonts w:ascii="Times New Roman" w:eastAsia="Times New Roman" w:hAnsi="Times New Roman" w:cs="Times New Roman"/>
          <w:b/>
          <w:color w:val="auto"/>
          <w:sz w:val="28"/>
          <w:szCs w:val="28"/>
        </w:rPr>
        <w:t xml:space="preserve">complying with necessary conflict checks. </w:t>
      </w:r>
    </w:p>
    <w:p w:rsidR="00A206CE" w:rsidRPr="00C06D28" w:rsidRDefault="00A206CE" w:rsidP="00C06D28">
      <w:pPr>
        <w:pStyle w:val="normal0"/>
        <w:spacing w:line="480" w:lineRule="auto"/>
        <w:jc w:val="both"/>
        <w:rPr>
          <w:rFonts w:ascii="Times New Roman" w:eastAsia="Times New Roman" w:hAnsi="Times New Roman" w:cs="Times New Roman"/>
          <w:color w:val="auto"/>
          <w:sz w:val="28"/>
          <w:szCs w:val="28"/>
        </w:rPr>
      </w:pPr>
    </w:p>
    <w:p w:rsidR="00D11E58" w:rsidRPr="00C06D28" w:rsidRDefault="00C06D28" w:rsidP="00861FFD">
      <w:pPr>
        <w:pStyle w:val="normal0"/>
        <w:spacing w:line="480" w:lineRule="auto"/>
        <w:ind w:firstLine="360"/>
        <w:jc w:val="both"/>
        <w:rPr>
          <w:rFonts w:ascii="Times New Roman" w:eastAsia="Times New Roman" w:hAnsi="Times New Roman" w:cs="Times New Roman"/>
          <w:color w:val="auto"/>
          <w:sz w:val="28"/>
          <w:szCs w:val="28"/>
        </w:rPr>
      </w:pPr>
      <w:r w:rsidRPr="00C06D28">
        <w:rPr>
          <w:rFonts w:ascii="Times New Roman" w:eastAsia="Times New Roman" w:hAnsi="Times New Roman" w:cs="Times New Roman"/>
          <w:color w:val="auto"/>
          <w:sz w:val="28"/>
          <w:szCs w:val="28"/>
        </w:rPr>
        <w:t>Less than a month before the Governor signed the bill “Related to Human Trafficking” known as HB 2454, the Arizona Supreme Court had explained the reasons why it opposed a prosecuting agency’s attempt to re-write Rule 39</w:t>
      </w:r>
      <w:r w:rsidR="006D3378">
        <w:rPr>
          <w:rFonts w:ascii="Times New Roman" w:eastAsia="Times New Roman" w:hAnsi="Times New Roman" w:cs="Times New Roman"/>
          <w:color w:val="auto"/>
          <w:sz w:val="28"/>
          <w:szCs w:val="28"/>
        </w:rPr>
        <w:t xml:space="preserve">(b) </w:t>
      </w:r>
      <w:r w:rsidRPr="00C06D28">
        <w:rPr>
          <w:rFonts w:ascii="Times New Roman" w:eastAsia="Times New Roman" w:hAnsi="Times New Roman" w:cs="Times New Roman"/>
          <w:color w:val="auto"/>
          <w:sz w:val="28"/>
          <w:szCs w:val="28"/>
        </w:rPr>
        <w:t xml:space="preserve">of the Arizona Rules of Criminal Procedure through criminal litigation.  The explanation provided, in part: </w:t>
      </w:r>
    </w:p>
    <w:p w:rsidR="00D11E58" w:rsidRPr="00C06D28" w:rsidRDefault="00D11E58" w:rsidP="00861FFD">
      <w:pPr>
        <w:spacing w:after="240" w:line="240" w:lineRule="auto"/>
        <w:ind w:left="810" w:right="720"/>
        <w:jc w:val="both"/>
        <w:rPr>
          <w:rFonts w:ascii="Times New Roman" w:eastAsia="Times New Roman" w:hAnsi="Times New Roman" w:cs="Times New Roman"/>
          <w:color w:val="auto"/>
          <w:sz w:val="28"/>
          <w:szCs w:val="28"/>
        </w:rPr>
      </w:pPr>
      <w:r w:rsidRPr="00C06D28">
        <w:rPr>
          <w:rFonts w:ascii="Times New Roman" w:eastAsia="Times New Roman" w:hAnsi="Times New Roman" w:cs="Times New Roman"/>
          <w:color w:val="auto"/>
          <w:sz w:val="28"/>
          <w:szCs w:val="28"/>
        </w:rPr>
        <w:t>Although victims have privacy interests in their birth dates, both prosecutors and the defense have good reasons to seek this information. For example, a birth date may help identify the victim of a crime. Likewise, a victim's exact age may be relevant as an element of an offense or as a factor for determining the corresponding punishment. A birth date may also allow the parties to determine if the victim has a criminal history, which can affect the victim's credibility, and may allow defense counsel to identify possible conflicts that could prevent counsel from representing a defendant.</w:t>
      </w:r>
    </w:p>
    <w:p w:rsidR="00D11E58" w:rsidRPr="00C06D28" w:rsidRDefault="00D11E58" w:rsidP="00C06D28">
      <w:pPr>
        <w:spacing w:line="480" w:lineRule="auto"/>
        <w:rPr>
          <w:rFonts w:ascii="Times New Roman" w:eastAsia="Times New Roman" w:hAnsi="Times New Roman" w:cs="Times New Roman"/>
          <w:color w:val="auto"/>
          <w:sz w:val="28"/>
          <w:szCs w:val="28"/>
        </w:rPr>
      </w:pPr>
      <w:r w:rsidRPr="00C06D28">
        <w:rPr>
          <w:rFonts w:ascii="Times New Roman" w:eastAsia="Times New Roman" w:hAnsi="Times New Roman" w:cs="Times New Roman"/>
          <w:color w:val="auto"/>
          <w:sz w:val="28"/>
          <w:szCs w:val="28"/>
          <w:u w:val="single"/>
        </w:rPr>
        <w:t>State ex rel. Montgomery v. Chavez ex rel. County of Maricopa</w:t>
      </w:r>
      <w:r w:rsidRPr="00C06D28">
        <w:rPr>
          <w:rFonts w:ascii="Times New Roman" w:eastAsia="Times New Roman" w:hAnsi="Times New Roman" w:cs="Times New Roman"/>
          <w:color w:val="auto"/>
          <w:sz w:val="28"/>
          <w:szCs w:val="28"/>
        </w:rPr>
        <w:t>, 234 Ariz. 255, 258, 321 P.3d 420, 423 (2014)</w:t>
      </w:r>
    </w:p>
    <w:p w:rsidR="00D11E58" w:rsidRPr="00C06D28" w:rsidRDefault="00C06D28" w:rsidP="00C06D28">
      <w:pPr>
        <w:pStyle w:val="normal0"/>
        <w:spacing w:line="480" w:lineRule="auto"/>
        <w:jc w:val="both"/>
        <w:rPr>
          <w:rFonts w:ascii="Times New Roman" w:eastAsia="Times New Roman" w:hAnsi="Times New Roman" w:cs="Times New Roman"/>
          <w:color w:val="auto"/>
          <w:sz w:val="28"/>
          <w:szCs w:val="28"/>
        </w:rPr>
      </w:pPr>
      <w:r w:rsidRPr="00C06D28">
        <w:rPr>
          <w:rFonts w:ascii="Times New Roman" w:eastAsia="Times New Roman" w:hAnsi="Times New Roman" w:cs="Times New Roman"/>
          <w:color w:val="auto"/>
          <w:sz w:val="28"/>
          <w:szCs w:val="28"/>
        </w:rPr>
        <w:tab/>
        <w:t xml:space="preserve">For these reasons, and also for the reasons stated in the Comment of the Maricopa County Public Defender’s Office </w:t>
      </w:r>
      <w:r w:rsidR="00861FFD">
        <w:rPr>
          <w:rFonts w:ascii="Times New Roman" w:eastAsia="Times New Roman" w:hAnsi="Times New Roman" w:cs="Times New Roman"/>
          <w:color w:val="auto"/>
          <w:sz w:val="28"/>
          <w:szCs w:val="28"/>
        </w:rPr>
        <w:t>Regarding</w:t>
      </w:r>
      <w:r w:rsidRPr="00C06D28">
        <w:rPr>
          <w:rFonts w:ascii="Times New Roman" w:eastAsia="Times New Roman" w:hAnsi="Times New Roman" w:cs="Times New Roman"/>
          <w:color w:val="auto"/>
          <w:sz w:val="28"/>
          <w:szCs w:val="28"/>
        </w:rPr>
        <w:t xml:space="preserve"> Petition to Amend Rule </w:t>
      </w:r>
      <w:r w:rsidRPr="00C06D28">
        <w:rPr>
          <w:rFonts w:ascii="Times New Roman" w:eastAsia="Times New Roman" w:hAnsi="Times New Roman" w:cs="Times New Roman"/>
          <w:color w:val="auto"/>
          <w:sz w:val="28"/>
          <w:szCs w:val="28"/>
        </w:rPr>
        <w:lastRenderedPageBreak/>
        <w:t xml:space="preserve">39(B) of Arizona Rules of Criminal Procedure and the reasons provided by the </w:t>
      </w:r>
      <w:r w:rsidR="00347974">
        <w:rPr>
          <w:rFonts w:ascii="Times New Roman" w:eastAsia="Times New Roman" w:hAnsi="Times New Roman" w:cs="Times New Roman"/>
          <w:color w:val="auto"/>
          <w:sz w:val="28"/>
          <w:szCs w:val="28"/>
        </w:rPr>
        <w:t xml:space="preserve">Comment of the </w:t>
      </w:r>
      <w:r w:rsidRPr="00C06D28">
        <w:rPr>
          <w:rFonts w:ascii="Times New Roman" w:eastAsia="Times New Roman" w:hAnsi="Times New Roman" w:cs="Times New Roman"/>
          <w:color w:val="auto"/>
          <w:sz w:val="28"/>
          <w:szCs w:val="28"/>
        </w:rPr>
        <w:t xml:space="preserve">Defense </w:t>
      </w:r>
      <w:r w:rsidR="00861FFD" w:rsidRPr="00C06D28">
        <w:rPr>
          <w:rFonts w:ascii="Times New Roman" w:eastAsia="Times New Roman" w:hAnsi="Times New Roman" w:cs="Times New Roman"/>
          <w:color w:val="auto"/>
          <w:sz w:val="28"/>
          <w:szCs w:val="28"/>
        </w:rPr>
        <w:t>Subcommittee</w:t>
      </w:r>
      <w:r w:rsidRPr="00C06D28">
        <w:rPr>
          <w:rFonts w:ascii="Times New Roman" w:eastAsia="Times New Roman" w:hAnsi="Times New Roman" w:cs="Times New Roman"/>
          <w:color w:val="auto"/>
          <w:sz w:val="28"/>
          <w:szCs w:val="28"/>
        </w:rPr>
        <w:t xml:space="preserve"> of the State Bar’s Criminal Practice &amp; Procedure Committee, the Central AZ NLG opposes the proposed rule change. </w:t>
      </w:r>
    </w:p>
    <w:p w:rsidR="00D11E58" w:rsidRDefault="00D11E58" w:rsidP="00A206CE">
      <w:pPr>
        <w:pStyle w:val="normal0"/>
        <w:spacing w:line="240" w:lineRule="auto"/>
        <w:jc w:val="both"/>
        <w:rPr>
          <w:rFonts w:ascii="Times New Roman" w:eastAsia="Times New Roman" w:hAnsi="Times New Roman" w:cs="Times New Roman"/>
          <w:sz w:val="28"/>
          <w:szCs w:val="28"/>
        </w:rPr>
      </w:pPr>
    </w:p>
    <w:p w:rsidR="00D55526" w:rsidRPr="00E06BC8" w:rsidRDefault="00E06BC8" w:rsidP="00E06BC8">
      <w:pPr>
        <w:pStyle w:val="normal0"/>
        <w:numPr>
          <w:ilvl w:val="0"/>
          <w:numId w:val="5"/>
        </w:numPr>
        <w:spacing w:line="480" w:lineRule="auto"/>
        <w:ind w:left="720"/>
        <w:rPr>
          <w:rFonts w:ascii="Times New Roman" w:eastAsia="Times New Roman" w:hAnsi="Times New Roman" w:cs="Times New Roman"/>
          <w:b/>
          <w:sz w:val="28"/>
          <w:szCs w:val="28"/>
        </w:rPr>
      </w:pPr>
      <w:r w:rsidRPr="00E06BC8">
        <w:rPr>
          <w:rFonts w:ascii="Times New Roman" w:eastAsia="Times New Roman" w:hAnsi="Times New Roman" w:cs="Times New Roman"/>
          <w:b/>
          <w:sz w:val="28"/>
          <w:szCs w:val="28"/>
        </w:rPr>
        <w:t>Conclusion</w:t>
      </w:r>
    </w:p>
    <w:p w:rsidR="00D55526" w:rsidRDefault="00861FFD" w:rsidP="00D55526">
      <w:pPr>
        <w:pStyle w:val="normal0"/>
        <w:spacing w:line="48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Central AZ NLG opposes the adoption of the proposed amendment to Rule 39</w:t>
      </w:r>
      <w:r w:rsidR="00F46D9F">
        <w:rPr>
          <w:rFonts w:ascii="Times New Roman" w:eastAsia="Times New Roman" w:hAnsi="Times New Roman" w:cs="Times New Roman"/>
          <w:sz w:val="28"/>
          <w:szCs w:val="28"/>
        </w:rPr>
        <w:t>(b)</w:t>
      </w:r>
      <w:r>
        <w:rPr>
          <w:rFonts w:ascii="Times New Roman" w:eastAsia="Times New Roman" w:hAnsi="Times New Roman" w:cs="Times New Roman"/>
          <w:sz w:val="28"/>
          <w:szCs w:val="28"/>
        </w:rPr>
        <w:t xml:space="preserve"> of the Arizona Rules of Criminal Procedure.  Not only would the adoption of the proposed amendment appear to explicitly endorse an unconstitutional usurpation of the Arizona</w:t>
      </w:r>
      <w:r w:rsidR="0033714A">
        <w:rPr>
          <w:rFonts w:ascii="Times New Roman" w:eastAsia="Times New Roman" w:hAnsi="Times New Roman" w:cs="Times New Roman"/>
          <w:sz w:val="28"/>
          <w:szCs w:val="28"/>
        </w:rPr>
        <w:t xml:space="preserve"> Supreme Court’s rule-making author</w:t>
      </w:r>
      <w:r w:rsidR="00347974">
        <w:rPr>
          <w:rFonts w:ascii="Times New Roman" w:eastAsia="Times New Roman" w:hAnsi="Times New Roman" w:cs="Times New Roman"/>
          <w:sz w:val="28"/>
          <w:szCs w:val="28"/>
        </w:rPr>
        <w:t>it</w:t>
      </w:r>
      <w:r w:rsidR="0033714A">
        <w:rPr>
          <w:rFonts w:ascii="Times New Roman" w:eastAsia="Times New Roman" w:hAnsi="Times New Roman" w:cs="Times New Roman"/>
          <w:sz w:val="28"/>
          <w:szCs w:val="28"/>
        </w:rPr>
        <w:t>y</w:t>
      </w:r>
      <w:r>
        <w:rPr>
          <w:rFonts w:ascii="Times New Roman" w:eastAsia="Times New Roman" w:hAnsi="Times New Roman" w:cs="Times New Roman"/>
          <w:sz w:val="28"/>
          <w:szCs w:val="28"/>
        </w:rPr>
        <w:t xml:space="preserve">, it will also construct unnecessary hurdles to a defendant’s right to effective assistance of counsel while creating ethical dilemmas for defense attorneys who represent them. </w:t>
      </w:r>
    </w:p>
    <w:p w:rsidR="0033714A" w:rsidRPr="00964AF1" w:rsidRDefault="0033714A" w:rsidP="00D55526">
      <w:pPr>
        <w:pStyle w:val="normal0"/>
        <w:spacing w:line="480" w:lineRule="auto"/>
        <w:ind w:firstLine="720"/>
        <w:jc w:val="both"/>
        <w:rPr>
          <w:rFonts w:ascii="Times New Roman" w:eastAsia="Times New Roman" w:hAnsi="Times New Roman" w:cs="Times New Roman"/>
          <w:sz w:val="28"/>
          <w:szCs w:val="28"/>
        </w:rPr>
      </w:pPr>
    </w:p>
    <w:p w:rsidR="00D55526" w:rsidRPr="00964AF1" w:rsidRDefault="00D55526" w:rsidP="00D55526">
      <w:pPr>
        <w:spacing w:line="240" w:lineRule="auto"/>
        <w:ind w:firstLine="720"/>
        <w:jc w:val="center"/>
        <w:rPr>
          <w:rFonts w:ascii="Times New Roman" w:hAnsi="Times New Roman" w:cs="Times New Roman"/>
          <w:sz w:val="28"/>
          <w:szCs w:val="28"/>
        </w:rPr>
      </w:pPr>
      <w:r w:rsidRPr="00964AF1">
        <w:rPr>
          <w:rFonts w:ascii="Times New Roman" w:hAnsi="Times New Roman" w:cs="Times New Roman"/>
          <w:sz w:val="28"/>
          <w:szCs w:val="28"/>
        </w:rPr>
        <w:t xml:space="preserve">RESPECTFULLY SUBMITTED this </w:t>
      </w:r>
      <w:r w:rsidR="00861FFD">
        <w:rPr>
          <w:rFonts w:ascii="Times New Roman" w:hAnsi="Times New Roman" w:cs="Times New Roman"/>
          <w:sz w:val="28"/>
          <w:szCs w:val="28"/>
        </w:rPr>
        <w:t>25</w:t>
      </w:r>
      <w:r w:rsidR="00467EB7">
        <w:rPr>
          <w:rFonts w:ascii="Times New Roman" w:hAnsi="Times New Roman" w:cs="Times New Roman"/>
          <w:sz w:val="28"/>
          <w:szCs w:val="28"/>
        </w:rPr>
        <w:t>th</w:t>
      </w:r>
      <w:r w:rsidRPr="00964AF1">
        <w:rPr>
          <w:rFonts w:ascii="Times New Roman" w:hAnsi="Times New Roman" w:cs="Times New Roman"/>
          <w:sz w:val="28"/>
          <w:szCs w:val="28"/>
        </w:rPr>
        <w:t xml:space="preserve"> day of</w:t>
      </w:r>
      <w:r w:rsidR="00347974">
        <w:rPr>
          <w:rFonts w:ascii="Times New Roman" w:hAnsi="Times New Roman" w:cs="Times New Roman"/>
          <w:sz w:val="28"/>
          <w:szCs w:val="28"/>
        </w:rPr>
        <w:t xml:space="preserve"> September, 2014</w:t>
      </w:r>
    </w:p>
    <w:p w:rsidR="00347974" w:rsidRDefault="00347974" w:rsidP="00D55526">
      <w:pPr>
        <w:spacing w:line="240" w:lineRule="auto"/>
        <w:ind w:left="5040"/>
        <w:jc w:val="both"/>
        <w:rPr>
          <w:rFonts w:ascii="Times New Roman" w:hAnsi="Times New Roman" w:cs="Times New Roman"/>
          <w:sz w:val="28"/>
          <w:szCs w:val="28"/>
        </w:rPr>
      </w:pPr>
    </w:p>
    <w:p w:rsidR="00347974" w:rsidRDefault="00347974" w:rsidP="00347974">
      <w:pPr>
        <w:spacing w:line="240" w:lineRule="auto"/>
        <w:jc w:val="both"/>
        <w:rPr>
          <w:rFonts w:ascii="Times New Roman" w:hAnsi="Times New Roman" w:cs="Times New Roman"/>
          <w:sz w:val="28"/>
          <w:szCs w:val="28"/>
        </w:rPr>
      </w:pPr>
    </w:p>
    <w:p w:rsidR="00347974" w:rsidRPr="00347974" w:rsidRDefault="00347974" w:rsidP="00347974">
      <w:pPr>
        <w:spacing w:line="240" w:lineRule="auto"/>
        <w:ind w:left="1440" w:firstLine="720"/>
        <w:jc w:val="both"/>
        <w:rPr>
          <w:rFonts w:ascii="Times New Roman" w:hAnsi="Times New Roman" w:cs="Times New Roman"/>
          <w:i/>
          <w:sz w:val="28"/>
          <w:szCs w:val="28"/>
        </w:rPr>
      </w:pPr>
      <w:r w:rsidRPr="00347974">
        <w:rPr>
          <w:rFonts w:ascii="Times New Roman" w:hAnsi="Times New Roman" w:cs="Times New Roman"/>
          <w:i/>
          <w:sz w:val="28"/>
          <w:szCs w:val="28"/>
        </w:rPr>
        <w:t>CENTRAL ARIZONA NATIONAL LAWYERS GUILD</w:t>
      </w:r>
    </w:p>
    <w:p w:rsidR="00347974" w:rsidRDefault="00347974" w:rsidP="00D55526">
      <w:pPr>
        <w:spacing w:line="240" w:lineRule="auto"/>
        <w:ind w:left="5040"/>
        <w:jc w:val="both"/>
        <w:rPr>
          <w:rFonts w:ascii="Times New Roman" w:hAnsi="Times New Roman" w:cs="Times New Roman"/>
          <w:sz w:val="28"/>
          <w:szCs w:val="28"/>
        </w:rPr>
      </w:pPr>
    </w:p>
    <w:p w:rsidR="00D55526" w:rsidRPr="00964AF1" w:rsidRDefault="00D55526" w:rsidP="00D55526">
      <w:pPr>
        <w:spacing w:line="240" w:lineRule="auto"/>
        <w:ind w:left="5040"/>
        <w:jc w:val="both"/>
        <w:rPr>
          <w:rFonts w:ascii="Times New Roman" w:hAnsi="Times New Roman" w:cs="Times New Roman"/>
          <w:i/>
          <w:sz w:val="28"/>
          <w:szCs w:val="28"/>
        </w:rPr>
      </w:pPr>
      <w:r w:rsidRPr="00964AF1">
        <w:rPr>
          <w:rFonts w:ascii="Times New Roman" w:hAnsi="Times New Roman" w:cs="Times New Roman"/>
          <w:sz w:val="28"/>
          <w:szCs w:val="28"/>
        </w:rPr>
        <w:t xml:space="preserve">By </w:t>
      </w:r>
      <w:r w:rsidRPr="00964AF1">
        <w:rPr>
          <w:rFonts w:ascii="Times New Roman" w:hAnsi="Times New Roman" w:cs="Times New Roman"/>
          <w:sz w:val="28"/>
          <w:szCs w:val="28"/>
          <w:u w:val="single"/>
        </w:rPr>
        <w:t xml:space="preserve">     /s/</w:t>
      </w:r>
      <w:r w:rsidR="00861FFD">
        <w:rPr>
          <w:rFonts w:ascii="Times New Roman" w:hAnsi="Times New Roman" w:cs="Times New Roman"/>
          <w:sz w:val="28"/>
          <w:szCs w:val="28"/>
          <w:u w:val="single"/>
        </w:rPr>
        <w:t>Kevin D. Heade</w:t>
      </w:r>
      <w:r w:rsidRPr="00964AF1">
        <w:rPr>
          <w:rFonts w:ascii="Times New Roman" w:hAnsi="Times New Roman" w:cs="Times New Roman"/>
          <w:sz w:val="28"/>
          <w:szCs w:val="28"/>
          <w:u w:val="single"/>
        </w:rPr>
        <w:tab/>
      </w:r>
    </w:p>
    <w:p w:rsidR="00D55526" w:rsidRPr="00964AF1" w:rsidRDefault="00D55526" w:rsidP="00D55526">
      <w:pPr>
        <w:tabs>
          <w:tab w:val="left" w:pos="-1440"/>
        </w:tabs>
        <w:spacing w:line="240" w:lineRule="auto"/>
        <w:ind w:left="5040"/>
        <w:jc w:val="both"/>
        <w:rPr>
          <w:rFonts w:ascii="Times New Roman" w:hAnsi="Times New Roman" w:cs="Times New Roman"/>
          <w:sz w:val="28"/>
          <w:szCs w:val="28"/>
        </w:rPr>
      </w:pPr>
      <w:r w:rsidRPr="00964AF1">
        <w:rPr>
          <w:rFonts w:ascii="Times New Roman" w:hAnsi="Times New Roman" w:cs="Times New Roman"/>
          <w:sz w:val="28"/>
          <w:szCs w:val="28"/>
        </w:rPr>
        <w:tab/>
      </w:r>
      <w:r w:rsidR="00861FFD">
        <w:rPr>
          <w:rFonts w:ascii="Times New Roman" w:hAnsi="Times New Roman" w:cs="Times New Roman"/>
          <w:sz w:val="28"/>
          <w:szCs w:val="28"/>
        </w:rPr>
        <w:t>KEVIN D. HEADE</w:t>
      </w:r>
    </w:p>
    <w:p w:rsidR="00D55526" w:rsidRPr="00964AF1" w:rsidRDefault="00861FFD" w:rsidP="00D55526">
      <w:pPr>
        <w:tabs>
          <w:tab w:val="left" w:pos="-1440"/>
        </w:tabs>
        <w:spacing w:line="240" w:lineRule="auto"/>
        <w:ind w:left="5040"/>
        <w:jc w:val="both"/>
        <w:rPr>
          <w:rFonts w:ascii="Times New Roman" w:hAnsi="Times New Roman" w:cs="Times New Roman"/>
          <w:sz w:val="28"/>
          <w:szCs w:val="28"/>
        </w:rPr>
      </w:pPr>
      <w:r>
        <w:rPr>
          <w:rFonts w:ascii="Times New Roman" w:hAnsi="Times New Roman" w:cs="Times New Roman"/>
          <w:sz w:val="28"/>
          <w:szCs w:val="28"/>
        </w:rPr>
        <w:tab/>
        <w:t>AZ Bar No. 029909</w:t>
      </w:r>
    </w:p>
    <w:p w:rsidR="00D55526" w:rsidRPr="00964AF1" w:rsidRDefault="00D55526" w:rsidP="00D55526">
      <w:pPr>
        <w:spacing w:line="240" w:lineRule="auto"/>
        <w:ind w:firstLine="720"/>
        <w:jc w:val="center"/>
        <w:rPr>
          <w:rFonts w:ascii="Times New Roman" w:hAnsi="Times New Roman" w:cs="Times New Roman"/>
          <w:sz w:val="28"/>
          <w:szCs w:val="28"/>
        </w:rPr>
      </w:pPr>
    </w:p>
    <w:p w:rsidR="00D55526" w:rsidRPr="00964AF1" w:rsidRDefault="00D55526" w:rsidP="00D55526">
      <w:pPr>
        <w:tabs>
          <w:tab w:val="left" w:pos="720"/>
        </w:tabs>
        <w:spacing w:line="240" w:lineRule="auto"/>
        <w:jc w:val="right"/>
        <w:rPr>
          <w:rFonts w:ascii="Times New Roman" w:hAnsi="Times New Roman" w:cs="Times New Roman"/>
          <w:sz w:val="28"/>
          <w:szCs w:val="28"/>
        </w:rPr>
      </w:pPr>
    </w:p>
    <w:p w:rsidR="00D55526" w:rsidRDefault="00D55526" w:rsidP="00D55526">
      <w:pPr>
        <w:spacing w:line="240" w:lineRule="auto"/>
        <w:rPr>
          <w:rFonts w:ascii="Times New Roman" w:hAnsi="Times New Roman" w:cs="Times New Roman"/>
          <w:sz w:val="28"/>
          <w:szCs w:val="28"/>
        </w:rPr>
      </w:pPr>
    </w:p>
    <w:p w:rsidR="006D3378" w:rsidRPr="00964AF1" w:rsidRDefault="006D3378" w:rsidP="00D55526">
      <w:pPr>
        <w:spacing w:line="240" w:lineRule="auto"/>
        <w:rPr>
          <w:rFonts w:ascii="Times New Roman" w:hAnsi="Times New Roman" w:cs="Times New Roman"/>
          <w:sz w:val="28"/>
          <w:szCs w:val="28"/>
        </w:rPr>
      </w:pPr>
    </w:p>
    <w:p w:rsidR="00D55526" w:rsidRPr="00964AF1" w:rsidRDefault="00D55526" w:rsidP="00D55526">
      <w:pPr>
        <w:tabs>
          <w:tab w:val="left" w:pos="-1440"/>
        </w:tabs>
        <w:spacing w:line="240" w:lineRule="auto"/>
        <w:ind w:firstLine="1440"/>
        <w:jc w:val="both"/>
        <w:rPr>
          <w:rFonts w:ascii="Times New Roman" w:hAnsi="Times New Roman" w:cs="Times New Roman"/>
          <w:sz w:val="28"/>
          <w:szCs w:val="28"/>
        </w:rPr>
      </w:pPr>
      <w:r w:rsidRPr="00964AF1">
        <w:rPr>
          <w:rFonts w:ascii="Times New Roman" w:hAnsi="Times New Roman" w:cs="Times New Roman"/>
          <w:sz w:val="28"/>
          <w:szCs w:val="28"/>
        </w:rPr>
        <w:t xml:space="preserve">    </w:t>
      </w:r>
      <w:r w:rsidRPr="00964AF1">
        <w:rPr>
          <w:rFonts w:ascii="Times New Roman" w:hAnsi="Times New Roman" w:cs="Times New Roman"/>
          <w:sz w:val="28"/>
          <w:szCs w:val="28"/>
        </w:rPr>
        <w:tab/>
      </w:r>
      <w:r w:rsidRPr="00964AF1">
        <w:rPr>
          <w:rFonts w:ascii="Times New Roman" w:hAnsi="Times New Roman" w:cs="Times New Roman"/>
          <w:sz w:val="28"/>
          <w:szCs w:val="28"/>
        </w:rPr>
        <w:tab/>
      </w:r>
      <w:r w:rsidRPr="00964AF1">
        <w:rPr>
          <w:rFonts w:ascii="Times New Roman" w:hAnsi="Times New Roman" w:cs="Times New Roman"/>
          <w:sz w:val="28"/>
          <w:szCs w:val="28"/>
        </w:rPr>
        <w:tab/>
      </w:r>
      <w:r w:rsidRPr="00964AF1">
        <w:rPr>
          <w:rFonts w:ascii="Times New Roman" w:hAnsi="Times New Roman" w:cs="Times New Roman"/>
          <w:sz w:val="28"/>
          <w:szCs w:val="28"/>
        </w:rPr>
        <w:tab/>
      </w:r>
    </w:p>
    <w:p w:rsidR="00D55526" w:rsidRPr="00964AF1" w:rsidRDefault="00D55526" w:rsidP="00D55526">
      <w:pPr>
        <w:spacing w:line="240" w:lineRule="auto"/>
        <w:rPr>
          <w:rFonts w:ascii="Times New Roman" w:hAnsi="Times New Roman" w:cs="Times New Roman"/>
          <w:sz w:val="28"/>
          <w:szCs w:val="28"/>
        </w:rPr>
      </w:pPr>
      <w:r w:rsidRPr="00964AF1">
        <w:rPr>
          <w:rFonts w:ascii="Times New Roman" w:hAnsi="Times New Roman" w:cs="Times New Roman"/>
          <w:sz w:val="28"/>
          <w:szCs w:val="28"/>
        </w:rPr>
        <w:t xml:space="preserve">Electronic copy filed with the </w:t>
      </w:r>
    </w:p>
    <w:p w:rsidR="00D55526" w:rsidRPr="00964AF1" w:rsidRDefault="00D55526" w:rsidP="00D55526">
      <w:pPr>
        <w:spacing w:line="240" w:lineRule="auto"/>
        <w:rPr>
          <w:rFonts w:ascii="Times New Roman" w:hAnsi="Times New Roman" w:cs="Times New Roman"/>
          <w:sz w:val="28"/>
          <w:szCs w:val="28"/>
        </w:rPr>
      </w:pPr>
      <w:r w:rsidRPr="00964AF1">
        <w:rPr>
          <w:rFonts w:ascii="Times New Roman" w:hAnsi="Times New Roman" w:cs="Times New Roman"/>
          <w:sz w:val="28"/>
          <w:szCs w:val="28"/>
        </w:rPr>
        <w:t>Clerk of Supreme Court of Arizona</w:t>
      </w:r>
    </w:p>
    <w:p w:rsidR="00347974" w:rsidRDefault="00D55526" w:rsidP="00D55526">
      <w:pPr>
        <w:spacing w:line="240" w:lineRule="auto"/>
        <w:rPr>
          <w:rFonts w:ascii="Times New Roman" w:hAnsi="Times New Roman" w:cs="Times New Roman"/>
          <w:sz w:val="28"/>
          <w:szCs w:val="28"/>
        </w:rPr>
      </w:pPr>
      <w:proofErr w:type="gramStart"/>
      <w:r w:rsidRPr="00964AF1">
        <w:rPr>
          <w:rFonts w:ascii="Times New Roman" w:hAnsi="Times New Roman" w:cs="Times New Roman"/>
          <w:sz w:val="28"/>
          <w:szCs w:val="28"/>
        </w:rPr>
        <w:t>this</w:t>
      </w:r>
      <w:proofErr w:type="gramEnd"/>
      <w:r w:rsidRPr="00964AF1">
        <w:rPr>
          <w:rFonts w:ascii="Times New Roman" w:hAnsi="Times New Roman" w:cs="Times New Roman"/>
          <w:sz w:val="28"/>
          <w:szCs w:val="28"/>
        </w:rPr>
        <w:t xml:space="preserve"> </w:t>
      </w:r>
      <w:r w:rsidR="00861FFD">
        <w:rPr>
          <w:rFonts w:ascii="Times New Roman" w:hAnsi="Times New Roman" w:cs="Times New Roman"/>
          <w:sz w:val="28"/>
          <w:szCs w:val="28"/>
        </w:rPr>
        <w:t>25</w:t>
      </w:r>
      <w:r w:rsidR="00467EB7">
        <w:rPr>
          <w:rFonts w:ascii="Times New Roman" w:hAnsi="Times New Roman" w:cs="Times New Roman"/>
          <w:sz w:val="28"/>
          <w:szCs w:val="28"/>
        </w:rPr>
        <w:t>th</w:t>
      </w:r>
      <w:r w:rsidRPr="00964AF1">
        <w:rPr>
          <w:rFonts w:ascii="Times New Roman" w:hAnsi="Times New Roman" w:cs="Times New Roman"/>
          <w:sz w:val="28"/>
          <w:szCs w:val="28"/>
        </w:rPr>
        <w:t xml:space="preserve"> day of</w:t>
      </w:r>
      <w:r w:rsidR="00347974">
        <w:rPr>
          <w:rFonts w:ascii="Times New Roman" w:hAnsi="Times New Roman" w:cs="Times New Roman"/>
          <w:sz w:val="28"/>
          <w:szCs w:val="28"/>
        </w:rPr>
        <w:t xml:space="preserve"> September, 2014</w:t>
      </w:r>
    </w:p>
    <w:p w:rsidR="00D55526" w:rsidRPr="00964AF1" w:rsidRDefault="00D55526" w:rsidP="00D55526">
      <w:pPr>
        <w:spacing w:line="240" w:lineRule="auto"/>
        <w:rPr>
          <w:rFonts w:ascii="Times New Roman" w:hAnsi="Times New Roman" w:cs="Times New Roman"/>
          <w:i/>
          <w:sz w:val="28"/>
          <w:szCs w:val="28"/>
        </w:rPr>
      </w:pPr>
      <w:r w:rsidRPr="00964AF1">
        <w:rPr>
          <w:rFonts w:ascii="Times New Roman" w:hAnsi="Times New Roman" w:cs="Times New Roman"/>
          <w:sz w:val="28"/>
          <w:szCs w:val="28"/>
        </w:rPr>
        <w:t xml:space="preserve">By </w:t>
      </w:r>
      <w:r w:rsidRPr="00964AF1">
        <w:rPr>
          <w:rFonts w:ascii="Times New Roman" w:hAnsi="Times New Roman" w:cs="Times New Roman"/>
          <w:sz w:val="28"/>
          <w:szCs w:val="28"/>
          <w:u w:val="single"/>
        </w:rPr>
        <w:t xml:space="preserve">     /s/</w:t>
      </w:r>
      <w:r w:rsidR="00861FFD">
        <w:rPr>
          <w:rFonts w:ascii="Times New Roman" w:hAnsi="Times New Roman" w:cs="Times New Roman"/>
          <w:sz w:val="28"/>
          <w:szCs w:val="28"/>
          <w:u w:val="single"/>
        </w:rPr>
        <w:t>Kevin D. Heade</w:t>
      </w:r>
      <w:r w:rsidRPr="00964AF1">
        <w:rPr>
          <w:rFonts w:ascii="Times New Roman" w:hAnsi="Times New Roman" w:cs="Times New Roman"/>
          <w:sz w:val="28"/>
          <w:szCs w:val="28"/>
          <w:u w:val="single"/>
        </w:rPr>
        <w:tab/>
      </w:r>
    </w:p>
    <w:p w:rsidR="00D55526" w:rsidRPr="00964AF1" w:rsidRDefault="00861FFD" w:rsidP="00D55526">
      <w:pPr>
        <w:tabs>
          <w:tab w:val="left" w:pos="-1440"/>
        </w:tabs>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KEVIN D. HEADE</w:t>
      </w:r>
    </w:p>
    <w:p w:rsidR="00D55526" w:rsidRPr="00964AF1" w:rsidRDefault="00D55526" w:rsidP="00D55526">
      <w:pPr>
        <w:pStyle w:val="normal0"/>
        <w:spacing w:line="480" w:lineRule="auto"/>
        <w:rPr>
          <w:rFonts w:ascii="Times New Roman" w:hAnsi="Times New Roman" w:cs="Times New Roman"/>
          <w:sz w:val="28"/>
          <w:szCs w:val="28"/>
        </w:rPr>
      </w:pPr>
    </w:p>
    <w:p w:rsidR="00FB1C21" w:rsidRPr="00964AF1" w:rsidRDefault="00FB1C21" w:rsidP="00D55526">
      <w:pPr>
        <w:pStyle w:val="normal0"/>
        <w:spacing w:line="480" w:lineRule="auto"/>
        <w:ind w:firstLine="720"/>
        <w:jc w:val="both"/>
        <w:rPr>
          <w:rFonts w:ascii="Times New Roman" w:hAnsi="Times New Roman" w:cs="Times New Roman"/>
          <w:sz w:val="28"/>
          <w:szCs w:val="28"/>
        </w:rPr>
      </w:pPr>
    </w:p>
    <w:sectPr w:rsidR="00FB1C21" w:rsidRPr="00964AF1" w:rsidSect="00A672DE">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1FFD" w:rsidRDefault="00861FFD" w:rsidP="0072224A">
      <w:pPr>
        <w:spacing w:line="240" w:lineRule="auto"/>
      </w:pPr>
      <w:r>
        <w:separator/>
      </w:r>
    </w:p>
  </w:endnote>
  <w:endnote w:type="continuationSeparator" w:id="0">
    <w:p w:rsidR="00861FFD" w:rsidRDefault="00861FFD" w:rsidP="0072224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247" w:rsidRDefault="00E9724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FFD" w:rsidRPr="009C179B" w:rsidRDefault="00FC5286">
    <w:pPr>
      <w:pStyle w:val="Footer"/>
      <w:jc w:val="center"/>
      <w:rPr>
        <w:rFonts w:ascii="Times New Roman" w:hAnsi="Times New Roman"/>
        <w:sz w:val="28"/>
        <w:szCs w:val="28"/>
      </w:rPr>
    </w:pPr>
    <w:r>
      <w:fldChar w:fldCharType="begin"/>
    </w:r>
    <w:r>
      <w:instrText xml:space="preserve"> PAGE   \* MERGEFORMAT </w:instrText>
    </w:r>
    <w:r>
      <w:fldChar w:fldCharType="separate"/>
    </w:r>
    <w:r w:rsidR="00F46D9F" w:rsidRPr="00F46D9F">
      <w:rPr>
        <w:rFonts w:ascii="Times New Roman" w:hAnsi="Times New Roman"/>
        <w:noProof/>
        <w:sz w:val="28"/>
        <w:szCs w:val="28"/>
      </w:rPr>
      <w:t>4</w:t>
    </w:r>
    <w:r>
      <w:fldChar w:fldCharType="end"/>
    </w:r>
  </w:p>
  <w:p w:rsidR="00861FFD" w:rsidRDefault="00861FF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247" w:rsidRDefault="00E972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1FFD" w:rsidRDefault="00861FFD" w:rsidP="0072224A">
      <w:pPr>
        <w:spacing w:line="240" w:lineRule="auto"/>
      </w:pPr>
      <w:r>
        <w:separator/>
      </w:r>
    </w:p>
  </w:footnote>
  <w:footnote w:type="continuationSeparator" w:id="0">
    <w:p w:rsidR="00861FFD" w:rsidRDefault="00861FFD" w:rsidP="0072224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247" w:rsidRDefault="00E9724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247" w:rsidRDefault="00E9724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247" w:rsidRDefault="00E9724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9796A"/>
    <w:multiLevelType w:val="hybridMultilevel"/>
    <w:tmpl w:val="F7809502"/>
    <w:lvl w:ilvl="0" w:tplc="6D10752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BE024F"/>
    <w:multiLevelType w:val="hybridMultilevel"/>
    <w:tmpl w:val="C18CC188"/>
    <w:lvl w:ilvl="0" w:tplc="785857F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FF194E"/>
    <w:multiLevelType w:val="hybridMultilevel"/>
    <w:tmpl w:val="E6C0EB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FC8516B"/>
    <w:multiLevelType w:val="hybridMultilevel"/>
    <w:tmpl w:val="C47EC8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55B7468"/>
    <w:multiLevelType w:val="hybridMultilevel"/>
    <w:tmpl w:val="685CFE7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removePersonalInformation/>
  <w:removeDateAndTime/>
  <w:displayBackgroundShape/>
  <w:proofState w:spelling="clean" w:grammar="clean"/>
  <w:revisionView w:markup="0"/>
  <w:doNotTrackMoves/>
  <w:defaultTabStop w:val="720"/>
  <w:characterSpacingControl w:val="doNotCompress"/>
  <w:hdrShapeDefaults>
    <o:shapedefaults v:ext="edit" spidmax="2049"/>
  </w:hdrShapeDefaults>
  <w:footnotePr>
    <w:footnote w:id="-1"/>
    <w:footnote w:id="0"/>
  </w:footnotePr>
  <w:endnotePr>
    <w:endnote w:id="-1"/>
    <w:endnote w:id="0"/>
  </w:endnotePr>
  <w:compat/>
  <w:rsids>
    <w:rsidRoot w:val="00A672DE"/>
    <w:rsid w:val="000279BD"/>
    <w:rsid w:val="00036AE5"/>
    <w:rsid w:val="00041E69"/>
    <w:rsid w:val="00063E62"/>
    <w:rsid w:val="00077063"/>
    <w:rsid w:val="000776F1"/>
    <w:rsid w:val="00090F20"/>
    <w:rsid w:val="00095C86"/>
    <w:rsid w:val="000F2676"/>
    <w:rsid w:val="00150FFD"/>
    <w:rsid w:val="0016289C"/>
    <w:rsid w:val="001706E3"/>
    <w:rsid w:val="0018400C"/>
    <w:rsid w:val="001900A2"/>
    <w:rsid w:val="00192BCE"/>
    <w:rsid w:val="001A2D3E"/>
    <w:rsid w:val="001B3364"/>
    <w:rsid w:val="001B39EE"/>
    <w:rsid w:val="002000A0"/>
    <w:rsid w:val="00215C29"/>
    <w:rsid w:val="00244C64"/>
    <w:rsid w:val="00245EAE"/>
    <w:rsid w:val="002479ED"/>
    <w:rsid w:val="00266C19"/>
    <w:rsid w:val="00297AB6"/>
    <w:rsid w:val="002A3A52"/>
    <w:rsid w:val="002B3B8C"/>
    <w:rsid w:val="002B64FC"/>
    <w:rsid w:val="002C435D"/>
    <w:rsid w:val="002D3D6D"/>
    <w:rsid w:val="003127B1"/>
    <w:rsid w:val="00314A2E"/>
    <w:rsid w:val="00323A6E"/>
    <w:rsid w:val="0033714A"/>
    <w:rsid w:val="003461BB"/>
    <w:rsid w:val="00347974"/>
    <w:rsid w:val="0037673C"/>
    <w:rsid w:val="0037769A"/>
    <w:rsid w:val="003A11A5"/>
    <w:rsid w:val="003B1FE3"/>
    <w:rsid w:val="003D7A5B"/>
    <w:rsid w:val="003F20F9"/>
    <w:rsid w:val="003F291E"/>
    <w:rsid w:val="003F2D45"/>
    <w:rsid w:val="00414555"/>
    <w:rsid w:val="004151E1"/>
    <w:rsid w:val="00425166"/>
    <w:rsid w:val="00426E90"/>
    <w:rsid w:val="0043194E"/>
    <w:rsid w:val="00440E0F"/>
    <w:rsid w:val="00442F42"/>
    <w:rsid w:val="004535B2"/>
    <w:rsid w:val="004611AC"/>
    <w:rsid w:val="00467EB7"/>
    <w:rsid w:val="00485833"/>
    <w:rsid w:val="004C1414"/>
    <w:rsid w:val="004C346D"/>
    <w:rsid w:val="004C59B7"/>
    <w:rsid w:val="004D1306"/>
    <w:rsid w:val="004E0745"/>
    <w:rsid w:val="004F298A"/>
    <w:rsid w:val="004F5747"/>
    <w:rsid w:val="005301A3"/>
    <w:rsid w:val="0058350D"/>
    <w:rsid w:val="005F6B5B"/>
    <w:rsid w:val="00675B66"/>
    <w:rsid w:val="006C620A"/>
    <w:rsid w:val="006D3378"/>
    <w:rsid w:val="006F0735"/>
    <w:rsid w:val="0072224A"/>
    <w:rsid w:val="00724B32"/>
    <w:rsid w:val="007407A8"/>
    <w:rsid w:val="00744343"/>
    <w:rsid w:val="007842B0"/>
    <w:rsid w:val="00793E67"/>
    <w:rsid w:val="007A31A8"/>
    <w:rsid w:val="007B410A"/>
    <w:rsid w:val="007E56CF"/>
    <w:rsid w:val="008006B9"/>
    <w:rsid w:val="00826EC6"/>
    <w:rsid w:val="008370BE"/>
    <w:rsid w:val="008450D3"/>
    <w:rsid w:val="00861DBB"/>
    <w:rsid w:val="00861FFD"/>
    <w:rsid w:val="00865FDC"/>
    <w:rsid w:val="00874ADE"/>
    <w:rsid w:val="00895815"/>
    <w:rsid w:val="008E140D"/>
    <w:rsid w:val="008E30E2"/>
    <w:rsid w:val="008F45ED"/>
    <w:rsid w:val="00904D8F"/>
    <w:rsid w:val="009536C6"/>
    <w:rsid w:val="00964AF1"/>
    <w:rsid w:val="00972553"/>
    <w:rsid w:val="009A13BF"/>
    <w:rsid w:val="009A3A23"/>
    <w:rsid w:val="009C179B"/>
    <w:rsid w:val="009D72C5"/>
    <w:rsid w:val="009E5F9E"/>
    <w:rsid w:val="009E7A40"/>
    <w:rsid w:val="009F32EB"/>
    <w:rsid w:val="00A03709"/>
    <w:rsid w:val="00A0393C"/>
    <w:rsid w:val="00A206CE"/>
    <w:rsid w:val="00A2509F"/>
    <w:rsid w:val="00A30BD3"/>
    <w:rsid w:val="00A31DF4"/>
    <w:rsid w:val="00A3299B"/>
    <w:rsid w:val="00A540A0"/>
    <w:rsid w:val="00A672DE"/>
    <w:rsid w:val="00A707BC"/>
    <w:rsid w:val="00A7182F"/>
    <w:rsid w:val="00A82A54"/>
    <w:rsid w:val="00A91602"/>
    <w:rsid w:val="00AA7B40"/>
    <w:rsid w:val="00AA7CD1"/>
    <w:rsid w:val="00AC0235"/>
    <w:rsid w:val="00AF5B7F"/>
    <w:rsid w:val="00B015C2"/>
    <w:rsid w:val="00B311F2"/>
    <w:rsid w:val="00B74809"/>
    <w:rsid w:val="00B969B4"/>
    <w:rsid w:val="00BB641E"/>
    <w:rsid w:val="00BF1A1D"/>
    <w:rsid w:val="00C06D28"/>
    <w:rsid w:val="00C310AB"/>
    <w:rsid w:val="00C4554E"/>
    <w:rsid w:val="00C578A0"/>
    <w:rsid w:val="00C74069"/>
    <w:rsid w:val="00C84F1C"/>
    <w:rsid w:val="00C91FA3"/>
    <w:rsid w:val="00C941ED"/>
    <w:rsid w:val="00CA6DD8"/>
    <w:rsid w:val="00CB022D"/>
    <w:rsid w:val="00CB43ED"/>
    <w:rsid w:val="00CD2434"/>
    <w:rsid w:val="00D01B36"/>
    <w:rsid w:val="00D04153"/>
    <w:rsid w:val="00D11E58"/>
    <w:rsid w:val="00D42BA2"/>
    <w:rsid w:val="00D4360A"/>
    <w:rsid w:val="00D52945"/>
    <w:rsid w:val="00D55526"/>
    <w:rsid w:val="00D976E6"/>
    <w:rsid w:val="00DA4CEF"/>
    <w:rsid w:val="00DD49DF"/>
    <w:rsid w:val="00E06BC8"/>
    <w:rsid w:val="00E12AFB"/>
    <w:rsid w:val="00E251B1"/>
    <w:rsid w:val="00E54367"/>
    <w:rsid w:val="00E74A85"/>
    <w:rsid w:val="00E819A2"/>
    <w:rsid w:val="00E97247"/>
    <w:rsid w:val="00EC673A"/>
    <w:rsid w:val="00EE41CB"/>
    <w:rsid w:val="00EF5A20"/>
    <w:rsid w:val="00F20C61"/>
    <w:rsid w:val="00F46D9F"/>
    <w:rsid w:val="00F539DF"/>
    <w:rsid w:val="00F667C2"/>
    <w:rsid w:val="00F771A7"/>
    <w:rsid w:val="00F950EF"/>
    <w:rsid w:val="00FB1C21"/>
    <w:rsid w:val="00FC5286"/>
    <w:rsid w:val="00FF13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367"/>
    <w:pPr>
      <w:spacing w:line="276" w:lineRule="auto"/>
    </w:pPr>
    <w:rPr>
      <w:color w:val="000000"/>
      <w:sz w:val="22"/>
    </w:rPr>
  </w:style>
  <w:style w:type="paragraph" w:styleId="Heading1">
    <w:name w:val="heading 1"/>
    <w:basedOn w:val="normal0"/>
    <w:next w:val="normal0"/>
    <w:rsid w:val="00A672DE"/>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rsid w:val="00A672DE"/>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rsid w:val="00A672DE"/>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rsid w:val="00A672DE"/>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rsid w:val="00A672DE"/>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rsid w:val="00A672DE"/>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A672DE"/>
    <w:pPr>
      <w:spacing w:line="276" w:lineRule="auto"/>
    </w:pPr>
    <w:rPr>
      <w:color w:val="000000"/>
      <w:sz w:val="22"/>
    </w:rPr>
  </w:style>
  <w:style w:type="paragraph" w:styleId="Title">
    <w:name w:val="Title"/>
    <w:basedOn w:val="normal0"/>
    <w:next w:val="normal0"/>
    <w:rsid w:val="00A672DE"/>
    <w:pPr>
      <w:keepNext/>
      <w:keepLines/>
      <w:contextualSpacing/>
    </w:pPr>
    <w:rPr>
      <w:rFonts w:ascii="Trebuchet MS" w:eastAsia="Trebuchet MS" w:hAnsi="Trebuchet MS" w:cs="Trebuchet MS"/>
      <w:sz w:val="42"/>
    </w:rPr>
  </w:style>
  <w:style w:type="paragraph" w:styleId="Subtitle">
    <w:name w:val="Subtitle"/>
    <w:basedOn w:val="normal0"/>
    <w:next w:val="normal0"/>
    <w:rsid w:val="00A672DE"/>
    <w:pPr>
      <w:keepNext/>
      <w:keepLines/>
      <w:spacing w:after="200"/>
      <w:contextualSpacing/>
    </w:pPr>
    <w:rPr>
      <w:rFonts w:ascii="Trebuchet MS" w:eastAsia="Trebuchet MS" w:hAnsi="Trebuchet MS" w:cs="Trebuchet MS"/>
      <w:i/>
      <w:color w:val="666666"/>
      <w:sz w:val="26"/>
    </w:rPr>
  </w:style>
  <w:style w:type="paragraph" w:customStyle="1" w:styleId="AttorneyName">
    <w:name w:val="Attorney Name"/>
    <w:basedOn w:val="Normal"/>
    <w:rsid w:val="00B969B4"/>
    <w:pPr>
      <w:spacing w:line="227" w:lineRule="exact"/>
    </w:pPr>
    <w:rPr>
      <w:rFonts w:ascii="Courier New" w:eastAsia="Times New Roman" w:hAnsi="Courier New" w:cs="Times New Roman"/>
      <w:color w:val="auto"/>
      <w:sz w:val="18"/>
    </w:rPr>
  </w:style>
  <w:style w:type="paragraph" w:customStyle="1" w:styleId="SingleSpacing">
    <w:name w:val="Single Spacing"/>
    <w:basedOn w:val="Normal"/>
    <w:rsid w:val="00B969B4"/>
    <w:pPr>
      <w:spacing w:line="227" w:lineRule="exact"/>
    </w:pPr>
    <w:rPr>
      <w:rFonts w:ascii="Courier New" w:eastAsia="Times New Roman" w:hAnsi="Courier New" w:cs="Times New Roman"/>
      <w:color w:val="auto"/>
      <w:sz w:val="18"/>
    </w:rPr>
  </w:style>
  <w:style w:type="character" w:styleId="Hyperlink">
    <w:name w:val="Hyperlink"/>
    <w:rsid w:val="00B969B4"/>
    <w:rPr>
      <w:color w:val="0000FF"/>
      <w:u w:val="single"/>
    </w:rPr>
  </w:style>
  <w:style w:type="paragraph" w:styleId="BalloonText">
    <w:name w:val="Balloon Text"/>
    <w:basedOn w:val="Normal"/>
    <w:link w:val="BalloonTextChar"/>
    <w:uiPriority w:val="99"/>
    <w:semiHidden/>
    <w:unhideWhenUsed/>
    <w:rsid w:val="00FB1C21"/>
    <w:pPr>
      <w:spacing w:line="240" w:lineRule="auto"/>
    </w:pPr>
    <w:rPr>
      <w:rFonts w:ascii="Tahoma" w:hAnsi="Tahoma" w:cs="Times New Roman"/>
      <w:color w:val="auto"/>
      <w:sz w:val="16"/>
      <w:szCs w:val="16"/>
    </w:rPr>
  </w:style>
  <w:style w:type="character" w:customStyle="1" w:styleId="BalloonTextChar">
    <w:name w:val="Balloon Text Char"/>
    <w:link w:val="BalloonText"/>
    <w:uiPriority w:val="99"/>
    <w:semiHidden/>
    <w:rsid w:val="00FB1C21"/>
    <w:rPr>
      <w:rFonts w:ascii="Tahoma" w:hAnsi="Tahoma" w:cs="Tahoma"/>
      <w:sz w:val="16"/>
      <w:szCs w:val="16"/>
    </w:rPr>
  </w:style>
  <w:style w:type="paragraph" w:styleId="ListParagraph">
    <w:name w:val="List Paragraph"/>
    <w:basedOn w:val="Normal"/>
    <w:uiPriority w:val="34"/>
    <w:qFormat/>
    <w:rsid w:val="008370BE"/>
    <w:pPr>
      <w:ind w:left="720"/>
      <w:contextualSpacing/>
    </w:pPr>
  </w:style>
  <w:style w:type="paragraph" w:styleId="FootnoteText">
    <w:name w:val="footnote text"/>
    <w:basedOn w:val="Normal"/>
    <w:link w:val="FootnoteTextChar"/>
    <w:unhideWhenUsed/>
    <w:rsid w:val="0072224A"/>
    <w:pPr>
      <w:spacing w:line="240" w:lineRule="auto"/>
    </w:pPr>
    <w:rPr>
      <w:rFonts w:cs="Times New Roman"/>
      <w:color w:val="auto"/>
      <w:sz w:val="20"/>
    </w:rPr>
  </w:style>
  <w:style w:type="character" w:customStyle="1" w:styleId="FootnoteTextChar">
    <w:name w:val="Footnote Text Char"/>
    <w:link w:val="FootnoteText"/>
    <w:rsid w:val="0072224A"/>
    <w:rPr>
      <w:sz w:val="20"/>
    </w:rPr>
  </w:style>
  <w:style w:type="character" w:styleId="FootnoteReference">
    <w:name w:val="footnote reference"/>
    <w:unhideWhenUsed/>
    <w:rsid w:val="0072224A"/>
    <w:rPr>
      <w:vertAlign w:val="superscript"/>
    </w:rPr>
  </w:style>
  <w:style w:type="paragraph" w:styleId="NoSpacing">
    <w:name w:val="No Spacing"/>
    <w:uiPriority w:val="1"/>
    <w:qFormat/>
    <w:rsid w:val="00245EAE"/>
    <w:rPr>
      <w:color w:val="000000"/>
      <w:sz w:val="22"/>
    </w:rPr>
  </w:style>
  <w:style w:type="paragraph" w:styleId="Header">
    <w:name w:val="header"/>
    <w:basedOn w:val="Normal"/>
    <w:link w:val="HeaderChar"/>
    <w:uiPriority w:val="99"/>
    <w:semiHidden/>
    <w:unhideWhenUsed/>
    <w:rsid w:val="008006B9"/>
    <w:pPr>
      <w:tabs>
        <w:tab w:val="center" w:pos="4680"/>
        <w:tab w:val="right" w:pos="9360"/>
      </w:tabs>
    </w:pPr>
    <w:rPr>
      <w:rFonts w:cs="Times New Roman"/>
    </w:rPr>
  </w:style>
  <w:style w:type="character" w:customStyle="1" w:styleId="HeaderChar">
    <w:name w:val="Header Char"/>
    <w:link w:val="Header"/>
    <w:uiPriority w:val="99"/>
    <w:semiHidden/>
    <w:rsid w:val="008006B9"/>
    <w:rPr>
      <w:color w:val="000000"/>
      <w:sz w:val="22"/>
    </w:rPr>
  </w:style>
  <w:style w:type="paragraph" w:styleId="Footer">
    <w:name w:val="footer"/>
    <w:basedOn w:val="Normal"/>
    <w:link w:val="FooterChar"/>
    <w:uiPriority w:val="99"/>
    <w:unhideWhenUsed/>
    <w:rsid w:val="008006B9"/>
    <w:pPr>
      <w:tabs>
        <w:tab w:val="center" w:pos="4680"/>
        <w:tab w:val="right" w:pos="9360"/>
      </w:tabs>
    </w:pPr>
    <w:rPr>
      <w:rFonts w:cs="Times New Roman"/>
    </w:rPr>
  </w:style>
  <w:style w:type="character" w:customStyle="1" w:styleId="FooterChar">
    <w:name w:val="Footer Char"/>
    <w:link w:val="Footer"/>
    <w:uiPriority w:val="99"/>
    <w:rsid w:val="008006B9"/>
    <w:rPr>
      <w:color w:val="000000"/>
      <w:sz w:val="22"/>
    </w:rPr>
  </w:style>
  <w:style w:type="table" w:styleId="TableGrid">
    <w:name w:val="Table Grid"/>
    <w:basedOn w:val="TableNormal"/>
    <w:uiPriority w:val="59"/>
    <w:rsid w:val="00A916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e1">
    <w:name w:val="title1"/>
    <w:basedOn w:val="DefaultParagraphFont"/>
    <w:rsid w:val="00744343"/>
    <w:rPr>
      <w:rFonts w:ascii="Arial" w:hAnsi="Arial" w:cs="Arial" w:hint="default"/>
      <w:color w:val="FFFFFF"/>
      <w:sz w:val="35"/>
      <w:szCs w:val="35"/>
      <w:shd w:val="clear" w:color="auto" w:fill="769FBD"/>
    </w:rPr>
  </w:style>
</w:styles>
</file>

<file path=word/webSettings.xml><?xml version="1.0" encoding="utf-8"?>
<w:webSettings xmlns:r="http://schemas.openxmlformats.org/officeDocument/2006/relationships" xmlns:w="http://schemas.openxmlformats.org/wordprocessingml/2006/main">
  <w:divs>
    <w:div w:id="320232270">
      <w:bodyDiv w:val="1"/>
      <w:marLeft w:val="0"/>
      <w:marRight w:val="0"/>
      <w:marTop w:val="0"/>
      <w:marBottom w:val="0"/>
      <w:divBdr>
        <w:top w:val="none" w:sz="0" w:space="0" w:color="auto"/>
        <w:left w:val="none" w:sz="0" w:space="0" w:color="auto"/>
        <w:bottom w:val="none" w:sz="0" w:space="0" w:color="auto"/>
        <w:right w:val="none" w:sz="0" w:space="0" w:color="auto"/>
      </w:divBdr>
      <w:divsChild>
        <w:div w:id="431630780">
          <w:marLeft w:val="0"/>
          <w:marRight w:val="0"/>
          <w:marTop w:val="0"/>
          <w:marBottom w:val="0"/>
          <w:divBdr>
            <w:top w:val="none" w:sz="0" w:space="0" w:color="auto"/>
            <w:left w:val="none" w:sz="0" w:space="0" w:color="auto"/>
            <w:bottom w:val="none" w:sz="0" w:space="0" w:color="auto"/>
            <w:right w:val="none" w:sz="0" w:space="0" w:color="auto"/>
          </w:divBdr>
          <w:divsChild>
            <w:div w:id="3023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03494">
      <w:bodyDiv w:val="1"/>
      <w:marLeft w:val="0"/>
      <w:marRight w:val="0"/>
      <w:marTop w:val="0"/>
      <w:marBottom w:val="0"/>
      <w:divBdr>
        <w:top w:val="none" w:sz="0" w:space="0" w:color="auto"/>
        <w:left w:val="none" w:sz="0" w:space="0" w:color="auto"/>
        <w:bottom w:val="none" w:sz="0" w:space="0" w:color="auto"/>
        <w:right w:val="none" w:sz="0" w:space="0" w:color="auto"/>
      </w:divBdr>
      <w:divsChild>
        <w:div w:id="1907300472">
          <w:marLeft w:val="0"/>
          <w:marRight w:val="0"/>
          <w:marTop w:val="0"/>
          <w:marBottom w:val="0"/>
          <w:divBdr>
            <w:top w:val="none" w:sz="0" w:space="0" w:color="auto"/>
            <w:left w:val="none" w:sz="0" w:space="0" w:color="auto"/>
            <w:bottom w:val="none" w:sz="0" w:space="0" w:color="auto"/>
            <w:right w:val="none" w:sz="0" w:space="0" w:color="auto"/>
          </w:divBdr>
          <w:divsChild>
            <w:div w:id="198982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878340">
      <w:bodyDiv w:val="1"/>
      <w:marLeft w:val="0"/>
      <w:marRight w:val="0"/>
      <w:marTop w:val="0"/>
      <w:marBottom w:val="0"/>
      <w:divBdr>
        <w:top w:val="none" w:sz="0" w:space="0" w:color="auto"/>
        <w:left w:val="none" w:sz="0" w:space="0" w:color="auto"/>
        <w:bottom w:val="none" w:sz="0" w:space="0" w:color="auto"/>
        <w:right w:val="none" w:sz="0" w:space="0" w:color="auto"/>
      </w:divBdr>
      <w:divsChild>
        <w:div w:id="429274271">
          <w:marLeft w:val="0"/>
          <w:marRight w:val="0"/>
          <w:marTop w:val="0"/>
          <w:marBottom w:val="0"/>
          <w:divBdr>
            <w:top w:val="none" w:sz="0" w:space="0" w:color="auto"/>
            <w:left w:val="none" w:sz="0" w:space="0" w:color="auto"/>
            <w:bottom w:val="none" w:sz="0" w:space="0" w:color="auto"/>
            <w:right w:val="none" w:sz="0" w:space="0" w:color="auto"/>
          </w:divBdr>
          <w:divsChild>
            <w:div w:id="103746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605667">
      <w:bodyDiv w:val="1"/>
      <w:marLeft w:val="0"/>
      <w:marRight w:val="0"/>
      <w:marTop w:val="0"/>
      <w:marBottom w:val="0"/>
      <w:divBdr>
        <w:top w:val="none" w:sz="0" w:space="0" w:color="auto"/>
        <w:left w:val="none" w:sz="0" w:space="0" w:color="auto"/>
        <w:bottom w:val="none" w:sz="0" w:space="0" w:color="auto"/>
        <w:right w:val="none" w:sz="0" w:space="0" w:color="auto"/>
      </w:divBdr>
    </w:div>
    <w:div w:id="1265915045">
      <w:bodyDiv w:val="1"/>
      <w:marLeft w:val="0"/>
      <w:marRight w:val="0"/>
      <w:marTop w:val="0"/>
      <w:marBottom w:val="0"/>
      <w:divBdr>
        <w:top w:val="none" w:sz="0" w:space="0" w:color="auto"/>
        <w:left w:val="none" w:sz="0" w:space="0" w:color="auto"/>
        <w:bottom w:val="none" w:sz="0" w:space="0" w:color="auto"/>
        <w:right w:val="none" w:sz="0" w:space="0" w:color="auto"/>
      </w:divBdr>
      <w:divsChild>
        <w:div w:id="1602909504">
          <w:marLeft w:val="0"/>
          <w:marRight w:val="0"/>
          <w:marTop w:val="0"/>
          <w:marBottom w:val="0"/>
          <w:divBdr>
            <w:top w:val="none" w:sz="0" w:space="0" w:color="auto"/>
            <w:left w:val="none" w:sz="0" w:space="0" w:color="auto"/>
            <w:bottom w:val="none" w:sz="0" w:space="0" w:color="auto"/>
            <w:right w:val="none" w:sz="0" w:space="0" w:color="auto"/>
          </w:divBdr>
        </w:div>
      </w:divsChild>
    </w:div>
    <w:div w:id="1988439517">
      <w:bodyDiv w:val="1"/>
      <w:marLeft w:val="0"/>
      <w:marRight w:val="0"/>
      <w:marTop w:val="0"/>
      <w:marBottom w:val="0"/>
      <w:divBdr>
        <w:top w:val="none" w:sz="0" w:space="0" w:color="auto"/>
        <w:left w:val="none" w:sz="0" w:space="0" w:color="auto"/>
        <w:bottom w:val="none" w:sz="0" w:space="0" w:color="auto"/>
        <w:right w:val="none" w:sz="0" w:space="0" w:color="auto"/>
      </w:divBdr>
      <w:divsChild>
        <w:div w:id="847477415">
          <w:marLeft w:val="0"/>
          <w:marRight w:val="0"/>
          <w:marTop w:val="0"/>
          <w:marBottom w:val="0"/>
          <w:divBdr>
            <w:top w:val="none" w:sz="0" w:space="0" w:color="auto"/>
            <w:left w:val="none" w:sz="0" w:space="0" w:color="auto"/>
            <w:bottom w:val="none" w:sz="0" w:space="0" w:color="auto"/>
            <w:right w:val="none" w:sz="0" w:space="0" w:color="auto"/>
          </w:divBdr>
          <w:divsChild>
            <w:div w:id="99491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CentralAZ@NLG.org"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zleg.gov//FormatDocument.asp?inDoc=/legtext/51leg/2r/summary/h.hb2454_concurrefusememo.doc.htm&amp;Session_ID=112"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zleg.gov//FormatDocument.asp?inDoc=/legtext/51leg/2r/summary/h.hb2454_02-27-14_houseengrossed.doc.htm&amp;Session_ID=11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zleg.gov//FormatDocument.asp?inDoc=/legtext/51leg/2r/summary/s.2454jud_aspassedcommittee.doc.htm&amp;Session_ID=11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next.westlaw.com/Link/Document/FullText?findType=L&amp;pubNum=1000251&amp;cite=AZCNART3&amp;originatingDoc=Ib8e377470fd111debc7bf97f340af743&amp;refType=LQ&amp;originationContext=document&amp;transitionType=DocumentItem&amp;contextData=(sc.RelatedInfo)"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7912DE-D12F-4DF0-ABA3-2A0B70899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1542</Words>
  <Characters>8796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10318</CharactersWithSpaces>
  <SharedDoc>false</SharedDoc>
  <HLinks>
    <vt:vector size="42" baseType="variant">
      <vt:variant>
        <vt:i4>3670124</vt:i4>
      </vt:variant>
      <vt:variant>
        <vt:i4>3</vt:i4>
      </vt:variant>
      <vt:variant>
        <vt:i4>0</vt:i4>
      </vt:variant>
      <vt:variant>
        <vt:i4>5</vt:i4>
      </vt:variant>
      <vt:variant>
        <vt:lpwstr>http://www.azcorrections.gov/ Policies/900/0902.pdf</vt:lpwstr>
      </vt:variant>
      <vt:variant>
        <vt:lpwstr/>
      </vt:variant>
      <vt:variant>
        <vt:i4>131199</vt:i4>
      </vt:variant>
      <vt:variant>
        <vt:i4>0</vt:i4>
      </vt:variant>
      <vt:variant>
        <vt:i4>0</vt:i4>
      </vt:variant>
      <vt:variant>
        <vt:i4>5</vt:i4>
      </vt:variant>
      <vt:variant>
        <vt:lpwstr>mailto:PD_Minute_Entries@mail.maricopa.gov</vt:lpwstr>
      </vt:variant>
      <vt:variant>
        <vt:lpwstr/>
      </vt:variant>
      <vt:variant>
        <vt:i4>458776</vt:i4>
      </vt:variant>
      <vt:variant>
        <vt:i4>12</vt:i4>
      </vt:variant>
      <vt:variant>
        <vt:i4>0</vt:i4>
      </vt:variant>
      <vt:variant>
        <vt:i4>5</vt:i4>
      </vt:variant>
      <vt:variant>
        <vt:lpwstr>http://www.fortherecord.com/products/player/</vt:lpwstr>
      </vt:variant>
      <vt:variant>
        <vt:lpwstr/>
      </vt:variant>
      <vt:variant>
        <vt:i4>1835079</vt:i4>
      </vt:variant>
      <vt:variant>
        <vt:i4>9</vt:i4>
      </vt:variant>
      <vt:variant>
        <vt:i4>0</vt:i4>
      </vt:variant>
      <vt:variant>
        <vt:i4>5</vt:i4>
      </vt:variant>
      <vt:variant>
        <vt:lpwstr>http://en.wikipedia.org/wiki/Words_per_minute</vt:lpwstr>
      </vt:variant>
      <vt:variant>
        <vt:lpwstr/>
      </vt:variant>
      <vt:variant>
        <vt:i4>1835079</vt:i4>
      </vt:variant>
      <vt:variant>
        <vt:i4>6</vt:i4>
      </vt:variant>
      <vt:variant>
        <vt:i4>0</vt:i4>
      </vt:variant>
      <vt:variant>
        <vt:i4>5</vt:i4>
      </vt:variant>
      <vt:variant>
        <vt:lpwstr>http://en.wikipedia.org/wiki/Words_per_minute</vt:lpwstr>
      </vt:variant>
      <vt:variant>
        <vt:lpwstr/>
      </vt:variant>
      <vt:variant>
        <vt:i4>1835079</vt:i4>
      </vt:variant>
      <vt:variant>
        <vt:i4>3</vt:i4>
      </vt:variant>
      <vt:variant>
        <vt:i4>0</vt:i4>
      </vt:variant>
      <vt:variant>
        <vt:i4>5</vt:i4>
      </vt:variant>
      <vt:variant>
        <vt:lpwstr>http://en.wikipedia.org/wiki/Words_per_minute</vt:lpwstr>
      </vt:variant>
      <vt:variant>
        <vt:lpwstr/>
      </vt:variant>
      <vt:variant>
        <vt:i4>1835079</vt:i4>
      </vt:variant>
      <vt:variant>
        <vt:i4>0</vt:i4>
      </vt:variant>
      <vt:variant>
        <vt:i4>0</vt:i4>
      </vt:variant>
      <vt:variant>
        <vt:i4>5</vt:i4>
      </vt:variant>
      <vt:variant>
        <vt:lpwstr>http://en.wikipedia.org/wiki/Words_per_minute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2014-09-26T00:34:00Z</dcterms:created>
  <dcterms:modified xsi:type="dcterms:W3CDTF">2014-09-26T00:34:00Z</dcterms:modified>
</cp:coreProperties>
</file>