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54AE1" w:rsidRPr="00F24FAF" w:rsidRDefault="00991AF6">
      <w:pPr>
        <w:rPr>
          <w:rFonts w:ascii="Times New Roman" w:hAnsi="Times New Roman" w:cs="Times New Roman"/>
          <w:sz w:val="28"/>
          <w:szCs w:val="28"/>
        </w:rPr>
      </w:pPr>
      <w:bookmarkStart w:id="0" w:name="h.gjdgxs" w:colFirst="0" w:colLast="0"/>
      <w:bookmarkEnd w:id="0"/>
      <w:r w:rsidRPr="00F24FAF">
        <w:rPr>
          <w:rFonts w:ascii="Times New Roman" w:eastAsia="Times New Roman" w:hAnsi="Times New Roman" w:cs="Times New Roman"/>
          <w:b/>
          <w:sz w:val="28"/>
          <w:szCs w:val="28"/>
        </w:rPr>
        <w:t>ARIZONA ATTORNEYS FOR CRIMINAL JUSTICE</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b/>
          <w:sz w:val="28"/>
          <w:szCs w:val="28"/>
        </w:rPr>
        <w:t>PO Box 41213</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b/>
          <w:sz w:val="28"/>
          <w:szCs w:val="28"/>
        </w:rPr>
        <w:t>Phoenix, AZ 85080-1213</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b/>
          <w:sz w:val="28"/>
          <w:szCs w:val="28"/>
        </w:rPr>
        <w:t>TEL:  (480) 812-1700</w:t>
      </w:r>
    </w:p>
    <w:p w:rsidR="00B54AE1" w:rsidRPr="00F24FAF" w:rsidRDefault="00EE7634">
      <w:pPr>
        <w:rPr>
          <w:rFonts w:ascii="Times New Roman" w:hAnsi="Times New Roman" w:cs="Times New Roman"/>
          <w:sz w:val="28"/>
          <w:szCs w:val="28"/>
        </w:rPr>
      </w:pPr>
      <w:r w:rsidRPr="00F24FAF">
        <w:rPr>
          <w:rFonts w:ascii="Times New Roman" w:eastAsia="Times New Roman" w:hAnsi="Times New Roman" w:cs="Times New Roman"/>
          <w:b/>
          <w:i/>
          <w:sz w:val="28"/>
          <w:szCs w:val="28"/>
        </w:rPr>
        <w:t>AMY KALMAN</w:t>
      </w:r>
      <w:r w:rsidR="00991AF6" w:rsidRPr="00F24FAF">
        <w:rPr>
          <w:rFonts w:ascii="Times New Roman" w:eastAsia="Times New Roman" w:hAnsi="Times New Roman" w:cs="Times New Roman"/>
          <w:b/>
          <w:i/>
          <w:sz w:val="28"/>
          <w:szCs w:val="28"/>
        </w:rPr>
        <w:t>, SB#02</w:t>
      </w:r>
      <w:r w:rsidRPr="00F24FAF">
        <w:rPr>
          <w:rFonts w:ascii="Times New Roman" w:eastAsia="Times New Roman" w:hAnsi="Times New Roman" w:cs="Times New Roman"/>
          <w:b/>
          <w:i/>
          <w:sz w:val="28"/>
          <w:szCs w:val="28"/>
        </w:rPr>
        <w:t>4978</w:t>
      </w:r>
    </w:p>
    <w:p w:rsidR="00B54AE1" w:rsidRPr="00F24FAF" w:rsidRDefault="00E9165D">
      <w:pPr>
        <w:rPr>
          <w:rFonts w:ascii="Times New Roman" w:hAnsi="Times New Roman" w:cs="Times New Roman"/>
          <w:sz w:val="28"/>
          <w:szCs w:val="28"/>
        </w:rPr>
      </w:pPr>
      <w:hyperlink r:id="rId8" w:history="1">
        <w:r w:rsidR="00EE7634" w:rsidRPr="00F24FAF">
          <w:rPr>
            <w:rStyle w:val="Hyperlink"/>
            <w:rFonts w:ascii="Times New Roman" w:eastAsia="Times New Roman" w:hAnsi="Times New Roman" w:cs="Times New Roman"/>
            <w:b/>
            <w:i/>
            <w:sz w:val="28"/>
            <w:szCs w:val="28"/>
          </w:rPr>
          <w:t>kalmana@mail.maricopa.gov</w:t>
        </w:r>
      </w:hyperlink>
      <w:hyperlink r:id="rId9"/>
    </w:p>
    <w:p w:rsidR="00B54AE1" w:rsidRPr="00F24FAF" w:rsidRDefault="00E9165D">
      <w:pPr>
        <w:rPr>
          <w:rFonts w:ascii="Times New Roman" w:hAnsi="Times New Roman" w:cs="Times New Roman"/>
          <w:sz w:val="28"/>
          <w:szCs w:val="28"/>
        </w:rPr>
      </w:pPr>
      <w:hyperlink r:id="rId10"/>
    </w:p>
    <w:p w:rsidR="00B54AE1" w:rsidRPr="00F24FAF" w:rsidRDefault="00E9165D">
      <w:pPr>
        <w:rPr>
          <w:rFonts w:ascii="Times New Roman" w:hAnsi="Times New Roman" w:cs="Times New Roman"/>
          <w:sz w:val="28"/>
          <w:szCs w:val="28"/>
        </w:rPr>
      </w:pPr>
      <w:hyperlink r:id="rId11"/>
    </w:p>
    <w:p w:rsidR="00B54AE1" w:rsidRPr="00F24FAF" w:rsidRDefault="00991AF6">
      <w:pPr>
        <w:jc w:val="center"/>
        <w:rPr>
          <w:rFonts w:ascii="Times New Roman" w:hAnsi="Times New Roman" w:cs="Times New Roman"/>
          <w:sz w:val="28"/>
          <w:szCs w:val="28"/>
        </w:rPr>
      </w:pPr>
      <w:r w:rsidRPr="00F24FAF">
        <w:rPr>
          <w:rFonts w:ascii="Times New Roman" w:eastAsia="Times New Roman" w:hAnsi="Times New Roman" w:cs="Times New Roman"/>
          <w:b/>
          <w:sz w:val="28"/>
          <w:szCs w:val="28"/>
        </w:rPr>
        <w:t>IN THE SUPREME COURT OF THE STATE OF ARIZONA</w:t>
      </w:r>
    </w:p>
    <w:p w:rsidR="00B54AE1" w:rsidRPr="00F24FAF" w:rsidRDefault="00B54AE1">
      <w:pPr>
        <w:jc w:val="center"/>
        <w:rPr>
          <w:rFonts w:ascii="Times New Roman" w:hAnsi="Times New Roman" w:cs="Times New Roman"/>
          <w:sz w:val="28"/>
          <w:szCs w:val="28"/>
        </w:rPr>
      </w:pPr>
    </w:p>
    <w:p w:rsidR="00B54AE1" w:rsidRPr="00F24FAF" w:rsidRDefault="00B54AE1">
      <w:pPr>
        <w:rPr>
          <w:rFonts w:ascii="Times New Roman" w:hAnsi="Times New Roman" w:cs="Times New Roman"/>
          <w:sz w:val="28"/>
          <w:szCs w:val="28"/>
        </w:rPr>
      </w:pPr>
    </w:p>
    <w:tbl>
      <w:tblPr>
        <w:tblW w:w="9360" w:type="dxa"/>
        <w:tblLayout w:type="fixed"/>
        <w:tblLook w:val="0600"/>
      </w:tblPr>
      <w:tblGrid>
        <w:gridCol w:w="4542"/>
        <w:gridCol w:w="276"/>
        <w:gridCol w:w="4542"/>
      </w:tblGrid>
      <w:tr w:rsidR="00B54AE1" w:rsidRPr="00F24FAF">
        <w:tc>
          <w:tcPr>
            <w:tcW w:w="4542" w:type="dxa"/>
            <w:shd w:val="clear" w:color="auto" w:fill="FFFFFF"/>
            <w:tcMar>
              <w:left w:w="0" w:type="dxa"/>
              <w:right w:w="0" w:type="dxa"/>
            </w:tcMar>
          </w:tcPr>
          <w:p w:rsidR="00B54AE1" w:rsidRPr="00F24FAF" w:rsidRDefault="00991AF6">
            <w:pPr>
              <w:tabs>
                <w:tab w:val="left" w:pos="1500"/>
              </w:tabs>
              <w:rPr>
                <w:rFonts w:ascii="Times New Roman" w:hAnsi="Times New Roman" w:cs="Times New Roman"/>
                <w:sz w:val="28"/>
                <w:szCs w:val="28"/>
              </w:rPr>
            </w:pPr>
            <w:bookmarkStart w:id="1" w:name="h.30j0zll" w:colFirst="0" w:colLast="0"/>
            <w:bookmarkEnd w:id="1"/>
            <w:r w:rsidRPr="00F24FAF">
              <w:rPr>
                <w:rFonts w:ascii="Times New Roman" w:eastAsia="Times New Roman" w:hAnsi="Times New Roman" w:cs="Times New Roman"/>
                <w:sz w:val="28"/>
                <w:szCs w:val="28"/>
              </w:rPr>
              <w:t>In the Matter of:</w:t>
            </w:r>
          </w:p>
          <w:p w:rsidR="00B54AE1" w:rsidRPr="00F24FAF" w:rsidRDefault="00B54AE1">
            <w:pPr>
              <w:tabs>
                <w:tab w:val="left" w:pos="1500"/>
              </w:tabs>
              <w:rPr>
                <w:rFonts w:ascii="Times New Roman" w:hAnsi="Times New Roman" w:cs="Times New Roman"/>
                <w:sz w:val="28"/>
                <w:szCs w:val="28"/>
              </w:rPr>
            </w:pPr>
          </w:p>
          <w:p w:rsidR="00B54AE1" w:rsidRPr="00F24FAF" w:rsidRDefault="00B54AE1">
            <w:pPr>
              <w:tabs>
                <w:tab w:val="left" w:pos="1500"/>
              </w:tabs>
              <w:rPr>
                <w:rFonts w:ascii="Times New Roman" w:hAnsi="Times New Roman" w:cs="Times New Roman"/>
                <w:sz w:val="28"/>
                <w:szCs w:val="28"/>
              </w:rPr>
            </w:pPr>
          </w:p>
          <w:p w:rsidR="00B54AE1" w:rsidRPr="00F24FAF" w:rsidRDefault="00991AF6" w:rsidP="00EE7634">
            <w:pPr>
              <w:tabs>
                <w:tab w:val="left" w:pos="1500"/>
              </w:tabs>
              <w:rPr>
                <w:rFonts w:ascii="Times New Roman" w:hAnsi="Times New Roman" w:cs="Times New Roman"/>
                <w:sz w:val="28"/>
                <w:szCs w:val="28"/>
              </w:rPr>
            </w:pPr>
            <w:r w:rsidRPr="00F24FAF">
              <w:rPr>
                <w:rFonts w:ascii="Times New Roman" w:eastAsia="Times New Roman" w:hAnsi="Times New Roman" w:cs="Times New Roman"/>
                <w:sz w:val="28"/>
                <w:szCs w:val="28"/>
              </w:rPr>
              <w:t xml:space="preserve">Petition to Adopt </w:t>
            </w:r>
            <w:r w:rsidR="00EE7634" w:rsidRPr="00F24FAF">
              <w:rPr>
                <w:rFonts w:ascii="Times New Roman" w:eastAsia="Times New Roman" w:hAnsi="Times New Roman" w:cs="Times New Roman"/>
                <w:sz w:val="28"/>
                <w:szCs w:val="28"/>
              </w:rPr>
              <w:t xml:space="preserve">Modified </w:t>
            </w:r>
            <w:r w:rsidRPr="00F24FAF">
              <w:rPr>
                <w:rFonts w:ascii="Times New Roman" w:eastAsia="Times New Roman" w:hAnsi="Times New Roman" w:cs="Times New Roman"/>
                <w:sz w:val="28"/>
                <w:szCs w:val="28"/>
              </w:rPr>
              <w:t xml:space="preserve">Rule </w:t>
            </w:r>
            <w:r w:rsidR="00EE7634" w:rsidRPr="00F24FAF">
              <w:rPr>
                <w:rFonts w:ascii="Times New Roman" w:eastAsia="Times New Roman" w:hAnsi="Times New Roman" w:cs="Times New Roman"/>
                <w:sz w:val="28"/>
                <w:szCs w:val="28"/>
              </w:rPr>
              <w:t>12.5</w:t>
            </w:r>
            <w:r w:rsidRPr="00F24FAF">
              <w:rPr>
                <w:rFonts w:ascii="Times New Roman" w:eastAsia="Times New Roman" w:hAnsi="Times New Roman" w:cs="Times New Roman"/>
                <w:sz w:val="28"/>
                <w:szCs w:val="28"/>
              </w:rPr>
              <w:t>, Ariz. R. Crim. P.</w:t>
            </w:r>
          </w:p>
        </w:tc>
        <w:tc>
          <w:tcPr>
            <w:tcW w:w="276" w:type="dxa"/>
            <w:shd w:val="clear" w:color="auto" w:fill="FFFFFF"/>
            <w:tcMar>
              <w:left w:w="0" w:type="dxa"/>
              <w:right w:w="0" w:type="dxa"/>
            </w:tcMar>
          </w:tcPr>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w:t>
            </w:r>
          </w:p>
        </w:tc>
        <w:tc>
          <w:tcPr>
            <w:tcW w:w="4542" w:type="dxa"/>
            <w:shd w:val="clear" w:color="auto" w:fill="FFFFFF"/>
            <w:tcMar>
              <w:left w:w="0" w:type="dxa"/>
              <w:right w:w="0" w:type="dxa"/>
            </w:tcMar>
          </w:tcPr>
          <w:p w:rsidR="00B54AE1" w:rsidRPr="00F24FAF" w:rsidRDefault="00991AF6">
            <w:pPr>
              <w:rPr>
                <w:rFonts w:ascii="Times New Roman" w:hAnsi="Times New Roman" w:cs="Times New Roman"/>
                <w:sz w:val="28"/>
                <w:szCs w:val="28"/>
              </w:rPr>
            </w:pPr>
            <w:bookmarkStart w:id="2" w:name="h.1fob9te" w:colFirst="0" w:colLast="0"/>
            <w:bookmarkEnd w:id="2"/>
            <w:r w:rsidRPr="00F24FAF">
              <w:rPr>
                <w:rFonts w:ascii="Times New Roman" w:eastAsia="Times New Roman" w:hAnsi="Times New Roman" w:cs="Times New Roman"/>
                <w:sz w:val="28"/>
                <w:szCs w:val="28"/>
              </w:rPr>
              <w:t>No. R-14-000</w:t>
            </w:r>
            <w:r w:rsidR="00110E81">
              <w:rPr>
                <w:rFonts w:ascii="Times New Roman" w:eastAsia="Times New Roman" w:hAnsi="Times New Roman" w:cs="Times New Roman"/>
                <w:sz w:val="28"/>
                <w:szCs w:val="28"/>
              </w:rPr>
              <w:t>6</w:t>
            </w:r>
          </w:p>
          <w:p w:rsidR="00B54AE1" w:rsidRPr="00F24FAF" w:rsidRDefault="00B54AE1">
            <w:pPr>
              <w:rPr>
                <w:rFonts w:ascii="Times New Roman" w:hAnsi="Times New Roman" w:cs="Times New Roman"/>
                <w:sz w:val="28"/>
                <w:szCs w:val="28"/>
              </w:rPr>
            </w:pPr>
          </w:p>
          <w:p w:rsidR="00B54AE1" w:rsidRPr="00F24FAF" w:rsidRDefault="00991AF6" w:rsidP="00EE7634">
            <w:pPr>
              <w:rPr>
                <w:rFonts w:ascii="Times New Roman" w:hAnsi="Times New Roman" w:cs="Times New Roman"/>
                <w:sz w:val="28"/>
                <w:szCs w:val="28"/>
              </w:rPr>
            </w:pPr>
            <w:r w:rsidRPr="00F24FAF">
              <w:rPr>
                <w:rFonts w:ascii="Times New Roman" w:eastAsia="Times New Roman" w:hAnsi="Times New Roman" w:cs="Times New Roman"/>
                <w:b/>
                <w:sz w:val="28"/>
                <w:szCs w:val="28"/>
              </w:rPr>
              <w:t xml:space="preserve">COMMENT OF ARIZONA ATTORNEYS FOR CRIMINAL JUSTICE REGARDING PETITION TO ADOPT </w:t>
            </w:r>
            <w:r w:rsidR="00EE7634" w:rsidRPr="00F24FAF">
              <w:rPr>
                <w:rFonts w:ascii="Times New Roman" w:eastAsia="Times New Roman" w:hAnsi="Times New Roman" w:cs="Times New Roman"/>
                <w:b/>
                <w:sz w:val="28"/>
                <w:szCs w:val="28"/>
              </w:rPr>
              <w:t xml:space="preserve">MODIFIED </w:t>
            </w:r>
            <w:r w:rsidRPr="00F24FAF">
              <w:rPr>
                <w:rFonts w:ascii="Times New Roman" w:eastAsia="Times New Roman" w:hAnsi="Times New Roman" w:cs="Times New Roman"/>
                <w:b/>
                <w:sz w:val="28"/>
                <w:szCs w:val="28"/>
              </w:rPr>
              <w:t xml:space="preserve">RULE </w:t>
            </w:r>
            <w:r w:rsidR="00EE7634" w:rsidRPr="00F24FAF">
              <w:rPr>
                <w:rFonts w:ascii="Times New Roman" w:eastAsia="Times New Roman" w:hAnsi="Times New Roman" w:cs="Times New Roman"/>
                <w:b/>
                <w:sz w:val="28"/>
                <w:szCs w:val="28"/>
              </w:rPr>
              <w:t>12.5</w:t>
            </w:r>
            <w:r w:rsidRPr="00F24FAF">
              <w:rPr>
                <w:rFonts w:ascii="Times New Roman" w:eastAsia="Times New Roman" w:hAnsi="Times New Roman" w:cs="Times New Roman"/>
                <w:b/>
                <w:sz w:val="28"/>
                <w:szCs w:val="28"/>
              </w:rPr>
              <w:t>, ARIZONA RULES OF CRIMINAL PROCEDURE</w:t>
            </w:r>
          </w:p>
        </w:tc>
      </w:tr>
    </w:tbl>
    <w:p w:rsidR="00B54AE1" w:rsidRPr="00F24FAF" w:rsidRDefault="00B54AE1">
      <w:pPr>
        <w:spacing w:line="480" w:lineRule="auto"/>
        <w:jc w:val="both"/>
        <w:rPr>
          <w:rFonts w:ascii="Times New Roman" w:hAnsi="Times New Roman" w:cs="Times New Roman"/>
          <w:sz w:val="28"/>
          <w:szCs w:val="28"/>
        </w:rPr>
      </w:pPr>
    </w:p>
    <w:p w:rsidR="002A18A1" w:rsidRPr="00F24FAF" w:rsidRDefault="003B30B3">
      <w:pPr>
        <w:spacing w:line="480" w:lineRule="auto"/>
        <w:jc w:val="both"/>
        <w:rPr>
          <w:rFonts w:ascii="Times New Roman" w:eastAsia="Times New Roman" w:hAnsi="Times New Roman" w:cs="Times New Roman"/>
          <w:sz w:val="28"/>
          <w:szCs w:val="28"/>
        </w:rPr>
      </w:pPr>
      <w:r w:rsidRPr="00F24FAF">
        <w:rPr>
          <w:rFonts w:ascii="Times New Roman" w:eastAsia="Times New Roman" w:hAnsi="Times New Roman" w:cs="Times New Roman"/>
          <w:sz w:val="28"/>
          <w:szCs w:val="28"/>
        </w:rPr>
        <w:tab/>
      </w:r>
      <w:r w:rsidR="00991AF6" w:rsidRPr="00F24FAF">
        <w:rPr>
          <w:rFonts w:ascii="Times New Roman" w:eastAsia="Times New Roman" w:hAnsi="Times New Roman" w:cs="Times New Roman"/>
          <w:sz w:val="28"/>
          <w:szCs w:val="28"/>
        </w:rPr>
        <w:t>Pursuant to Rule 28 of the Arizona Rules of Supreme Court, Arizona Attorneys for Criminal Justice (“AACJ”) submits the following comment to the above-referenced petition</w:t>
      </w:r>
      <w:r w:rsidR="002A18A1" w:rsidRPr="00F24FAF">
        <w:rPr>
          <w:rFonts w:ascii="Times New Roman" w:eastAsia="Times New Roman" w:hAnsi="Times New Roman" w:cs="Times New Roman"/>
          <w:sz w:val="28"/>
          <w:szCs w:val="28"/>
        </w:rPr>
        <w:t>, asking that the proposed modification either be altered as requested herein, or alternatively rejected in its entirety</w:t>
      </w:r>
      <w:r w:rsidR="00991AF6" w:rsidRPr="00F24FAF">
        <w:rPr>
          <w:rFonts w:ascii="Times New Roman" w:eastAsia="Times New Roman" w:hAnsi="Times New Roman" w:cs="Times New Roman"/>
          <w:sz w:val="28"/>
          <w:szCs w:val="28"/>
        </w:rPr>
        <w:t xml:space="preserve">.  </w:t>
      </w:r>
    </w:p>
    <w:p w:rsidR="00B54AE1" w:rsidRPr="00F24FAF" w:rsidRDefault="00991AF6" w:rsidP="002A18A1">
      <w:pPr>
        <w:spacing w:line="480" w:lineRule="auto"/>
        <w:ind w:firstLine="720"/>
        <w:jc w:val="both"/>
        <w:rPr>
          <w:rFonts w:ascii="Times New Roman" w:hAnsi="Times New Roman" w:cs="Times New Roman"/>
          <w:sz w:val="28"/>
          <w:szCs w:val="28"/>
        </w:rPr>
      </w:pPr>
      <w:r w:rsidRPr="00F24FAF">
        <w:rPr>
          <w:rFonts w:ascii="Times New Roman" w:eastAsia="Times New Roman" w:hAnsi="Times New Roman" w:cs="Times New Roman"/>
          <w:sz w:val="28"/>
          <w:szCs w:val="28"/>
        </w:rPr>
        <w:t xml:space="preserve">AACJ is a statewide not-for-profit membership organization of criminal defense lawyers, law students, and associated professionals dedicated to protecting the rights of the accused in the courts and in the legislature; promoting excellence in the practice of criminal law through education, training, and mutual assistance; and fostering public awareness of citizens’ rights, the criminal justice system, and </w:t>
      </w:r>
      <w:r w:rsidRPr="00F24FAF">
        <w:rPr>
          <w:rFonts w:ascii="Times New Roman" w:eastAsia="Times New Roman" w:hAnsi="Times New Roman" w:cs="Times New Roman"/>
          <w:sz w:val="28"/>
          <w:szCs w:val="28"/>
        </w:rPr>
        <w:lastRenderedPageBreak/>
        <w:t>the role of the defense lawyer. AACJ is the Arizona state affiliate organization to the National Association of Criminal Defense Lawyers, with which it shares its pursuit of ensuring justice and due process for persons accused of crime, improving the integrity, independence and expertise of the criminal defense profession, and promoting the proper and fair administration of criminal justice.</w:t>
      </w:r>
    </w:p>
    <w:p w:rsidR="002A18A1" w:rsidRPr="00F24FAF" w:rsidRDefault="002A18A1" w:rsidP="002A18A1">
      <w:pPr>
        <w:pStyle w:val="ListParagraph"/>
        <w:numPr>
          <w:ilvl w:val="0"/>
          <w:numId w:val="2"/>
        </w:numPr>
        <w:spacing w:line="480" w:lineRule="auto"/>
        <w:jc w:val="both"/>
        <w:rPr>
          <w:rFonts w:ascii="Times New Roman" w:hAnsi="Times New Roman" w:cs="Times New Roman"/>
          <w:b/>
          <w:sz w:val="28"/>
          <w:szCs w:val="28"/>
        </w:rPr>
      </w:pPr>
      <w:r w:rsidRPr="00F24FAF">
        <w:rPr>
          <w:rFonts w:ascii="Times New Roman" w:hAnsi="Times New Roman" w:cs="Times New Roman"/>
          <w:b/>
          <w:sz w:val="28"/>
          <w:szCs w:val="28"/>
        </w:rPr>
        <w:t xml:space="preserve"> Introduction</w:t>
      </w:r>
    </w:p>
    <w:p w:rsidR="002A18A1" w:rsidRPr="00F24FAF" w:rsidRDefault="00BA7F91" w:rsidP="002A18A1">
      <w:pPr>
        <w:spacing w:line="480" w:lineRule="auto"/>
        <w:ind w:firstLine="360"/>
        <w:jc w:val="both"/>
        <w:rPr>
          <w:rFonts w:ascii="Times New Roman" w:hAnsi="Times New Roman" w:cs="Times New Roman"/>
          <w:sz w:val="28"/>
          <w:szCs w:val="28"/>
        </w:rPr>
      </w:pPr>
      <w:r>
        <w:rPr>
          <w:rFonts w:ascii="Times New Roman" w:hAnsi="Times New Roman" w:cs="Times New Roman"/>
          <w:sz w:val="28"/>
          <w:szCs w:val="28"/>
        </w:rPr>
        <w:t>In Arizona, an</w:t>
      </w:r>
      <w:r w:rsidR="00A87521" w:rsidRPr="00F24FAF">
        <w:rPr>
          <w:rFonts w:ascii="Times New Roman" w:hAnsi="Times New Roman" w:cs="Times New Roman"/>
          <w:sz w:val="28"/>
          <w:szCs w:val="28"/>
        </w:rPr>
        <w:t xml:space="preserve"> </w:t>
      </w:r>
      <w:r>
        <w:rPr>
          <w:rFonts w:ascii="Times New Roman" w:hAnsi="Times New Roman" w:cs="Times New Roman"/>
          <w:sz w:val="28"/>
          <w:szCs w:val="28"/>
        </w:rPr>
        <w:t>accused</w:t>
      </w:r>
      <w:r w:rsidRPr="00F24FAF">
        <w:rPr>
          <w:rFonts w:ascii="Times New Roman" w:hAnsi="Times New Roman" w:cs="Times New Roman"/>
          <w:sz w:val="28"/>
          <w:szCs w:val="28"/>
        </w:rPr>
        <w:t xml:space="preserve"> </w:t>
      </w:r>
      <w:r w:rsidR="00A87521" w:rsidRPr="00F24FAF">
        <w:rPr>
          <w:rFonts w:ascii="Times New Roman" w:hAnsi="Times New Roman" w:cs="Times New Roman"/>
          <w:sz w:val="28"/>
          <w:szCs w:val="28"/>
        </w:rPr>
        <w:t xml:space="preserve">has the ability to request that members of the grand jury be informed of her wish to testify </w:t>
      </w:r>
      <w:r>
        <w:rPr>
          <w:rFonts w:ascii="Times New Roman" w:hAnsi="Times New Roman" w:cs="Times New Roman"/>
          <w:sz w:val="28"/>
          <w:szCs w:val="28"/>
        </w:rPr>
        <w:t xml:space="preserve">before that body </w:t>
      </w:r>
      <w:r w:rsidR="00A87521" w:rsidRPr="00F24FAF">
        <w:rPr>
          <w:rFonts w:ascii="Times New Roman" w:hAnsi="Times New Roman" w:cs="Times New Roman"/>
          <w:sz w:val="28"/>
          <w:szCs w:val="28"/>
        </w:rPr>
        <w:t>and the scope of the requested testimony.</w:t>
      </w:r>
      <w:r w:rsidR="003B30B3" w:rsidRPr="00F24FAF">
        <w:rPr>
          <w:rStyle w:val="FootnoteReference"/>
          <w:rFonts w:ascii="Times New Roman" w:hAnsi="Times New Roman" w:cs="Times New Roman"/>
          <w:sz w:val="28"/>
          <w:szCs w:val="28"/>
        </w:rPr>
        <w:footnoteReference w:id="1"/>
      </w:r>
      <w:r w:rsidR="00A87521" w:rsidRPr="00F24FAF">
        <w:rPr>
          <w:rFonts w:ascii="Times New Roman" w:hAnsi="Times New Roman" w:cs="Times New Roman"/>
          <w:sz w:val="28"/>
          <w:szCs w:val="28"/>
        </w:rPr>
        <w:t xml:space="preserve">  The law mandates that </w:t>
      </w:r>
      <w:r>
        <w:rPr>
          <w:rFonts w:ascii="Times New Roman" w:hAnsi="Times New Roman" w:cs="Times New Roman"/>
          <w:sz w:val="28"/>
          <w:szCs w:val="28"/>
        </w:rPr>
        <w:t>gran</w:t>
      </w:r>
      <w:r w:rsidR="00D12182">
        <w:rPr>
          <w:rFonts w:ascii="Times New Roman" w:hAnsi="Times New Roman" w:cs="Times New Roman"/>
          <w:sz w:val="28"/>
          <w:szCs w:val="28"/>
        </w:rPr>
        <w:t>d</w:t>
      </w:r>
      <w:r>
        <w:rPr>
          <w:rFonts w:ascii="Times New Roman" w:hAnsi="Times New Roman" w:cs="Times New Roman"/>
          <w:sz w:val="28"/>
          <w:szCs w:val="28"/>
        </w:rPr>
        <w:t xml:space="preserve"> jurors</w:t>
      </w:r>
      <w:r w:rsidR="00A87521" w:rsidRPr="00F24FAF">
        <w:rPr>
          <w:rFonts w:ascii="Times New Roman" w:hAnsi="Times New Roman" w:cs="Times New Roman"/>
          <w:sz w:val="28"/>
          <w:szCs w:val="28"/>
        </w:rPr>
        <w:t xml:space="preserve"> be informed of the request and its scope, and given the option to request </w:t>
      </w:r>
      <w:r w:rsidR="00D12182">
        <w:rPr>
          <w:rFonts w:ascii="Times New Roman" w:hAnsi="Times New Roman" w:cs="Times New Roman"/>
          <w:sz w:val="28"/>
          <w:szCs w:val="28"/>
        </w:rPr>
        <w:t xml:space="preserve">to </w:t>
      </w:r>
      <w:r>
        <w:rPr>
          <w:rFonts w:ascii="Times New Roman" w:hAnsi="Times New Roman" w:cs="Times New Roman"/>
          <w:sz w:val="28"/>
          <w:szCs w:val="28"/>
        </w:rPr>
        <w:t>hear</w:t>
      </w:r>
      <w:r w:rsidRPr="00F24FAF">
        <w:rPr>
          <w:rFonts w:ascii="Times New Roman" w:hAnsi="Times New Roman" w:cs="Times New Roman"/>
          <w:sz w:val="28"/>
          <w:szCs w:val="28"/>
        </w:rPr>
        <w:t xml:space="preserve"> </w:t>
      </w:r>
      <w:r w:rsidR="00A87521" w:rsidRPr="00F24FAF">
        <w:rPr>
          <w:rFonts w:ascii="Times New Roman" w:hAnsi="Times New Roman" w:cs="Times New Roman"/>
          <w:sz w:val="28"/>
          <w:szCs w:val="28"/>
        </w:rPr>
        <w:t xml:space="preserve">the </w:t>
      </w:r>
      <w:proofErr w:type="spellStart"/>
      <w:r>
        <w:rPr>
          <w:rFonts w:ascii="Times New Roman" w:hAnsi="Times New Roman" w:cs="Times New Roman"/>
          <w:sz w:val="28"/>
          <w:szCs w:val="28"/>
        </w:rPr>
        <w:t>accused’s</w:t>
      </w:r>
      <w:proofErr w:type="spellEnd"/>
      <w:r w:rsidRPr="00F24FAF">
        <w:rPr>
          <w:rFonts w:ascii="Times New Roman" w:hAnsi="Times New Roman" w:cs="Times New Roman"/>
          <w:sz w:val="28"/>
          <w:szCs w:val="28"/>
        </w:rPr>
        <w:t xml:space="preserve"> </w:t>
      </w:r>
      <w:r w:rsidR="00A87521" w:rsidRPr="00F24FAF">
        <w:rPr>
          <w:rFonts w:ascii="Times New Roman" w:hAnsi="Times New Roman" w:cs="Times New Roman"/>
          <w:sz w:val="28"/>
          <w:szCs w:val="28"/>
        </w:rPr>
        <w:t>testimony.</w:t>
      </w:r>
      <w:r w:rsidR="003B30B3" w:rsidRPr="00F24FAF">
        <w:rPr>
          <w:rStyle w:val="FootnoteReference"/>
          <w:rFonts w:ascii="Times New Roman" w:hAnsi="Times New Roman" w:cs="Times New Roman"/>
          <w:sz w:val="28"/>
          <w:szCs w:val="28"/>
        </w:rPr>
        <w:footnoteReference w:id="2"/>
      </w:r>
      <w:r w:rsidR="00A87521" w:rsidRPr="00F24FAF">
        <w:rPr>
          <w:rFonts w:ascii="Times New Roman" w:hAnsi="Times New Roman" w:cs="Times New Roman"/>
          <w:sz w:val="28"/>
          <w:szCs w:val="28"/>
        </w:rPr>
        <w:t xml:space="preserve">  </w:t>
      </w:r>
      <w:r w:rsidR="005D6106" w:rsidRPr="00F24FAF">
        <w:rPr>
          <w:rFonts w:ascii="Times New Roman" w:hAnsi="Times New Roman" w:cs="Times New Roman"/>
          <w:sz w:val="28"/>
          <w:szCs w:val="28"/>
        </w:rPr>
        <w:t xml:space="preserve">In the wake of recent </w:t>
      </w:r>
      <w:r w:rsidR="00A87521" w:rsidRPr="00F24FAF">
        <w:rPr>
          <w:rFonts w:ascii="Times New Roman" w:hAnsi="Times New Roman" w:cs="Times New Roman"/>
          <w:sz w:val="28"/>
          <w:szCs w:val="28"/>
        </w:rPr>
        <w:t xml:space="preserve">case law clarifying the requirement that grand jurors be advised of the scope of testimony, </w:t>
      </w:r>
      <w:r>
        <w:rPr>
          <w:rFonts w:ascii="Times New Roman" w:hAnsi="Times New Roman" w:cs="Times New Roman"/>
          <w:sz w:val="28"/>
          <w:szCs w:val="28"/>
        </w:rPr>
        <w:t>AACJ</w:t>
      </w:r>
      <w:r w:rsidR="00487B5A" w:rsidRPr="00F24FAF">
        <w:rPr>
          <w:rFonts w:ascii="Times New Roman" w:hAnsi="Times New Roman" w:cs="Times New Roman"/>
          <w:sz w:val="28"/>
          <w:szCs w:val="28"/>
        </w:rPr>
        <w:t xml:space="preserve"> understands</w:t>
      </w:r>
      <w:r w:rsidR="00A87521" w:rsidRPr="00F24FAF">
        <w:rPr>
          <w:rFonts w:ascii="Times New Roman" w:hAnsi="Times New Roman" w:cs="Times New Roman"/>
          <w:sz w:val="28"/>
          <w:szCs w:val="28"/>
        </w:rPr>
        <w:t xml:space="preserve"> that requests</w:t>
      </w:r>
      <w:r w:rsidR="002A6836">
        <w:rPr>
          <w:rFonts w:ascii="Times New Roman" w:hAnsi="Times New Roman" w:cs="Times New Roman"/>
          <w:sz w:val="28"/>
          <w:szCs w:val="28"/>
        </w:rPr>
        <w:t xml:space="preserve"> by the grand jury</w:t>
      </w:r>
      <w:r w:rsidR="00A87521" w:rsidRPr="00F24FAF">
        <w:rPr>
          <w:rFonts w:ascii="Times New Roman" w:hAnsi="Times New Roman" w:cs="Times New Roman"/>
          <w:sz w:val="28"/>
          <w:szCs w:val="28"/>
        </w:rPr>
        <w:t xml:space="preserve"> to hear the </w:t>
      </w:r>
      <w:r w:rsidR="002A6836">
        <w:rPr>
          <w:rFonts w:ascii="Times New Roman" w:hAnsi="Times New Roman" w:cs="Times New Roman"/>
          <w:sz w:val="28"/>
          <w:szCs w:val="28"/>
        </w:rPr>
        <w:t xml:space="preserve">testimony of a </w:t>
      </w:r>
      <w:r w:rsidR="00A87521" w:rsidRPr="00F24FAF">
        <w:rPr>
          <w:rFonts w:ascii="Times New Roman" w:hAnsi="Times New Roman" w:cs="Times New Roman"/>
          <w:sz w:val="28"/>
          <w:szCs w:val="28"/>
        </w:rPr>
        <w:t xml:space="preserve">defendant have increased.  </w:t>
      </w:r>
      <w:r w:rsidR="0057794C">
        <w:rPr>
          <w:rFonts w:ascii="Times New Roman" w:hAnsi="Times New Roman" w:cs="Times New Roman"/>
          <w:sz w:val="28"/>
          <w:szCs w:val="28"/>
        </w:rPr>
        <w:t>Ordinarily, issues of courtroom security are left to the discretion of a trial judge</w:t>
      </w:r>
      <w:r>
        <w:rPr>
          <w:rFonts w:ascii="Times New Roman" w:hAnsi="Times New Roman" w:cs="Times New Roman"/>
          <w:sz w:val="28"/>
          <w:szCs w:val="28"/>
        </w:rPr>
        <w:t>;</w:t>
      </w:r>
      <w:r w:rsidR="0057794C">
        <w:rPr>
          <w:rStyle w:val="FootnoteReference"/>
          <w:rFonts w:ascii="Times New Roman" w:hAnsi="Times New Roman" w:cs="Times New Roman"/>
          <w:sz w:val="28"/>
          <w:szCs w:val="28"/>
        </w:rPr>
        <w:footnoteReference w:id="3"/>
      </w:r>
      <w:r w:rsidR="0057794C">
        <w:rPr>
          <w:rFonts w:ascii="Times New Roman" w:hAnsi="Times New Roman" w:cs="Times New Roman"/>
          <w:sz w:val="28"/>
          <w:szCs w:val="28"/>
        </w:rPr>
        <w:t xml:space="preserve"> however</w:t>
      </w:r>
      <w:r>
        <w:rPr>
          <w:rFonts w:ascii="Times New Roman" w:hAnsi="Times New Roman" w:cs="Times New Roman"/>
          <w:sz w:val="28"/>
          <w:szCs w:val="28"/>
        </w:rPr>
        <w:t>,</w:t>
      </w:r>
      <w:r w:rsidR="0057794C">
        <w:rPr>
          <w:rFonts w:ascii="Times New Roman" w:hAnsi="Times New Roman" w:cs="Times New Roman"/>
          <w:sz w:val="28"/>
          <w:szCs w:val="28"/>
        </w:rPr>
        <w:t xml:space="preserve"> a judge is not present at </w:t>
      </w:r>
      <w:r w:rsidR="00D12182">
        <w:rPr>
          <w:rFonts w:ascii="Times New Roman" w:hAnsi="Times New Roman" w:cs="Times New Roman"/>
          <w:sz w:val="28"/>
          <w:szCs w:val="28"/>
        </w:rPr>
        <w:t xml:space="preserve">the probable cause portion of a </w:t>
      </w:r>
      <w:r w:rsidR="0057794C">
        <w:rPr>
          <w:rFonts w:ascii="Times New Roman" w:hAnsi="Times New Roman" w:cs="Times New Roman"/>
          <w:sz w:val="28"/>
          <w:szCs w:val="28"/>
        </w:rPr>
        <w:t xml:space="preserve">grand jury proceeding.  </w:t>
      </w:r>
    </w:p>
    <w:p w:rsidR="002A18A1" w:rsidRPr="00F24FAF" w:rsidRDefault="00487B5A" w:rsidP="002A18A1">
      <w:pPr>
        <w:spacing w:line="480" w:lineRule="auto"/>
        <w:ind w:firstLine="360"/>
        <w:jc w:val="both"/>
        <w:rPr>
          <w:rFonts w:ascii="Times New Roman" w:hAnsi="Times New Roman" w:cs="Times New Roman"/>
          <w:sz w:val="28"/>
          <w:szCs w:val="28"/>
        </w:rPr>
      </w:pPr>
      <w:r w:rsidRPr="00F24FAF">
        <w:rPr>
          <w:rFonts w:ascii="Times New Roman" w:hAnsi="Times New Roman" w:cs="Times New Roman"/>
          <w:sz w:val="28"/>
          <w:szCs w:val="28"/>
        </w:rPr>
        <w:t>Without conceding that any individual inmate is either guilty of a crime or a risk of escape or violence, AACJ accepts and understands</w:t>
      </w:r>
      <w:r w:rsidR="002A18A1" w:rsidRPr="00F24FAF">
        <w:rPr>
          <w:rFonts w:ascii="Times New Roman" w:hAnsi="Times New Roman" w:cs="Times New Roman"/>
          <w:sz w:val="28"/>
          <w:szCs w:val="28"/>
        </w:rPr>
        <w:t xml:space="preserve"> the need for consistent</w:t>
      </w:r>
      <w:r w:rsidRPr="00F24FAF">
        <w:rPr>
          <w:rFonts w:ascii="Times New Roman" w:hAnsi="Times New Roman" w:cs="Times New Roman"/>
          <w:sz w:val="28"/>
          <w:szCs w:val="28"/>
        </w:rPr>
        <w:t xml:space="preserve"> security of in-custody inmates.  However</w:t>
      </w:r>
      <w:r w:rsidR="000334F2">
        <w:rPr>
          <w:rFonts w:ascii="Times New Roman" w:hAnsi="Times New Roman" w:cs="Times New Roman"/>
          <w:sz w:val="28"/>
          <w:szCs w:val="28"/>
        </w:rPr>
        <w:t>,</w:t>
      </w:r>
      <w:r w:rsidR="002A18A1" w:rsidRPr="00F24FAF">
        <w:rPr>
          <w:rFonts w:ascii="Times New Roman" w:hAnsi="Times New Roman" w:cs="Times New Roman"/>
          <w:sz w:val="28"/>
          <w:szCs w:val="28"/>
        </w:rPr>
        <w:t xml:space="preserve"> </w:t>
      </w:r>
      <w:r w:rsidR="000334F2">
        <w:rPr>
          <w:rFonts w:ascii="Times New Roman" w:hAnsi="Times New Roman" w:cs="Times New Roman"/>
          <w:sz w:val="28"/>
          <w:szCs w:val="28"/>
        </w:rPr>
        <w:t>AACJ</w:t>
      </w:r>
      <w:r w:rsidR="002A18A1" w:rsidRPr="00F24FAF">
        <w:rPr>
          <w:rFonts w:ascii="Times New Roman" w:hAnsi="Times New Roman" w:cs="Times New Roman"/>
          <w:sz w:val="28"/>
          <w:szCs w:val="28"/>
        </w:rPr>
        <w:t xml:space="preserve"> nevertheless fears </w:t>
      </w:r>
      <w:r w:rsidR="000334F2">
        <w:rPr>
          <w:rFonts w:ascii="Times New Roman" w:hAnsi="Times New Roman" w:cs="Times New Roman"/>
          <w:sz w:val="28"/>
          <w:szCs w:val="28"/>
        </w:rPr>
        <w:t xml:space="preserve">that </w:t>
      </w:r>
      <w:r w:rsidR="002A18A1" w:rsidRPr="00F24FAF">
        <w:rPr>
          <w:rFonts w:ascii="Times New Roman" w:hAnsi="Times New Roman" w:cs="Times New Roman"/>
          <w:sz w:val="28"/>
          <w:szCs w:val="28"/>
        </w:rPr>
        <w:t xml:space="preserve">the application of </w:t>
      </w:r>
      <w:r w:rsidR="000334F2">
        <w:rPr>
          <w:rFonts w:ascii="Times New Roman" w:hAnsi="Times New Roman" w:cs="Times New Roman"/>
          <w:sz w:val="28"/>
          <w:szCs w:val="28"/>
        </w:rPr>
        <w:t>the proposed</w:t>
      </w:r>
      <w:r w:rsidR="000334F2" w:rsidRPr="00F24FAF">
        <w:rPr>
          <w:rFonts w:ascii="Times New Roman" w:hAnsi="Times New Roman" w:cs="Times New Roman"/>
          <w:sz w:val="28"/>
          <w:szCs w:val="28"/>
        </w:rPr>
        <w:t xml:space="preserve"> </w:t>
      </w:r>
      <w:r w:rsidR="002A18A1" w:rsidRPr="00F24FAF">
        <w:rPr>
          <w:rFonts w:ascii="Times New Roman" w:hAnsi="Times New Roman" w:cs="Times New Roman"/>
          <w:sz w:val="28"/>
          <w:szCs w:val="28"/>
        </w:rPr>
        <w:t xml:space="preserve">rule would result in unconstitutional prejudice to </w:t>
      </w:r>
      <w:r w:rsidR="000334F2">
        <w:rPr>
          <w:rFonts w:ascii="Times New Roman" w:hAnsi="Times New Roman" w:cs="Times New Roman"/>
          <w:sz w:val="28"/>
          <w:szCs w:val="28"/>
        </w:rPr>
        <w:t xml:space="preserve">an accused </w:t>
      </w:r>
      <w:r w:rsidR="002A18A1" w:rsidRPr="00F24FAF">
        <w:rPr>
          <w:rFonts w:ascii="Times New Roman" w:hAnsi="Times New Roman" w:cs="Times New Roman"/>
          <w:sz w:val="28"/>
          <w:szCs w:val="28"/>
        </w:rPr>
        <w:t xml:space="preserve">by effectively informing the grand jury of </w:t>
      </w:r>
      <w:r w:rsidR="0057794C">
        <w:rPr>
          <w:rFonts w:ascii="Times New Roman" w:hAnsi="Times New Roman" w:cs="Times New Roman"/>
          <w:sz w:val="28"/>
          <w:szCs w:val="28"/>
        </w:rPr>
        <w:t xml:space="preserve">a defendant’s </w:t>
      </w:r>
      <w:r w:rsidR="002A18A1" w:rsidRPr="00F24FAF">
        <w:rPr>
          <w:rFonts w:ascii="Times New Roman" w:hAnsi="Times New Roman" w:cs="Times New Roman"/>
          <w:sz w:val="28"/>
          <w:szCs w:val="28"/>
        </w:rPr>
        <w:t xml:space="preserve">custody status.  </w:t>
      </w:r>
      <w:r w:rsidR="00A87521" w:rsidRPr="00F24FAF">
        <w:rPr>
          <w:rFonts w:ascii="Times New Roman" w:hAnsi="Times New Roman" w:cs="Times New Roman"/>
          <w:sz w:val="28"/>
          <w:szCs w:val="28"/>
        </w:rPr>
        <w:t xml:space="preserve">Therefore, AACJ proposes that </w:t>
      </w:r>
      <w:r w:rsidR="000334F2">
        <w:rPr>
          <w:rFonts w:ascii="Times New Roman" w:hAnsi="Times New Roman" w:cs="Times New Roman"/>
          <w:sz w:val="28"/>
          <w:szCs w:val="28"/>
        </w:rPr>
        <w:t>the proposed rule should be modified to require</w:t>
      </w:r>
      <w:r w:rsidR="00A87521" w:rsidRPr="00F24FAF">
        <w:rPr>
          <w:rFonts w:ascii="Times New Roman" w:hAnsi="Times New Roman" w:cs="Times New Roman"/>
          <w:sz w:val="28"/>
          <w:szCs w:val="28"/>
        </w:rPr>
        <w:t xml:space="preserve"> the </w:t>
      </w:r>
      <w:r w:rsidR="000334F2">
        <w:rPr>
          <w:rFonts w:ascii="Times New Roman" w:hAnsi="Times New Roman" w:cs="Times New Roman"/>
          <w:sz w:val="28"/>
          <w:szCs w:val="28"/>
        </w:rPr>
        <w:t>presence of an</w:t>
      </w:r>
      <w:r w:rsidR="00A87521" w:rsidRPr="00F24FAF">
        <w:rPr>
          <w:rFonts w:ascii="Times New Roman" w:hAnsi="Times New Roman" w:cs="Times New Roman"/>
          <w:sz w:val="28"/>
          <w:szCs w:val="28"/>
        </w:rPr>
        <w:t xml:space="preserve"> officer </w:t>
      </w:r>
      <w:r w:rsidR="000334F2">
        <w:rPr>
          <w:rFonts w:ascii="Times New Roman" w:hAnsi="Times New Roman" w:cs="Times New Roman"/>
          <w:sz w:val="28"/>
          <w:szCs w:val="28"/>
        </w:rPr>
        <w:t>during</w:t>
      </w:r>
      <w:r w:rsidR="00A87521" w:rsidRPr="00F24FAF">
        <w:rPr>
          <w:rFonts w:ascii="Times New Roman" w:hAnsi="Times New Roman" w:cs="Times New Roman"/>
          <w:sz w:val="28"/>
          <w:szCs w:val="28"/>
        </w:rPr>
        <w:t xml:space="preserve"> testimony of all non-</w:t>
      </w:r>
      <w:r w:rsidR="005D6106" w:rsidRPr="00F24FAF">
        <w:rPr>
          <w:rFonts w:ascii="Times New Roman" w:hAnsi="Times New Roman" w:cs="Times New Roman"/>
          <w:sz w:val="28"/>
          <w:szCs w:val="28"/>
        </w:rPr>
        <w:t xml:space="preserve">law enforcement </w:t>
      </w:r>
      <w:r w:rsidR="00A87521" w:rsidRPr="00F24FAF">
        <w:rPr>
          <w:rFonts w:ascii="Times New Roman" w:hAnsi="Times New Roman" w:cs="Times New Roman"/>
          <w:sz w:val="28"/>
          <w:szCs w:val="28"/>
        </w:rPr>
        <w:t>officer witnesses (including out-of-custody defendants)</w:t>
      </w:r>
      <w:r w:rsidR="000334F2">
        <w:rPr>
          <w:rFonts w:ascii="Times New Roman" w:hAnsi="Times New Roman" w:cs="Times New Roman"/>
          <w:sz w:val="28"/>
          <w:szCs w:val="28"/>
        </w:rPr>
        <w:t>.  Such a modification</w:t>
      </w:r>
      <w:r w:rsidR="00A87521" w:rsidRPr="00F24FAF">
        <w:rPr>
          <w:rFonts w:ascii="Times New Roman" w:hAnsi="Times New Roman" w:cs="Times New Roman"/>
          <w:sz w:val="28"/>
          <w:szCs w:val="28"/>
        </w:rPr>
        <w:t xml:space="preserve"> would appropriately balance the need for security while neutralizing the prejudicial impact of the presence of the security officer.  </w:t>
      </w:r>
    </w:p>
    <w:p w:rsidR="002A18A1" w:rsidRPr="00F24FAF" w:rsidRDefault="00A87521" w:rsidP="002A18A1">
      <w:pPr>
        <w:pStyle w:val="ListParagraph"/>
        <w:numPr>
          <w:ilvl w:val="0"/>
          <w:numId w:val="2"/>
        </w:numPr>
        <w:spacing w:line="480" w:lineRule="auto"/>
        <w:jc w:val="both"/>
        <w:rPr>
          <w:rFonts w:ascii="Times New Roman" w:hAnsi="Times New Roman" w:cs="Times New Roman"/>
          <w:b/>
          <w:sz w:val="28"/>
          <w:szCs w:val="28"/>
        </w:rPr>
      </w:pPr>
      <w:r w:rsidRPr="00F24FAF">
        <w:rPr>
          <w:rFonts w:ascii="Times New Roman" w:hAnsi="Times New Roman" w:cs="Times New Roman"/>
          <w:b/>
          <w:sz w:val="28"/>
          <w:szCs w:val="28"/>
        </w:rPr>
        <w:t>Discussion</w:t>
      </w:r>
    </w:p>
    <w:p w:rsidR="00A87521" w:rsidRPr="00F24FAF" w:rsidRDefault="00A87521" w:rsidP="009343CF">
      <w:pPr>
        <w:pStyle w:val="ListParagraph"/>
        <w:numPr>
          <w:ilvl w:val="1"/>
          <w:numId w:val="2"/>
        </w:numPr>
        <w:spacing w:after="240"/>
        <w:jc w:val="both"/>
        <w:rPr>
          <w:rFonts w:ascii="Times New Roman" w:hAnsi="Times New Roman" w:cs="Times New Roman"/>
          <w:sz w:val="28"/>
          <w:szCs w:val="28"/>
          <w:u w:val="single"/>
        </w:rPr>
      </w:pPr>
      <w:r w:rsidRPr="00F24FAF">
        <w:rPr>
          <w:rFonts w:ascii="Times New Roman" w:hAnsi="Times New Roman" w:cs="Times New Roman"/>
          <w:sz w:val="28"/>
          <w:szCs w:val="28"/>
          <w:u w:val="single"/>
        </w:rPr>
        <w:t>Conveying the in</w:t>
      </w:r>
      <w:r w:rsidR="000334F2">
        <w:rPr>
          <w:rFonts w:ascii="Times New Roman" w:hAnsi="Times New Roman" w:cs="Times New Roman"/>
          <w:sz w:val="28"/>
          <w:szCs w:val="28"/>
          <w:u w:val="single"/>
        </w:rPr>
        <w:t>-</w:t>
      </w:r>
      <w:r w:rsidRPr="00F24FAF">
        <w:rPr>
          <w:rFonts w:ascii="Times New Roman" w:hAnsi="Times New Roman" w:cs="Times New Roman"/>
          <w:sz w:val="28"/>
          <w:szCs w:val="28"/>
          <w:u w:val="single"/>
        </w:rPr>
        <w:t>custody status of a defendant violates h</w:t>
      </w:r>
      <w:r w:rsidR="009343CF" w:rsidRPr="00F24FAF">
        <w:rPr>
          <w:rFonts w:ascii="Times New Roman" w:hAnsi="Times New Roman" w:cs="Times New Roman"/>
          <w:sz w:val="28"/>
          <w:szCs w:val="28"/>
          <w:u w:val="single"/>
        </w:rPr>
        <w:t>er</w:t>
      </w:r>
      <w:r w:rsidRPr="00F24FAF">
        <w:rPr>
          <w:rFonts w:ascii="Times New Roman" w:hAnsi="Times New Roman" w:cs="Times New Roman"/>
          <w:sz w:val="28"/>
          <w:szCs w:val="28"/>
          <w:u w:val="single"/>
        </w:rPr>
        <w:t xml:space="preserve"> right to a presumption of innocence.  </w:t>
      </w:r>
    </w:p>
    <w:p w:rsidR="005A6B0F" w:rsidRPr="005A6B0F" w:rsidRDefault="000334F2" w:rsidP="005A6B0F">
      <w:pPr>
        <w:spacing w:line="480" w:lineRule="auto"/>
        <w:ind w:firstLine="360"/>
        <w:jc w:val="both"/>
        <w:rPr>
          <w:rFonts w:ascii="Times New Roman" w:hAnsi="Times New Roman" w:cs="Times New Roman"/>
          <w:sz w:val="28"/>
          <w:szCs w:val="28"/>
        </w:rPr>
      </w:pPr>
      <w:r>
        <w:rPr>
          <w:rFonts w:ascii="Times New Roman" w:eastAsia="Times New Roman" w:hAnsi="Times New Roman" w:cs="Times New Roman"/>
          <w:color w:val="auto"/>
          <w:sz w:val="28"/>
          <w:szCs w:val="28"/>
        </w:rPr>
        <w:t>“</w:t>
      </w:r>
      <w:r w:rsidR="00382E4A" w:rsidRPr="00F24FAF">
        <w:rPr>
          <w:rFonts w:ascii="Times New Roman" w:eastAsia="Times New Roman" w:hAnsi="Times New Roman" w:cs="Times New Roman"/>
          <w:color w:val="auto"/>
          <w:sz w:val="28"/>
          <w:szCs w:val="28"/>
        </w:rPr>
        <w:t>To implement the presumption [of innocence], courts must be alert to factors that may undermine the fairness of the fact-finding process.</w:t>
      </w:r>
      <w:r>
        <w:rPr>
          <w:rFonts w:ascii="Times New Roman" w:eastAsia="Times New Roman" w:hAnsi="Times New Roman" w:cs="Times New Roman"/>
          <w:color w:val="auto"/>
          <w:sz w:val="28"/>
          <w:szCs w:val="28"/>
        </w:rPr>
        <w:t>”</w:t>
      </w:r>
      <w:r w:rsidR="003B30B3" w:rsidRPr="00F24FAF">
        <w:rPr>
          <w:rStyle w:val="FootnoteReference"/>
          <w:rFonts w:ascii="Times New Roman" w:eastAsia="Times New Roman" w:hAnsi="Times New Roman" w:cs="Times New Roman"/>
          <w:color w:val="auto"/>
          <w:sz w:val="28"/>
          <w:szCs w:val="28"/>
        </w:rPr>
        <w:footnoteReference w:id="4"/>
      </w:r>
      <w:r w:rsidR="00382E4A" w:rsidRPr="00F24FAF">
        <w:rPr>
          <w:rFonts w:ascii="Times New Roman" w:eastAsia="Times New Roman" w:hAnsi="Times New Roman" w:cs="Times New Roman"/>
          <w:color w:val="auto"/>
          <w:sz w:val="28"/>
          <w:szCs w:val="28"/>
        </w:rPr>
        <w:t xml:space="preserve"> </w:t>
      </w:r>
      <w:r w:rsidR="003B30B3" w:rsidRPr="00F24FAF">
        <w:rPr>
          <w:rFonts w:ascii="Times New Roman" w:eastAsia="Times New Roman" w:hAnsi="Times New Roman" w:cs="Times New Roman"/>
          <w:color w:val="auto"/>
          <w:sz w:val="28"/>
          <w:szCs w:val="28"/>
        </w:rPr>
        <w:t xml:space="preserve"> </w:t>
      </w:r>
      <w:r w:rsidR="003669C7" w:rsidRPr="00F24FAF">
        <w:rPr>
          <w:rFonts w:ascii="Times New Roman" w:hAnsi="Times New Roman" w:cs="Times New Roman"/>
          <w:sz w:val="28"/>
          <w:szCs w:val="28"/>
        </w:rPr>
        <w:t xml:space="preserve">It is considered error to convey to a trial jury, absent good cause, that a defendant is in custody or is otherwise considered a security risk.  For this reason, case law establishes that if visible restraints are to be used on a defendant, there must be an individualized, </w:t>
      </w:r>
      <w:r w:rsidR="005A6B0F">
        <w:rPr>
          <w:rFonts w:ascii="Times New Roman" w:hAnsi="Times New Roman" w:cs="Times New Roman"/>
          <w:sz w:val="28"/>
          <w:szCs w:val="28"/>
        </w:rPr>
        <w:t>c</w:t>
      </w:r>
      <w:r w:rsidR="003669C7" w:rsidRPr="00F24FAF">
        <w:rPr>
          <w:rFonts w:ascii="Times New Roman" w:hAnsi="Times New Roman" w:cs="Times New Roman"/>
          <w:sz w:val="28"/>
          <w:szCs w:val="28"/>
        </w:rPr>
        <w:t>ase-specific determination made for the need for such restraint.</w:t>
      </w:r>
      <w:r w:rsidR="003B30B3" w:rsidRPr="00F24FAF">
        <w:rPr>
          <w:rStyle w:val="FootnoteReference"/>
          <w:rFonts w:ascii="Times New Roman" w:hAnsi="Times New Roman" w:cs="Times New Roman"/>
          <w:sz w:val="28"/>
          <w:szCs w:val="28"/>
        </w:rPr>
        <w:footnoteReference w:id="5"/>
      </w:r>
      <w:r w:rsidR="003669C7" w:rsidRPr="00F24FAF">
        <w:rPr>
          <w:rFonts w:ascii="Times New Roman" w:hAnsi="Times New Roman" w:cs="Times New Roman"/>
          <w:sz w:val="28"/>
          <w:szCs w:val="28"/>
        </w:rPr>
        <w:t xml:space="preserve">  </w:t>
      </w:r>
      <w:r w:rsidR="00680FB7" w:rsidRPr="00F24FAF">
        <w:rPr>
          <w:rFonts w:ascii="Times New Roman" w:hAnsi="Times New Roman" w:cs="Times New Roman"/>
          <w:sz w:val="28"/>
          <w:szCs w:val="28"/>
        </w:rPr>
        <w:t xml:space="preserve">Grand </w:t>
      </w:r>
      <w:r w:rsidR="008E20F9">
        <w:rPr>
          <w:rFonts w:ascii="Times New Roman" w:hAnsi="Times New Roman" w:cs="Times New Roman"/>
          <w:sz w:val="28"/>
          <w:szCs w:val="28"/>
        </w:rPr>
        <w:t>j</w:t>
      </w:r>
      <w:r w:rsidR="00680FB7" w:rsidRPr="00F24FAF">
        <w:rPr>
          <w:rFonts w:ascii="Times New Roman" w:hAnsi="Times New Roman" w:cs="Times New Roman"/>
          <w:sz w:val="28"/>
          <w:szCs w:val="28"/>
        </w:rPr>
        <w:t>urors may be advised to disregard this impact, and yet unable to do so.</w:t>
      </w:r>
      <w:r w:rsidR="003B30B3" w:rsidRPr="00F24FAF">
        <w:rPr>
          <w:rStyle w:val="FootnoteReference"/>
          <w:rFonts w:ascii="Times New Roman" w:hAnsi="Times New Roman" w:cs="Times New Roman"/>
          <w:sz w:val="28"/>
          <w:szCs w:val="28"/>
        </w:rPr>
        <w:footnoteReference w:id="6"/>
      </w:r>
      <w:r w:rsidR="00680FB7" w:rsidRPr="00F24FAF">
        <w:rPr>
          <w:rFonts w:ascii="Times New Roman" w:hAnsi="Times New Roman" w:cs="Times New Roman"/>
          <w:sz w:val="28"/>
          <w:szCs w:val="28"/>
        </w:rPr>
        <w:t xml:space="preserve">  </w:t>
      </w:r>
    </w:p>
    <w:p w:rsidR="00487B5A" w:rsidRPr="00F24FAF" w:rsidRDefault="00487B5A" w:rsidP="0057794C">
      <w:pPr>
        <w:pStyle w:val="ListParagraph"/>
        <w:numPr>
          <w:ilvl w:val="1"/>
          <w:numId w:val="2"/>
        </w:numPr>
        <w:spacing w:after="240"/>
        <w:jc w:val="both"/>
        <w:rPr>
          <w:rFonts w:ascii="Times New Roman" w:hAnsi="Times New Roman" w:cs="Times New Roman"/>
          <w:sz w:val="28"/>
          <w:szCs w:val="28"/>
          <w:u w:val="single"/>
        </w:rPr>
      </w:pPr>
      <w:r w:rsidRPr="00F24FAF">
        <w:rPr>
          <w:rFonts w:ascii="Times New Roman" w:hAnsi="Times New Roman" w:cs="Times New Roman"/>
          <w:sz w:val="28"/>
          <w:szCs w:val="28"/>
          <w:u w:val="single"/>
        </w:rPr>
        <w:t>The presence of an officer conveys the in-custody status of a defendant</w:t>
      </w:r>
    </w:p>
    <w:p w:rsidR="003669C7" w:rsidRPr="00F24FAF" w:rsidRDefault="00382E4A" w:rsidP="005A6B0F">
      <w:pPr>
        <w:spacing w:line="480" w:lineRule="auto"/>
        <w:ind w:firstLine="720"/>
        <w:jc w:val="both"/>
        <w:rPr>
          <w:rFonts w:ascii="Times New Roman" w:eastAsia="Times New Roman" w:hAnsi="Times New Roman" w:cs="Times New Roman"/>
          <w:color w:val="auto"/>
          <w:sz w:val="28"/>
          <w:szCs w:val="28"/>
        </w:rPr>
      </w:pPr>
      <w:r w:rsidRPr="00F24FAF">
        <w:rPr>
          <w:rFonts w:ascii="Times New Roman" w:eastAsia="Times New Roman" w:hAnsi="Times New Roman" w:cs="Times New Roman"/>
          <w:color w:val="auto"/>
          <w:sz w:val="28"/>
          <w:szCs w:val="28"/>
        </w:rPr>
        <w:t xml:space="preserve">In </w:t>
      </w:r>
      <w:r w:rsidRPr="00F24FAF">
        <w:rPr>
          <w:rFonts w:ascii="Times New Roman" w:eastAsia="Times New Roman" w:hAnsi="Times New Roman" w:cs="Times New Roman"/>
          <w:i/>
          <w:color w:val="auto"/>
          <w:sz w:val="28"/>
          <w:szCs w:val="28"/>
        </w:rPr>
        <w:t>Holbrook</w:t>
      </w:r>
      <w:r w:rsidR="001C71E8" w:rsidRPr="00F24FAF">
        <w:rPr>
          <w:rFonts w:ascii="Times New Roman" w:eastAsia="Times New Roman" w:hAnsi="Times New Roman" w:cs="Times New Roman"/>
          <w:i/>
          <w:color w:val="auto"/>
          <w:sz w:val="28"/>
          <w:szCs w:val="28"/>
        </w:rPr>
        <w:t xml:space="preserve"> v. Flynn</w:t>
      </w:r>
      <w:r w:rsidRPr="00F24FAF">
        <w:rPr>
          <w:rFonts w:ascii="Times New Roman" w:eastAsia="Times New Roman" w:hAnsi="Times New Roman" w:cs="Times New Roman"/>
          <w:color w:val="auto"/>
          <w:sz w:val="28"/>
          <w:szCs w:val="28"/>
        </w:rPr>
        <w:t xml:space="preserve">, the </w:t>
      </w:r>
      <w:r w:rsidR="001C71E8" w:rsidRPr="00F24FAF">
        <w:rPr>
          <w:rFonts w:ascii="Times New Roman" w:eastAsia="Times New Roman" w:hAnsi="Times New Roman" w:cs="Times New Roman"/>
          <w:color w:val="auto"/>
          <w:sz w:val="28"/>
          <w:szCs w:val="28"/>
        </w:rPr>
        <w:t xml:space="preserve">United States Supreme </w:t>
      </w:r>
      <w:r w:rsidRPr="00F24FAF">
        <w:rPr>
          <w:rFonts w:ascii="Times New Roman" w:eastAsia="Times New Roman" w:hAnsi="Times New Roman" w:cs="Times New Roman"/>
          <w:color w:val="auto"/>
          <w:sz w:val="28"/>
          <w:szCs w:val="28"/>
        </w:rPr>
        <w:t>Court noted that “</w:t>
      </w:r>
      <w:r w:rsidR="008E20F9">
        <w:rPr>
          <w:rFonts w:ascii="Times New Roman" w:eastAsia="Times New Roman" w:hAnsi="Times New Roman" w:cs="Times New Roman"/>
          <w:color w:val="auto"/>
          <w:sz w:val="28"/>
          <w:szCs w:val="28"/>
        </w:rPr>
        <w:t>[t]</w:t>
      </w:r>
      <w:r w:rsidRPr="00F24FAF">
        <w:rPr>
          <w:rFonts w:ascii="Times New Roman" w:eastAsia="Times New Roman" w:hAnsi="Times New Roman" w:cs="Times New Roman"/>
          <w:color w:val="auto"/>
          <w:sz w:val="28"/>
          <w:szCs w:val="28"/>
        </w:rPr>
        <w:t>o be sure, it is possible that the sight of a security force within the courtroom might under certain conditions “create the impression in the minds of the jury that the defendant is dangerous or untrustworthy.”</w:t>
      </w:r>
      <w:r w:rsidR="003B30B3" w:rsidRPr="00F24FAF">
        <w:rPr>
          <w:rStyle w:val="FootnoteReference"/>
          <w:rFonts w:ascii="Times New Roman" w:eastAsia="Times New Roman" w:hAnsi="Times New Roman" w:cs="Times New Roman"/>
          <w:color w:val="auto"/>
          <w:sz w:val="28"/>
          <w:szCs w:val="28"/>
        </w:rPr>
        <w:footnoteReference w:id="7"/>
      </w:r>
      <w:r w:rsidRPr="00F24FAF">
        <w:rPr>
          <w:rFonts w:ascii="Times New Roman" w:eastAsia="Times New Roman" w:hAnsi="Times New Roman" w:cs="Times New Roman"/>
          <w:color w:val="auto"/>
          <w:sz w:val="28"/>
          <w:szCs w:val="28"/>
        </w:rPr>
        <w:t xml:space="preserve">  The court largely distinguished the presence of guards from the presence of shackles, reasoning that in a trial, where the jury is convened for only that individual case, the jury may not associate the presence of guards as an indication of a concern about the status of the defendant, but rather to lend status and gravitas to the proceedings.  </w:t>
      </w:r>
    </w:p>
    <w:p w:rsidR="00680FB7" w:rsidRPr="00F24FAF" w:rsidRDefault="003669C7" w:rsidP="005A6B0F">
      <w:pPr>
        <w:spacing w:line="480" w:lineRule="auto"/>
        <w:ind w:firstLine="720"/>
        <w:jc w:val="both"/>
        <w:rPr>
          <w:rFonts w:ascii="Times New Roman" w:hAnsi="Times New Roman" w:cs="Times New Roman"/>
          <w:sz w:val="28"/>
          <w:szCs w:val="28"/>
        </w:rPr>
      </w:pPr>
      <w:r w:rsidRPr="00F24FAF">
        <w:rPr>
          <w:rFonts w:ascii="Times New Roman" w:hAnsi="Times New Roman" w:cs="Times New Roman"/>
          <w:sz w:val="28"/>
          <w:szCs w:val="28"/>
        </w:rPr>
        <w:t xml:space="preserve">By contrast, it </w:t>
      </w:r>
      <w:r w:rsidR="00680FB7" w:rsidRPr="00F24FAF">
        <w:rPr>
          <w:rFonts w:ascii="Times New Roman" w:hAnsi="Times New Roman" w:cs="Times New Roman"/>
          <w:sz w:val="28"/>
          <w:szCs w:val="28"/>
        </w:rPr>
        <w:t xml:space="preserve">is unavoidable that </w:t>
      </w:r>
      <w:r w:rsidR="008E20F9">
        <w:rPr>
          <w:rFonts w:ascii="Times New Roman" w:hAnsi="Times New Roman" w:cs="Times New Roman"/>
          <w:sz w:val="28"/>
          <w:szCs w:val="28"/>
        </w:rPr>
        <w:t>g</w:t>
      </w:r>
      <w:r w:rsidR="00680FB7" w:rsidRPr="00F24FAF">
        <w:rPr>
          <w:rFonts w:ascii="Times New Roman" w:hAnsi="Times New Roman" w:cs="Times New Roman"/>
          <w:sz w:val="28"/>
          <w:szCs w:val="28"/>
        </w:rPr>
        <w:t xml:space="preserve">rand </w:t>
      </w:r>
      <w:r w:rsidR="008E20F9">
        <w:rPr>
          <w:rFonts w:ascii="Times New Roman" w:hAnsi="Times New Roman" w:cs="Times New Roman"/>
          <w:sz w:val="28"/>
          <w:szCs w:val="28"/>
        </w:rPr>
        <w:t>j</w:t>
      </w:r>
      <w:r w:rsidR="00680FB7" w:rsidRPr="00F24FAF">
        <w:rPr>
          <w:rFonts w:ascii="Times New Roman" w:hAnsi="Times New Roman" w:cs="Times New Roman"/>
          <w:sz w:val="28"/>
          <w:szCs w:val="28"/>
        </w:rPr>
        <w:t>urors, who are convened for an extended period of time</w:t>
      </w:r>
      <w:r w:rsidR="003B30B3" w:rsidRPr="00F24FAF">
        <w:rPr>
          <w:rStyle w:val="FootnoteReference"/>
          <w:rFonts w:ascii="Times New Roman" w:hAnsi="Times New Roman" w:cs="Times New Roman"/>
          <w:sz w:val="28"/>
          <w:szCs w:val="28"/>
        </w:rPr>
        <w:footnoteReference w:id="8"/>
      </w:r>
      <w:r w:rsidR="005D6106" w:rsidRPr="00F24FAF">
        <w:rPr>
          <w:rFonts w:ascii="Times New Roman" w:hAnsi="Times New Roman" w:cs="Times New Roman"/>
          <w:sz w:val="28"/>
          <w:szCs w:val="28"/>
        </w:rPr>
        <w:t xml:space="preserve"> </w:t>
      </w:r>
      <w:r w:rsidR="00680FB7" w:rsidRPr="00F24FAF">
        <w:rPr>
          <w:rFonts w:ascii="Times New Roman" w:hAnsi="Times New Roman" w:cs="Times New Roman"/>
          <w:sz w:val="28"/>
          <w:szCs w:val="28"/>
        </w:rPr>
        <w:t>and who</w:t>
      </w:r>
      <w:r w:rsidR="005D6106" w:rsidRPr="00F24FAF">
        <w:rPr>
          <w:rFonts w:ascii="Times New Roman" w:hAnsi="Times New Roman" w:cs="Times New Roman"/>
          <w:sz w:val="28"/>
          <w:szCs w:val="28"/>
        </w:rPr>
        <w:t xml:space="preserve"> may</w:t>
      </w:r>
      <w:r w:rsidR="00680FB7" w:rsidRPr="00F24FAF">
        <w:rPr>
          <w:rFonts w:ascii="Times New Roman" w:hAnsi="Times New Roman" w:cs="Times New Roman"/>
          <w:sz w:val="28"/>
          <w:szCs w:val="28"/>
        </w:rPr>
        <w:t xml:space="preserve"> hear hundreds of cases during that time, would be in a position where they would request testimony of an out-of-custody defendant and an in-custody defendant, and observe the difference when the security officer only accompanies the latter.  </w:t>
      </w:r>
    </w:p>
    <w:p w:rsidR="00487B5A" w:rsidRPr="00F24FAF" w:rsidRDefault="00382E4A" w:rsidP="005A6B0F">
      <w:pPr>
        <w:spacing w:line="480" w:lineRule="auto"/>
        <w:ind w:firstLine="720"/>
        <w:jc w:val="both"/>
        <w:rPr>
          <w:rFonts w:ascii="Times New Roman" w:hAnsi="Times New Roman" w:cs="Times New Roman"/>
          <w:sz w:val="28"/>
          <w:szCs w:val="28"/>
        </w:rPr>
      </w:pPr>
      <w:r w:rsidRPr="00F24FAF">
        <w:rPr>
          <w:rFonts w:ascii="Times New Roman" w:hAnsi="Times New Roman" w:cs="Times New Roman"/>
          <w:sz w:val="28"/>
          <w:szCs w:val="28"/>
        </w:rPr>
        <w:t xml:space="preserve">Moreover, as the </w:t>
      </w:r>
      <w:r w:rsidR="008E20F9">
        <w:rPr>
          <w:rFonts w:ascii="Times New Roman" w:hAnsi="Times New Roman" w:cs="Times New Roman"/>
          <w:sz w:val="28"/>
          <w:szCs w:val="28"/>
        </w:rPr>
        <w:t>rule-change petition</w:t>
      </w:r>
      <w:r w:rsidRPr="00F24FAF">
        <w:rPr>
          <w:rFonts w:ascii="Times New Roman" w:hAnsi="Times New Roman" w:cs="Times New Roman"/>
          <w:sz w:val="28"/>
          <w:szCs w:val="28"/>
        </w:rPr>
        <w:t xml:space="preserve"> </w:t>
      </w:r>
      <w:r w:rsidR="00487B5A" w:rsidRPr="00F24FAF">
        <w:rPr>
          <w:rFonts w:ascii="Times New Roman" w:hAnsi="Times New Roman" w:cs="Times New Roman"/>
          <w:sz w:val="28"/>
          <w:szCs w:val="28"/>
        </w:rPr>
        <w:t>concedes, grand jurors would be advised of this rule and permitted to take it into account when deciding whether to grant a request to testify.</w:t>
      </w:r>
      <w:r w:rsidR="003B30B3" w:rsidRPr="00F24FAF">
        <w:rPr>
          <w:rStyle w:val="FootnoteReference"/>
          <w:rFonts w:ascii="Times New Roman" w:hAnsi="Times New Roman" w:cs="Times New Roman"/>
          <w:sz w:val="28"/>
          <w:szCs w:val="28"/>
        </w:rPr>
        <w:footnoteReference w:id="9"/>
      </w:r>
      <w:r w:rsidR="00487B5A" w:rsidRPr="00F24FAF">
        <w:rPr>
          <w:rFonts w:ascii="Times New Roman" w:hAnsi="Times New Roman" w:cs="Times New Roman"/>
          <w:sz w:val="28"/>
          <w:szCs w:val="28"/>
        </w:rPr>
        <w:t xml:space="preserve">  The proposed modified rule would explicitly </w:t>
      </w:r>
      <w:r w:rsidR="00680FB7" w:rsidRPr="00F24FAF">
        <w:rPr>
          <w:rFonts w:ascii="Times New Roman" w:hAnsi="Times New Roman" w:cs="Times New Roman"/>
          <w:sz w:val="28"/>
          <w:szCs w:val="28"/>
        </w:rPr>
        <w:t xml:space="preserve">state that it applies only to in-custody defendants.  Therefore, it would not only imply but directly advise the </w:t>
      </w:r>
      <w:r w:rsidR="008E20F9">
        <w:rPr>
          <w:rFonts w:ascii="Times New Roman" w:hAnsi="Times New Roman" w:cs="Times New Roman"/>
          <w:sz w:val="28"/>
          <w:szCs w:val="28"/>
        </w:rPr>
        <w:t>g</w:t>
      </w:r>
      <w:r w:rsidR="00680FB7" w:rsidRPr="00F24FAF">
        <w:rPr>
          <w:rFonts w:ascii="Times New Roman" w:hAnsi="Times New Roman" w:cs="Times New Roman"/>
          <w:sz w:val="28"/>
          <w:szCs w:val="28"/>
        </w:rPr>
        <w:t xml:space="preserve">rand </w:t>
      </w:r>
      <w:r w:rsidR="008E20F9">
        <w:rPr>
          <w:rFonts w:ascii="Times New Roman" w:hAnsi="Times New Roman" w:cs="Times New Roman"/>
          <w:sz w:val="28"/>
          <w:szCs w:val="28"/>
        </w:rPr>
        <w:t>j</w:t>
      </w:r>
      <w:r w:rsidR="00680FB7" w:rsidRPr="00F24FAF">
        <w:rPr>
          <w:rFonts w:ascii="Times New Roman" w:hAnsi="Times New Roman" w:cs="Times New Roman"/>
          <w:sz w:val="28"/>
          <w:szCs w:val="28"/>
        </w:rPr>
        <w:t xml:space="preserve">urors that the </w:t>
      </w:r>
      <w:r w:rsidR="008E20F9">
        <w:rPr>
          <w:rFonts w:ascii="Times New Roman" w:hAnsi="Times New Roman" w:cs="Times New Roman"/>
          <w:sz w:val="28"/>
          <w:szCs w:val="28"/>
        </w:rPr>
        <w:t>accused</w:t>
      </w:r>
      <w:r w:rsidR="00680FB7" w:rsidRPr="00F24FAF">
        <w:rPr>
          <w:rFonts w:ascii="Times New Roman" w:hAnsi="Times New Roman" w:cs="Times New Roman"/>
          <w:sz w:val="28"/>
          <w:szCs w:val="28"/>
        </w:rPr>
        <w:t xml:space="preserve">, the person who is the subject of their probable cause determination, is in custody for the offense.  </w:t>
      </w:r>
    </w:p>
    <w:p w:rsidR="00E063AF" w:rsidRPr="00F24FAF" w:rsidRDefault="00E063AF" w:rsidP="005A6B0F">
      <w:pPr>
        <w:pStyle w:val="ListParagraph"/>
        <w:numPr>
          <w:ilvl w:val="1"/>
          <w:numId w:val="2"/>
        </w:numPr>
        <w:spacing w:line="480" w:lineRule="auto"/>
        <w:jc w:val="both"/>
        <w:rPr>
          <w:rFonts w:ascii="Times New Roman" w:hAnsi="Times New Roman" w:cs="Times New Roman"/>
          <w:sz w:val="28"/>
          <w:szCs w:val="28"/>
          <w:u w:val="single"/>
        </w:rPr>
      </w:pPr>
      <w:r w:rsidRPr="00F24FAF">
        <w:rPr>
          <w:rFonts w:ascii="Times New Roman" w:hAnsi="Times New Roman" w:cs="Times New Roman"/>
          <w:sz w:val="28"/>
          <w:szCs w:val="28"/>
        </w:rPr>
        <w:t xml:space="preserve"> </w:t>
      </w:r>
      <w:r w:rsidRPr="00F24FAF">
        <w:rPr>
          <w:rFonts w:ascii="Times New Roman" w:hAnsi="Times New Roman" w:cs="Times New Roman"/>
          <w:sz w:val="28"/>
          <w:szCs w:val="28"/>
          <w:u w:val="single"/>
        </w:rPr>
        <w:t>This practice risks violation of the Equal Protection Clause</w:t>
      </w:r>
    </w:p>
    <w:p w:rsidR="009343CF" w:rsidRPr="00F24FAF" w:rsidRDefault="001C71E8" w:rsidP="005A6B0F">
      <w:pPr>
        <w:spacing w:line="480" w:lineRule="auto"/>
        <w:ind w:firstLine="720"/>
        <w:jc w:val="both"/>
        <w:rPr>
          <w:rFonts w:ascii="Times New Roman" w:hAnsi="Times New Roman" w:cs="Times New Roman"/>
          <w:sz w:val="28"/>
          <w:szCs w:val="28"/>
        </w:rPr>
      </w:pPr>
      <w:r w:rsidRPr="00F24FAF">
        <w:rPr>
          <w:rFonts w:ascii="Times New Roman" w:hAnsi="Times New Roman" w:cs="Times New Roman"/>
          <w:sz w:val="28"/>
          <w:szCs w:val="28"/>
        </w:rPr>
        <w:t>Defendants accused of most of</w:t>
      </w:r>
      <w:r w:rsidR="00E063AF" w:rsidRPr="00F24FAF">
        <w:rPr>
          <w:rFonts w:ascii="Times New Roman" w:hAnsi="Times New Roman" w:cs="Times New Roman"/>
          <w:sz w:val="28"/>
          <w:szCs w:val="28"/>
        </w:rPr>
        <w:t>fenses</w:t>
      </w:r>
      <w:r w:rsidR="00382E4A" w:rsidRPr="00F24FAF">
        <w:rPr>
          <w:rFonts w:ascii="Times New Roman" w:hAnsi="Times New Roman" w:cs="Times New Roman"/>
          <w:sz w:val="28"/>
          <w:szCs w:val="28"/>
        </w:rPr>
        <w:t xml:space="preserve"> in Arizona are bond-eligible.  </w:t>
      </w:r>
      <w:r w:rsidR="00E063AF" w:rsidRPr="00F24FAF">
        <w:rPr>
          <w:rFonts w:ascii="Times New Roman" w:hAnsi="Times New Roman" w:cs="Times New Roman"/>
          <w:sz w:val="28"/>
          <w:szCs w:val="28"/>
        </w:rPr>
        <w:t xml:space="preserve">Exceptions include a limited </w:t>
      </w:r>
      <w:r w:rsidR="008E20F9">
        <w:rPr>
          <w:rFonts w:ascii="Times New Roman" w:hAnsi="Times New Roman" w:cs="Times New Roman"/>
          <w:sz w:val="28"/>
          <w:szCs w:val="28"/>
        </w:rPr>
        <w:t>number</w:t>
      </w:r>
      <w:r w:rsidR="008E20F9" w:rsidRPr="00F24FAF">
        <w:rPr>
          <w:rFonts w:ascii="Times New Roman" w:hAnsi="Times New Roman" w:cs="Times New Roman"/>
          <w:sz w:val="28"/>
          <w:szCs w:val="28"/>
        </w:rPr>
        <w:t xml:space="preserve"> </w:t>
      </w:r>
      <w:r w:rsidR="00E063AF" w:rsidRPr="00F24FAF">
        <w:rPr>
          <w:rFonts w:ascii="Times New Roman" w:hAnsi="Times New Roman" w:cs="Times New Roman"/>
          <w:sz w:val="28"/>
          <w:szCs w:val="28"/>
        </w:rPr>
        <w:t xml:space="preserve">of offenses such as capital murder, sexual assault, </w:t>
      </w:r>
      <w:r w:rsidR="00991AF6" w:rsidRPr="00F24FAF">
        <w:rPr>
          <w:rFonts w:ascii="Times New Roman" w:hAnsi="Times New Roman" w:cs="Times New Roman"/>
          <w:sz w:val="28"/>
          <w:szCs w:val="28"/>
        </w:rPr>
        <w:t>and certain</w:t>
      </w:r>
      <w:r w:rsidR="00E063AF" w:rsidRPr="00F24FAF">
        <w:rPr>
          <w:rFonts w:ascii="Times New Roman" w:hAnsi="Times New Roman" w:cs="Times New Roman"/>
          <w:sz w:val="28"/>
          <w:szCs w:val="28"/>
        </w:rPr>
        <w:t xml:space="preserve"> dangerous crimes against children, and certain offenses involving those accused of</w:t>
      </w:r>
      <w:r w:rsidR="00382E4A" w:rsidRPr="00F24FAF">
        <w:rPr>
          <w:rFonts w:ascii="Times New Roman" w:hAnsi="Times New Roman" w:cs="Times New Roman"/>
          <w:sz w:val="28"/>
          <w:szCs w:val="28"/>
        </w:rPr>
        <w:t xml:space="preserve"> being in the country illegally</w:t>
      </w:r>
      <w:r w:rsidR="00E063AF" w:rsidRPr="00F24FAF">
        <w:rPr>
          <w:rFonts w:ascii="Times New Roman" w:hAnsi="Times New Roman" w:cs="Times New Roman"/>
          <w:sz w:val="28"/>
          <w:szCs w:val="28"/>
        </w:rPr>
        <w:t xml:space="preserve">.  A defendant without the financial means to post bond would be at an inherent disadvantage because of the need to appear in front of the grand jury with a deputy present, broadcasting to the grand jury that he is in custody.  </w:t>
      </w:r>
    </w:p>
    <w:p w:rsidR="00E063AF" w:rsidRPr="00F24FAF" w:rsidRDefault="00E063AF" w:rsidP="005A6B0F">
      <w:pPr>
        <w:spacing w:line="480" w:lineRule="auto"/>
        <w:ind w:firstLine="720"/>
        <w:jc w:val="both"/>
        <w:rPr>
          <w:rFonts w:ascii="Times New Roman" w:eastAsia="Times New Roman" w:hAnsi="Times New Roman" w:cs="Times New Roman"/>
          <w:color w:val="auto"/>
          <w:sz w:val="28"/>
          <w:szCs w:val="28"/>
        </w:rPr>
      </w:pPr>
      <w:r w:rsidRPr="00F24FAF">
        <w:rPr>
          <w:rFonts w:ascii="Times New Roman" w:hAnsi="Times New Roman" w:cs="Times New Roman"/>
          <w:sz w:val="28"/>
          <w:szCs w:val="28"/>
        </w:rPr>
        <w:t>It is for this reason that in-custody defendants are not required to wear prison attire during trials.</w:t>
      </w:r>
      <w:r w:rsidR="003B30B3" w:rsidRPr="00F24FAF">
        <w:rPr>
          <w:rStyle w:val="FootnoteReference"/>
          <w:rFonts w:ascii="Times New Roman" w:hAnsi="Times New Roman" w:cs="Times New Roman"/>
          <w:sz w:val="28"/>
          <w:szCs w:val="28"/>
        </w:rPr>
        <w:footnoteReference w:id="10"/>
      </w:r>
      <w:r w:rsidRPr="00F24FAF">
        <w:rPr>
          <w:rFonts w:ascii="Times New Roman" w:hAnsi="Times New Roman" w:cs="Times New Roman"/>
          <w:sz w:val="28"/>
          <w:szCs w:val="28"/>
        </w:rPr>
        <w:t xml:space="preserve">   B</w:t>
      </w:r>
      <w:r w:rsidR="00991AF6" w:rsidRPr="00F24FAF">
        <w:rPr>
          <w:rFonts w:ascii="Times New Roman" w:hAnsi="Times New Roman" w:cs="Times New Roman"/>
          <w:sz w:val="28"/>
          <w:szCs w:val="28"/>
        </w:rPr>
        <w:t xml:space="preserve">ecause similar </w:t>
      </w:r>
      <w:r w:rsidR="005D6106" w:rsidRPr="00F24FAF">
        <w:rPr>
          <w:rFonts w:ascii="Times New Roman" w:hAnsi="Times New Roman" w:cs="Times New Roman"/>
          <w:sz w:val="28"/>
          <w:szCs w:val="28"/>
        </w:rPr>
        <w:t xml:space="preserve">risks apply when a law enforcement officer appears for some defendants and not others, the change would </w:t>
      </w:r>
      <w:r w:rsidR="00365A68">
        <w:rPr>
          <w:rFonts w:ascii="Times New Roman" w:hAnsi="Times New Roman" w:cs="Times New Roman"/>
          <w:sz w:val="28"/>
          <w:szCs w:val="28"/>
        </w:rPr>
        <w:t>possibly</w:t>
      </w:r>
      <w:r w:rsidR="00365A68" w:rsidRPr="00F24FAF">
        <w:rPr>
          <w:rFonts w:ascii="Times New Roman" w:hAnsi="Times New Roman" w:cs="Times New Roman"/>
          <w:sz w:val="28"/>
          <w:szCs w:val="28"/>
        </w:rPr>
        <w:t xml:space="preserve"> </w:t>
      </w:r>
      <w:r w:rsidR="005D6106" w:rsidRPr="00F24FAF">
        <w:rPr>
          <w:rFonts w:ascii="Times New Roman" w:hAnsi="Times New Roman" w:cs="Times New Roman"/>
          <w:sz w:val="28"/>
          <w:szCs w:val="28"/>
        </w:rPr>
        <w:t xml:space="preserve">violate the </w:t>
      </w:r>
      <w:r w:rsidR="008E20F9">
        <w:rPr>
          <w:rFonts w:ascii="Times New Roman" w:hAnsi="Times New Roman" w:cs="Times New Roman"/>
          <w:sz w:val="28"/>
          <w:szCs w:val="28"/>
        </w:rPr>
        <w:t>Fourteenth</w:t>
      </w:r>
      <w:r w:rsidR="008E20F9" w:rsidRPr="00F24FAF">
        <w:rPr>
          <w:rFonts w:ascii="Times New Roman" w:hAnsi="Times New Roman" w:cs="Times New Roman"/>
          <w:sz w:val="28"/>
          <w:szCs w:val="28"/>
        </w:rPr>
        <w:t xml:space="preserve"> </w:t>
      </w:r>
      <w:r w:rsidR="005D6106" w:rsidRPr="00F24FAF">
        <w:rPr>
          <w:rFonts w:ascii="Times New Roman" w:hAnsi="Times New Roman" w:cs="Times New Roman"/>
          <w:sz w:val="28"/>
          <w:szCs w:val="28"/>
        </w:rPr>
        <w:t>Amendment of the United States Constitution, as well as Article 2, §</w:t>
      </w:r>
      <w:r w:rsidR="008E20F9">
        <w:rPr>
          <w:rFonts w:ascii="Times New Roman" w:hAnsi="Times New Roman" w:cs="Times New Roman"/>
          <w:sz w:val="28"/>
          <w:szCs w:val="28"/>
        </w:rPr>
        <w:t xml:space="preserve"> </w:t>
      </w:r>
      <w:r w:rsidR="005D6106" w:rsidRPr="00F24FAF">
        <w:rPr>
          <w:rFonts w:ascii="Times New Roman" w:hAnsi="Times New Roman" w:cs="Times New Roman"/>
          <w:sz w:val="28"/>
          <w:szCs w:val="28"/>
        </w:rPr>
        <w:t>24 of the Arizona Constitution.</w:t>
      </w:r>
    </w:p>
    <w:p w:rsidR="009343CF" w:rsidRPr="00F24FAF" w:rsidRDefault="009343CF" w:rsidP="009343CF">
      <w:pPr>
        <w:pStyle w:val="ListParagraph"/>
        <w:numPr>
          <w:ilvl w:val="1"/>
          <w:numId w:val="2"/>
        </w:numPr>
        <w:spacing w:after="240"/>
        <w:rPr>
          <w:rFonts w:ascii="Times New Roman" w:hAnsi="Times New Roman" w:cs="Times New Roman"/>
          <w:sz w:val="28"/>
          <w:szCs w:val="28"/>
          <w:u w:val="single"/>
        </w:rPr>
      </w:pPr>
      <w:r w:rsidRPr="00F24FAF">
        <w:rPr>
          <w:rFonts w:ascii="Times New Roman" w:hAnsi="Times New Roman" w:cs="Times New Roman"/>
          <w:sz w:val="28"/>
          <w:szCs w:val="28"/>
        </w:rPr>
        <w:t xml:space="preserve"> </w:t>
      </w:r>
      <w:r w:rsidRPr="00F24FAF">
        <w:rPr>
          <w:rFonts w:ascii="Times New Roman" w:hAnsi="Times New Roman" w:cs="Times New Roman"/>
          <w:sz w:val="28"/>
          <w:szCs w:val="28"/>
          <w:u w:val="single"/>
        </w:rPr>
        <w:t xml:space="preserve">This practice risks chilling </w:t>
      </w:r>
      <w:proofErr w:type="gramStart"/>
      <w:r w:rsidRPr="00F24FAF">
        <w:rPr>
          <w:rFonts w:ascii="Times New Roman" w:hAnsi="Times New Roman" w:cs="Times New Roman"/>
          <w:sz w:val="28"/>
          <w:szCs w:val="28"/>
          <w:u w:val="single"/>
        </w:rPr>
        <w:t>a</w:t>
      </w:r>
      <w:proofErr w:type="gramEnd"/>
      <w:r w:rsidRPr="00F24FAF">
        <w:rPr>
          <w:rFonts w:ascii="Times New Roman" w:hAnsi="Times New Roman" w:cs="Times New Roman"/>
          <w:sz w:val="28"/>
          <w:szCs w:val="28"/>
          <w:u w:val="single"/>
        </w:rPr>
        <w:t xml:space="preserve"> </w:t>
      </w:r>
      <w:proofErr w:type="spellStart"/>
      <w:r w:rsidR="00365A68">
        <w:rPr>
          <w:rFonts w:ascii="Times New Roman" w:hAnsi="Times New Roman" w:cs="Times New Roman"/>
          <w:sz w:val="28"/>
          <w:szCs w:val="28"/>
          <w:u w:val="single"/>
        </w:rPr>
        <w:t>accused’s</w:t>
      </w:r>
      <w:proofErr w:type="spellEnd"/>
      <w:r w:rsidR="00365A68" w:rsidRPr="00F24FAF">
        <w:rPr>
          <w:rFonts w:ascii="Times New Roman" w:hAnsi="Times New Roman" w:cs="Times New Roman"/>
          <w:sz w:val="28"/>
          <w:szCs w:val="28"/>
          <w:u w:val="single"/>
        </w:rPr>
        <w:t xml:space="preserve"> </w:t>
      </w:r>
      <w:r w:rsidRPr="00F24FAF">
        <w:rPr>
          <w:rFonts w:ascii="Times New Roman" w:hAnsi="Times New Roman" w:cs="Times New Roman"/>
          <w:sz w:val="28"/>
          <w:szCs w:val="28"/>
          <w:u w:val="single"/>
        </w:rPr>
        <w:t>exercise of her right to request to testify.</w:t>
      </w:r>
    </w:p>
    <w:p w:rsidR="003518F1" w:rsidRPr="00F24FAF" w:rsidRDefault="009343CF" w:rsidP="003B30B3">
      <w:pPr>
        <w:spacing w:line="480" w:lineRule="auto"/>
        <w:ind w:firstLine="720"/>
        <w:jc w:val="both"/>
        <w:rPr>
          <w:rFonts w:ascii="Times New Roman" w:hAnsi="Times New Roman" w:cs="Times New Roman"/>
          <w:sz w:val="28"/>
          <w:szCs w:val="28"/>
        </w:rPr>
      </w:pPr>
      <w:r w:rsidRPr="00F24FAF">
        <w:rPr>
          <w:rFonts w:ascii="Times New Roman" w:hAnsi="Times New Roman" w:cs="Times New Roman"/>
          <w:sz w:val="28"/>
          <w:szCs w:val="28"/>
        </w:rPr>
        <w:t>While a</w:t>
      </w:r>
      <w:r w:rsidR="00365A68">
        <w:rPr>
          <w:rFonts w:ascii="Times New Roman" w:hAnsi="Times New Roman" w:cs="Times New Roman"/>
          <w:sz w:val="28"/>
          <w:szCs w:val="28"/>
        </w:rPr>
        <w:t>n accused</w:t>
      </w:r>
      <w:r w:rsidRPr="00F24FAF">
        <w:rPr>
          <w:rFonts w:ascii="Times New Roman" w:hAnsi="Times New Roman" w:cs="Times New Roman"/>
          <w:sz w:val="28"/>
          <w:szCs w:val="28"/>
        </w:rPr>
        <w:t xml:space="preserve"> does not have an unfettered right to testify </w:t>
      </w:r>
      <w:r w:rsidR="00365A68">
        <w:rPr>
          <w:rFonts w:ascii="Times New Roman" w:hAnsi="Times New Roman" w:cs="Times New Roman"/>
          <w:sz w:val="28"/>
          <w:szCs w:val="28"/>
        </w:rPr>
        <w:t>before</w:t>
      </w:r>
      <w:r w:rsidR="00365A68" w:rsidRPr="00F24FAF">
        <w:rPr>
          <w:rFonts w:ascii="Times New Roman" w:hAnsi="Times New Roman" w:cs="Times New Roman"/>
          <w:sz w:val="28"/>
          <w:szCs w:val="28"/>
        </w:rPr>
        <w:t xml:space="preserve"> </w:t>
      </w:r>
      <w:r w:rsidRPr="00F24FAF">
        <w:rPr>
          <w:rFonts w:ascii="Times New Roman" w:hAnsi="Times New Roman" w:cs="Times New Roman"/>
          <w:sz w:val="28"/>
          <w:szCs w:val="28"/>
        </w:rPr>
        <w:t xml:space="preserve">the grand jury in the same way that </w:t>
      </w:r>
      <w:r w:rsidR="00365A68">
        <w:rPr>
          <w:rFonts w:ascii="Times New Roman" w:hAnsi="Times New Roman" w:cs="Times New Roman"/>
          <w:sz w:val="28"/>
          <w:szCs w:val="28"/>
        </w:rPr>
        <w:t>a</w:t>
      </w:r>
      <w:r w:rsidR="00365A68" w:rsidRPr="00F24FAF">
        <w:rPr>
          <w:rFonts w:ascii="Times New Roman" w:hAnsi="Times New Roman" w:cs="Times New Roman"/>
          <w:sz w:val="28"/>
          <w:szCs w:val="28"/>
        </w:rPr>
        <w:t xml:space="preserve"> </w:t>
      </w:r>
      <w:r w:rsidRPr="00F24FAF">
        <w:rPr>
          <w:rFonts w:ascii="Times New Roman" w:hAnsi="Times New Roman" w:cs="Times New Roman"/>
          <w:sz w:val="28"/>
          <w:szCs w:val="28"/>
        </w:rPr>
        <w:t xml:space="preserve">defendant has the right to testify at trial, the right to request to testify is </w:t>
      </w:r>
      <w:r w:rsidR="00365A68">
        <w:rPr>
          <w:rFonts w:ascii="Times New Roman" w:hAnsi="Times New Roman" w:cs="Times New Roman"/>
          <w:sz w:val="28"/>
          <w:szCs w:val="28"/>
        </w:rPr>
        <w:t>clear</w:t>
      </w:r>
      <w:r w:rsidR="00382E4A" w:rsidRPr="00F24FAF">
        <w:rPr>
          <w:rFonts w:ascii="Times New Roman" w:hAnsi="Times New Roman" w:cs="Times New Roman"/>
          <w:sz w:val="28"/>
          <w:szCs w:val="28"/>
        </w:rPr>
        <w:t>.</w:t>
      </w:r>
      <w:r w:rsidR="003B30B3" w:rsidRPr="00F24FAF">
        <w:rPr>
          <w:rStyle w:val="FootnoteReference"/>
          <w:rFonts w:ascii="Times New Roman" w:hAnsi="Times New Roman" w:cs="Times New Roman"/>
          <w:sz w:val="28"/>
          <w:szCs w:val="28"/>
        </w:rPr>
        <w:footnoteReference w:id="11"/>
      </w:r>
      <w:r w:rsidR="00382E4A" w:rsidRPr="00F24FAF">
        <w:rPr>
          <w:rFonts w:ascii="Times New Roman" w:hAnsi="Times New Roman" w:cs="Times New Roman"/>
          <w:sz w:val="28"/>
          <w:szCs w:val="28"/>
        </w:rPr>
        <w:t xml:space="preserve">  </w:t>
      </w:r>
      <w:r w:rsidR="00365A68">
        <w:rPr>
          <w:rFonts w:ascii="Times New Roman" w:hAnsi="Times New Roman" w:cs="Times New Roman"/>
          <w:sz w:val="28"/>
          <w:szCs w:val="28"/>
        </w:rPr>
        <w:t>The proposed modification compromise</w:t>
      </w:r>
      <w:r w:rsidR="00D12182">
        <w:rPr>
          <w:rFonts w:ascii="Times New Roman" w:hAnsi="Times New Roman" w:cs="Times New Roman"/>
          <w:sz w:val="28"/>
          <w:szCs w:val="28"/>
        </w:rPr>
        <w:t>s</w:t>
      </w:r>
      <w:r w:rsidR="00365A68">
        <w:rPr>
          <w:rFonts w:ascii="Times New Roman" w:hAnsi="Times New Roman" w:cs="Times New Roman"/>
          <w:sz w:val="28"/>
          <w:szCs w:val="28"/>
        </w:rPr>
        <w:t xml:space="preserve"> the </w:t>
      </w:r>
      <w:proofErr w:type="spellStart"/>
      <w:r w:rsidR="00365A68">
        <w:rPr>
          <w:rFonts w:ascii="Times New Roman" w:hAnsi="Times New Roman" w:cs="Times New Roman"/>
          <w:sz w:val="28"/>
          <w:szCs w:val="28"/>
        </w:rPr>
        <w:t>accused’s</w:t>
      </w:r>
      <w:proofErr w:type="spellEnd"/>
      <w:r w:rsidR="00365A68">
        <w:rPr>
          <w:rFonts w:ascii="Times New Roman" w:hAnsi="Times New Roman" w:cs="Times New Roman"/>
          <w:sz w:val="28"/>
          <w:szCs w:val="28"/>
        </w:rPr>
        <w:t xml:space="preserve"> due process right to make such a request by </w:t>
      </w:r>
      <w:r w:rsidR="003518F1" w:rsidRPr="00F24FAF">
        <w:rPr>
          <w:rFonts w:ascii="Times New Roman" w:hAnsi="Times New Roman" w:cs="Times New Roman"/>
          <w:sz w:val="28"/>
          <w:szCs w:val="28"/>
        </w:rPr>
        <w:t xml:space="preserve">creating a situation where </w:t>
      </w:r>
      <w:r w:rsidR="00365A68">
        <w:rPr>
          <w:rFonts w:ascii="Times New Roman" w:hAnsi="Times New Roman" w:cs="Times New Roman"/>
          <w:sz w:val="28"/>
          <w:szCs w:val="28"/>
        </w:rPr>
        <w:t>the accused</w:t>
      </w:r>
      <w:r w:rsidR="003518F1" w:rsidRPr="00F24FAF">
        <w:rPr>
          <w:rFonts w:ascii="Times New Roman" w:hAnsi="Times New Roman" w:cs="Times New Roman"/>
          <w:sz w:val="28"/>
          <w:szCs w:val="28"/>
        </w:rPr>
        <w:t xml:space="preserve"> must choose between requesting to testify and risking the prejudicial impact of the grand jury </w:t>
      </w:r>
      <w:r w:rsidR="00365A68">
        <w:rPr>
          <w:rFonts w:ascii="Times New Roman" w:hAnsi="Times New Roman" w:cs="Times New Roman"/>
          <w:sz w:val="28"/>
          <w:szCs w:val="28"/>
        </w:rPr>
        <w:t xml:space="preserve">knowing </w:t>
      </w:r>
      <w:r w:rsidR="003518F1" w:rsidRPr="00F24FAF">
        <w:rPr>
          <w:rFonts w:ascii="Times New Roman" w:hAnsi="Times New Roman" w:cs="Times New Roman"/>
          <w:sz w:val="28"/>
          <w:szCs w:val="28"/>
        </w:rPr>
        <w:t xml:space="preserve">that she is in custody, and forgoing her right to testify in order to avoid that impact.  </w:t>
      </w:r>
    </w:p>
    <w:p w:rsidR="00382E4A" w:rsidRPr="00F24FAF" w:rsidRDefault="00382E4A" w:rsidP="00382E4A">
      <w:pPr>
        <w:pStyle w:val="ListParagraph"/>
        <w:numPr>
          <w:ilvl w:val="0"/>
          <w:numId w:val="2"/>
        </w:numPr>
        <w:spacing w:line="480" w:lineRule="auto"/>
        <w:jc w:val="both"/>
        <w:rPr>
          <w:rFonts w:ascii="Times New Roman" w:hAnsi="Times New Roman" w:cs="Times New Roman"/>
          <w:b/>
          <w:sz w:val="28"/>
          <w:szCs w:val="28"/>
        </w:rPr>
      </w:pPr>
      <w:r w:rsidRPr="00F24FAF">
        <w:rPr>
          <w:rFonts w:ascii="Times New Roman" w:hAnsi="Times New Roman" w:cs="Times New Roman"/>
          <w:sz w:val="28"/>
          <w:szCs w:val="28"/>
        </w:rPr>
        <w:t xml:space="preserve"> </w:t>
      </w:r>
      <w:r w:rsidRPr="00F24FAF">
        <w:rPr>
          <w:rFonts w:ascii="Times New Roman" w:hAnsi="Times New Roman" w:cs="Times New Roman"/>
          <w:b/>
          <w:sz w:val="28"/>
          <w:szCs w:val="28"/>
        </w:rPr>
        <w:t>Proposal</w:t>
      </w:r>
    </w:p>
    <w:p w:rsidR="00382E4A" w:rsidRPr="00F24FAF" w:rsidRDefault="00382E4A" w:rsidP="003518F1">
      <w:pPr>
        <w:spacing w:line="480" w:lineRule="auto"/>
        <w:ind w:firstLine="720"/>
        <w:jc w:val="both"/>
        <w:rPr>
          <w:rFonts w:ascii="Times New Roman" w:hAnsi="Times New Roman" w:cs="Times New Roman"/>
          <w:sz w:val="28"/>
          <w:szCs w:val="28"/>
        </w:rPr>
      </w:pPr>
      <w:r w:rsidRPr="00F24FAF">
        <w:rPr>
          <w:rFonts w:ascii="Times New Roman" w:hAnsi="Times New Roman" w:cs="Times New Roman"/>
          <w:sz w:val="28"/>
          <w:szCs w:val="28"/>
        </w:rPr>
        <w:t xml:space="preserve">AACJ agrees that it would be impractical </w:t>
      </w:r>
      <w:r w:rsidR="002062CE">
        <w:rPr>
          <w:rFonts w:ascii="Times New Roman" w:hAnsi="Times New Roman" w:cs="Times New Roman"/>
          <w:sz w:val="28"/>
          <w:szCs w:val="28"/>
        </w:rPr>
        <w:t xml:space="preserve">for </w:t>
      </w:r>
      <w:r w:rsidR="00632BC0">
        <w:rPr>
          <w:rFonts w:ascii="Times New Roman" w:hAnsi="Times New Roman" w:cs="Times New Roman"/>
          <w:sz w:val="28"/>
          <w:szCs w:val="28"/>
        </w:rPr>
        <w:t xml:space="preserve">an </w:t>
      </w:r>
      <w:r w:rsidR="002062CE">
        <w:rPr>
          <w:rFonts w:ascii="Times New Roman" w:hAnsi="Times New Roman" w:cs="Times New Roman"/>
          <w:sz w:val="28"/>
          <w:szCs w:val="28"/>
        </w:rPr>
        <w:t xml:space="preserve">accused </w:t>
      </w:r>
      <w:proofErr w:type="gramStart"/>
      <w:r w:rsidR="002062CE">
        <w:rPr>
          <w:rFonts w:ascii="Times New Roman" w:hAnsi="Times New Roman" w:cs="Times New Roman"/>
          <w:sz w:val="28"/>
          <w:szCs w:val="28"/>
        </w:rPr>
        <w:t>who</w:t>
      </w:r>
      <w:proofErr w:type="gramEnd"/>
      <w:r w:rsidR="002062CE">
        <w:rPr>
          <w:rFonts w:ascii="Times New Roman" w:hAnsi="Times New Roman" w:cs="Times New Roman"/>
          <w:sz w:val="28"/>
          <w:szCs w:val="28"/>
        </w:rPr>
        <w:t xml:space="preserve"> is </w:t>
      </w:r>
      <w:r w:rsidRPr="00F24FAF">
        <w:rPr>
          <w:rFonts w:ascii="Times New Roman" w:hAnsi="Times New Roman" w:cs="Times New Roman"/>
          <w:sz w:val="28"/>
          <w:szCs w:val="28"/>
        </w:rPr>
        <w:t>in</w:t>
      </w:r>
      <w:r w:rsidR="00632BC0">
        <w:rPr>
          <w:rFonts w:ascii="Times New Roman" w:hAnsi="Times New Roman" w:cs="Times New Roman"/>
          <w:sz w:val="28"/>
          <w:szCs w:val="28"/>
        </w:rPr>
        <w:t xml:space="preserve"> </w:t>
      </w:r>
      <w:r w:rsidRPr="00F24FAF">
        <w:rPr>
          <w:rFonts w:ascii="Times New Roman" w:hAnsi="Times New Roman" w:cs="Times New Roman"/>
          <w:sz w:val="28"/>
          <w:szCs w:val="28"/>
        </w:rPr>
        <w:t xml:space="preserve">custody </w:t>
      </w:r>
      <w:r w:rsidR="002062CE">
        <w:rPr>
          <w:rFonts w:ascii="Times New Roman" w:hAnsi="Times New Roman" w:cs="Times New Roman"/>
          <w:sz w:val="28"/>
          <w:szCs w:val="28"/>
        </w:rPr>
        <w:t>to</w:t>
      </w:r>
      <w:r w:rsidR="002062CE" w:rsidRPr="00F24FAF">
        <w:rPr>
          <w:rFonts w:ascii="Times New Roman" w:hAnsi="Times New Roman" w:cs="Times New Roman"/>
          <w:sz w:val="28"/>
          <w:szCs w:val="28"/>
        </w:rPr>
        <w:t xml:space="preserve"> </w:t>
      </w:r>
      <w:r w:rsidRPr="00F24FAF">
        <w:rPr>
          <w:rFonts w:ascii="Times New Roman" w:hAnsi="Times New Roman" w:cs="Times New Roman"/>
          <w:sz w:val="28"/>
          <w:szCs w:val="28"/>
        </w:rPr>
        <w:t xml:space="preserve">be present in the jury room with no security.  Because a consistent rule is preferred so as to avoid unnecessary prejudice to an in-custody </w:t>
      </w:r>
      <w:r w:rsidR="00632BC0">
        <w:rPr>
          <w:rFonts w:ascii="Times New Roman" w:hAnsi="Times New Roman" w:cs="Times New Roman"/>
          <w:sz w:val="28"/>
          <w:szCs w:val="28"/>
        </w:rPr>
        <w:t>accused</w:t>
      </w:r>
      <w:r w:rsidR="00A15CD9" w:rsidRPr="00F24FAF">
        <w:rPr>
          <w:rFonts w:ascii="Times New Roman" w:hAnsi="Times New Roman" w:cs="Times New Roman"/>
          <w:sz w:val="28"/>
          <w:szCs w:val="28"/>
        </w:rPr>
        <w:t>, AACJ recommends that the modified language read</w:t>
      </w:r>
      <w:r w:rsidR="00632BC0">
        <w:rPr>
          <w:rFonts w:ascii="Times New Roman" w:hAnsi="Times New Roman" w:cs="Times New Roman"/>
          <w:sz w:val="28"/>
          <w:szCs w:val="28"/>
        </w:rPr>
        <w:t>:</w:t>
      </w:r>
      <w:r w:rsidR="00A15CD9" w:rsidRPr="00F24FAF">
        <w:rPr>
          <w:rFonts w:ascii="Times New Roman" w:hAnsi="Times New Roman" w:cs="Times New Roman"/>
          <w:sz w:val="28"/>
          <w:szCs w:val="28"/>
        </w:rPr>
        <w:t xml:space="preserve"> “</w:t>
      </w:r>
      <w:r w:rsidR="00A15CD9" w:rsidRPr="00F24FAF">
        <w:rPr>
          <w:rFonts w:ascii="Times New Roman" w:hAnsi="Times New Roman" w:cs="Times New Roman"/>
          <w:caps/>
          <w:sz w:val="28"/>
          <w:szCs w:val="28"/>
        </w:rPr>
        <w:t>if a witness under examination by the grand jury is not a law enforcement officer, a law enforcement officer or detention officer may be present during the grand jury session for the purpose of maintaining security of the proceedings while the witness testifies.  A law enforcement officer or detention officer maintaining security of the grand jury proceedings while a witness testifies shall be admonished consistent with A</w:t>
      </w:r>
      <w:r w:rsidR="00632BC0">
        <w:rPr>
          <w:rFonts w:ascii="Times New Roman" w:hAnsi="Times New Roman" w:cs="Times New Roman"/>
          <w:caps/>
          <w:sz w:val="28"/>
          <w:szCs w:val="28"/>
        </w:rPr>
        <w:t>.</w:t>
      </w:r>
      <w:r w:rsidR="00A15CD9" w:rsidRPr="00F24FAF">
        <w:rPr>
          <w:rFonts w:ascii="Times New Roman" w:hAnsi="Times New Roman" w:cs="Times New Roman"/>
          <w:caps/>
          <w:sz w:val="28"/>
          <w:szCs w:val="28"/>
        </w:rPr>
        <w:t>R</w:t>
      </w:r>
      <w:r w:rsidR="00632BC0">
        <w:rPr>
          <w:rFonts w:ascii="Times New Roman" w:hAnsi="Times New Roman" w:cs="Times New Roman"/>
          <w:caps/>
          <w:sz w:val="28"/>
          <w:szCs w:val="28"/>
        </w:rPr>
        <w:t>.</w:t>
      </w:r>
      <w:r w:rsidR="00A15CD9" w:rsidRPr="00F24FAF">
        <w:rPr>
          <w:rFonts w:ascii="Times New Roman" w:hAnsi="Times New Roman" w:cs="Times New Roman"/>
          <w:caps/>
          <w:sz w:val="28"/>
          <w:szCs w:val="28"/>
        </w:rPr>
        <w:t>S</w:t>
      </w:r>
      <w:r w:rsidR="00632BC0">
        <w:rPr>
          <w:rFonts w:ascii="Times New Roman" w:hAnsi="Times New Roman" w:cs="Times New Roman"/>
          <w:caps/>
          <w:sz w:val="28"/>
          <w:szCs w:val="28"/>
        </w:rPr>
        <w:t>.</w:t>
      </w:r>
      <w:r w:rsidR="00A15CD9" w:rsidRPr="00F24FAF">
        <w:rPr>
          <w:rFonts w:ascii="Times New Roman" w:hAnsi="Times New Roman" w:cs="Times New Roman"/>
          <w:caps/>
          <w:sz w:val="28"/>
          <w:szCs w:val="28"/>
        </w:rPr>
        <w:t xml:space="preserve"> §§ 13-2812, 12-2813</w:t>
      </w:r>
      <w:r w:rsidR="00A15CD9" w:rsidRPr="00F24FAF">
        <w:rPr>
          <w:rFonts w:ascii="Times New Roman" w:hAnsi="Times New Roman" w:cs="Times New Roman"/>
          <w:sz w:val="28"/>
          <w:szCs w:val="28"/>
        </w:rPr>
        <w:t>.</w:t>
      </w:r>
      <w:r w:rsidR="003B30B3" w:rsidRPr="00F24FAF">
        <w:rPr>
          <w:rFonts w:ascii="Times New Roman" w:hAnsi="Times New Roman" w:cs="Times New Roman"/>
          <w:sz w:val="28"/>
          <w:szCs w:val="28"/>
        </w:rPr>
        <w:t xml:space="preserve">  MEMBERS OF THE GRAND JURY SHALL BE ADVISED OF THIS RULE BEFORE THEIR FIRST PROBABLE CAUSE PRESENTATION.</w:t>
      </w:r>
      <w:r w:rsidR="00A15CD9" w:rsidRPr="00F24FAF">
        <w:rPr>
          <w:rFonts w:ascii="Times New Roman" w:hAnsi="Times New Roman" w:cs="Times New Roman"/>
          <w:sz w:val="28"/>
          <w:szCs w:val="28"/>
        </w:rPr>
        <w:t>”</w:t>
      </w:r>
    </w:p>
    <w:p w:rsidR="00A15CD9" w:rsidRDefault="00632BC0" w:rsidP="00382E4A">
      <w:pPr>
        <w:spacing w:line="480" w:lineRule="auto"/>
        <w:ind w:firstLine="360"/>
        <w:jc w:val="both"/>
        <w:rPr>
          <w:rFonts w:ascii="Times New Roman" w:hAnsi="Times New Roman" w:cs="Times New Roman"/>
          <w:sz w:val="28"/>
          <w:szCs w:val="28"/>
        </w:rPr>
      </w:pPr>
      <w:r>
        <w:rPr>
          <w:rFonts w:ascii="Times New Roman" w:hAnsi="Times New Roman" w:cs="Times New Roman"/>
          <w:sz w:val="28"/>
          <w:szCs w:val="28"/>
        </w:rPr>
        <w:t>Under the modified proposed</w:t>
      </w:r>
      <w:r w:rsidR="001C71E8" w:rsidRPr="00F24FAF">
        <w:rPr>
          <w:rFonts w:ascii="Times New Roman" w:hAnsi="Times New Roman" w:cs="Times New Roman"/>
          <w:sz w:val="28"/>
          <w:szCs w:val="28"/>
        </w:rPr>
        <w:t xml:space="preserve"> rule, a deputy </w:t>
      </w:r>
      <w:r>
        <w:rPr>
          <w:rFonts w:ascii="Times New Roman" w:hAnsi="Times New Roman" w:cs="Times New Roman"/>
          <w:sz w:val="28"/>
          <w:szCs w:val="28"/>
        </w:rPr>
        <w:t>would</w:t>
      </w:r>
      <w:r w:rsidRPr="00F24FAF">
        <w:rPr>
          <w:rFonts w:ascii="Times New Roman" w:hAnsi="Times New Roman" w:cs="Times New Roman"/>
          <w:sz w:val="28"/>
          <w:szCs w:val="28"/>
        </w:rPr>
        <w:t xml:space="preserve"> </w:t>
      </w:r>
      <w:r w:rsidR="001C71E8" w:rsidRPr="00F24FAF">
        <w:rPr>
          <w:rFonts w:ascii="Times New Roman" w:hAnsi="Times New Roman" w:cs="Times New Roman"/>
          <w:sz w:val="28"/>
          <w:szCs w:val="28"/>
        </w:rPr>
        <w:t>be present any time a non-law enforcement officer testifies and</w:t>
      </w:r>
      <w:r>
        <w:rPr>
          <w:rFonts w:ascii="Times New Roman" w:hAnsi="Times New Roman" w:cs="Times New Roman"/>
          <w:sz w:val="28"/>
          <w:szCs w:val="28"/>
        </w:rPr>
        <w:t>,</w:t>
      </w:r>
      <w:r w:rsidR="001C71E8" w:rsidRPr="00F24FAF">
        <w:rPr>
          <w:rFonts w:ascii="Times New Roman" w:hAnsi="Times New Roman" w:cs="Times New Roman"/>
          <w:sz w:val="28"/>
          <w:szCs w:val="28"/>
        </w:rPr>
        <w:t xml:space="preserve"> </w:t>
      </w:r>
      <w:r>
        <w:rPr>
          <w:rFonts w:ascii="Times New Roman" w:hAnsi="Times New Roman" w:cs="Times New Roman"/>
          <w:sz w:val="28"/>
          <w:szCs w:val="28"/>
        </w:rPr>
        <w:t>as such</w:t>
      </w:r>
      <w:r w:rsidR="001C71E8" w:rsidRPr="00F24FAF">
        <w:rPr>
          <w:rFonts w:ascii="Times New Roman" w:hAnsi="Times New Roman" w:cs="Times New Roman"/>
          <w:sz w:val="28"/>
          <w:szCs w:val="28"/>
        </w:rPr>
        <w:t xml:space="preserve">, the grand jury’s information would be only that the officer is provided in all circumstances that a non-officer is a witness before them.  Reading the above language as an admonition to the </w:t>
      </w:r>
      <w:r>
        <w:rPr>
          <w:rFonts w:ascii="Times New Roman" w:hAnsi="Times New Roman" w:cs="Times New Roman"/>
          <w:sz w:val="28"/>
          <w:szCs w:val="28"/>
        </w:rPr>
        <w:t>g</w:t>
      </w:r>
      <w:r w:rsidR="001C71E8" w:rsidRPr="00F24FAF">
        <w:rPr>
          <w:rFonts w:ascii="Times New Roman" w:hAnsi="Times New Roman" w:cs="Times New Roman"/>
          <w:sz w:val="28"/>
          <w:szCs w:val="28"/>
        </w:rPr>
        <w:t xml:space="preserve">rand </w:t>
      </w:r>
      <w:r>
        <w:rPr>
          <w:rFonts w:ascii="Times New Roman" w:hAnsi="Times New Roman" w:cs="Times New Roman"/>
          <w:sz w:val="28"/>
          <w:szCs w:val="28"/>
        </w:rPr>
        <w:t>j</w:t>
      </w:r>
      <w:r w:rsidR="001C71E8" w:rsidRPr="00F24FAF">
        <w:rPr>
          <w:rFonts w:ascii="Times New Roman" w:hAnsi="Times New Roman" w:cs="Times New Roman"/>
          <w:sz w:val="28"/>
          <w:szCs w:val="28"/>
        </w:rPr>
        <w:t>ury would be an appropriate additional step to ensure that there is no impermissible i</w:t>
      </w:r>
      <w:bookmarkStart w:id="3" w:name="_GoBack"/>
      <w:bookmarkEnd w:id="3"/>
      <w:r w:rsidR="001C71E8" w:rsidRPr="00F24FAF">
        <w:rPr>
          <w:rFonts w:ascii="Times New Roman" w:hAnsi="Times New Roman" w:cs="Times New Roman"/>
          <w:sz w:val="28"/>
          <w:szCs w:val="28"/>
        </w:rPr>
        <w:t xml:space="preserve">nference drawn from the presence of the officer.  </w:t>
      </w:r>
    </w:p>
    <w:p w:rsidR="005A6B0F" w:rsidRDefault="005A6B0F" w:rsidP="00382E4A">
      <w:pPr>
        <w:spacing w:line="48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In the alternative, this proposed rule should be rejected in its entirety for the reasons stated above.  </w:t>
      </w:r>
    </w:p>
    <w:p w:rsidR="005A6B0F" w:rsidRDefault="005A6B0F">
      <w:pPr>
        <w:spacing w:line="480" w:lineRule="auto"/>
        <w:ind w:left="720" w:firstLine="720"/>
        <w:jc w:val="both"/>
        <w:rPr>
          <w:rFonts w:ascii="Times New Roman" w:eastAsia="Times New Roman" w:hAnsi="Times New Roman" w:cs="Times New Roman"/>
          <w:sz w:val="28"/>
          <w:szCs w:val="28"/>
        </w:rPr>
      </w:pPr>
    </w:p>
    <w:p w:rsidR="00B54AE1" w:rsidRPr="00F24FAF" w:rsidRDefault="00991AF6">
      <w:pPr>
        <w:spacing w:line="480" w:lineRule="auto"/>
        <w:ind w:left="720" w:firstLine="720"/>
        <w:jc w:val="both"/>
        <w:rPr>
          <w:rFonts w:ascii="Times New Roman" w:hAnsi="Times New Roman" w:cs="Times New Roman"/>
          <w:sz w:val="28"/>
          <w:szCs w:val="28"/>
        </w:rPr>
      </w:pPr>
      <w:proofErr w:type="gramStart"/>
      <w:r w:rsidRPr="00F24FAF">
        <w:rPr>
          <w:rFonts w:ascii="Times New Roman" w:eastAsia="Times New Roman" w:hAnsi="Times New Roman" w:cs="Times New Roman"/>
          <w:sz w:val="28"/>
          <w:szCs w:val="28"/>
        </w:rPr>
        <w:t xml:space="preserve">DATED:  May </w:t>
      </w:r>
      <w:r w:rsidR="005A6B0F">
        <w:rPr>
          <w:rFonts w:ascii="Times New Roman" w:eastAsia="Times New Roman" w:hAnsi="Times New Roman" w:cs="Times New Roman"/>
          <w:sz w:val="28"/>
          <w:szCs w:val="28"/>
        </w:rPr>
        <w:t>16</w:t>
      </w:r>
      <w:r w:rsidRPr="00F24FAF">
        <w:rPr>
          <w:rFonts w:ascii="Times New Roman" w:eastAsia="Times New Roman" w:hAnsi="Times New Roman" w:cs="Times New Roman"/>
          <w:sz w:val="28"/>
          <w:szCs w:val="28"/>
        </w:rPr>
        <w:t>, 2014.</w:t>
      </w:r>
      <w:proofErr w:type="gramEnd"/>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ARIZONA ATTORNEYS FOR CRIMINAL JUSTICE</w:t>
      </w:r>
    </w:p>
    <w:p w:rsidR="00B54AE1" w:rsidRPr="00F24FAF" w:rsidRDefault="00B54AE1">
      <w:pPr>
        <w:rPr>
          <w:rFonts w:ascii="Times New Roman" w:hAnsi="Times New Roman" w:cs="Times New Roman"/>
          <w:sz w:val="28"/>
          <w:szCs w:val="28"/>
        </w:rPr>
      </w:pPr>
    </w:p>
    <w:p w:rsidR="00B54AE1" w:rsidRPr="00F24FAF" w:rsidRDefault="00B54AE1">
      <w:pPr>
        <w:rPr>
          <w:rFonts w:ascii="Times New Roman" w:hAnsi="Times New Roman" w:cs="Times New Roman"/>
          <w:sz w:val="28"/>
          <w:szCs w:val="28"/>
        </w:rPr>
      </w:pP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 xml:space="preserve">By </w:t>
      </w:r>
      <w:r w:rsidRPr="00F24FAF">
        <w:rPr>
          <w:rFonts w:ascii="Times New Roman" w:eastAsia="Times New Roman" w:hAnsi="Times New Roman" w:cs="Times New Roman"/>
          <w:sz w:val="28"/>
          <w:szCs w:val="28"/>
          <w:u w:val="single"/>
        </w:rPr>
        <w:tab/>
        <w:t>/s/</w:t>
      </w:r>
      <w:r w:rsidRPr="00F24FAF">
        <w:rPr>
          <w:rFonts w:ascii="Times New Roman" w:eastAsia="Times New Roman" w:hAnsi="Times New Roman" w:cs="Times New Roman"/>
          <w:sz w:val="28"/>
          <w:szCs w:val="28"/>
          <w:u w:val="single"/>
        </w:rPr>
        <w:tab/>
      </w:r>
      <w:r w:rsidRPr="00F24FAF">
        <w:rPr>
          <w:rFonts w:ascii="Times New Roman" w:eastAsia="Times New Roman" w:hAnsi="Times New Roman" w:cs="Times New Roman"/>
          <w:sz w:val="28"/>
          <w:szCs w:val="28"/>
          <w:u w:val="single"/>
        </w:rPr>
        <w:tab/>
      </w:r>
      <w:r w:rsidRPr="00F24FAF">
        <w:rPr>
          <w:rFonts w:ascii="Times New Roman" w:eastAsia="Times New Roman" w:hAnsi="Times New Roman" w:cs="Times New Roman"/>
          <w:sz w:val="28"/>
          <w:szCs w:val="28"/>
          <w:u w:val="single"/>
        </w:rPr>
        <w:tab/>
      </w:r>
      <w:r w:rsidRPr="00F24FAF">
        <w:rPr>
          <w:rFonts w:ascii="Times New Roman" w:eastAsia="Times New Roman" w:hAnsi="Times New Roman" w:cs="Times New Roman"/>
          <w:sz w:val="28"/>
          <w:szCs w:val="28"/>
          <w:u w:val="single"/>
        </w:rPr>
        <w:tab/>
      </w:r>
      <w:r w:rsidRPr="00F24FAF">
        <w:rPr>
          <w:rFonts w:ascii="Times New Roman" w:eastAsia="Times New Roman" w:hAnsi="Times New Roman" w:cs="Times New Roman"/>
          <w:sz w:val="28"/>
          <w:szCs w:val="28"/>
          <w:u w:val="single"/>
        </w:rPr>
        <w:tab/>
      </w:r>
      <w:r w:rsidRPr="00F24FAF">
        <w:rPr>
          <w:rFonts w:ascii="Times New Roman" w:eastAsia="Times New Roman" w:hAnsi="Times New Roman" w:cs="Times New Roman"/>
          <w:sz w:val="28"/>
          <w:szCs w:val="28"/>
        </w:rPr>
        <w:t xml:space="preserve"> </w:t>
      </w:r>
      <w:r w:rsidRPr="00F24FAF">
        <w:rPr>
          <w:rFonts w:ascii="Times New Roman" w:eastAsia="Times New Roman" w:hAnsi="Times New Roman" w:cs="Times New Roman"/>
          <w:sz w:val="28"/>
          <w:szCs w:val="28"/>
        </w:rPr>
        <w:tab/>
      </w:r>
    </w:p>
    <w:p w:rsidR="00B54AE1" w:rsidRPr="00F24FAF" w:rsidRDefault="00EE7634">
      <w:pPr>
        <w:ind w:firstLine="720"/>
        <w:rPr>
          <w:rFonts w:ascii="Times New Roman" w:hAnsi="Times New Roman" w:cs="Times New Roman"/>
          <w:sz w:val="28"/>
          <w:szCs w:val="28"/>
        </w:rPr>
      </w:pPr>
      <w:r w:rsidRPr="00F24FAF">
        <w:rPr>
          <w:rFonts w:ascii="Times New Roman" w:eastAsia="Times New Roman" w:hAnsi="Times New Roman" w:cs="Times New Roman"/>
          <w:sz w:val="28"/>
          <w:szCs w:val="28"/>
        </w:rPr>
        <w:t>Amy Kalman</w:t>
      </w:r>
    </w:p>
    <w:p w:rsidR="00B54AE1" w:rsidRPr="00F24FAF" w:rsidRDefault="00B54AE1">
      <w:pPr>
        <w:rPr>
          <w:rFonts w:ascii="Times New Roman" w:hAnsi="Times New Roman" w:cs="Times New Roman"/>
          <w:sz w:val="28"/>
          <w:szCs w:val="28"/>
        </w:rPr>
      </w:pP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This comment e-filed this date with:</w:t>
      </w:r>
    </w:p>
    <w:p w:rsidR="00B54AE1" w:rsidRPr="00F24FAF" w:rsidRDefault="00B54AE1">
      <w:pPr>
        <w:rPr>
          <w:rFonts w:ascii="Times New Roman" w:hAnsi="Times New Roman" w:cs="Times New Roman"/>
          <w:sz w:val="28"/>
          <w:szCs w:val="28"/>
        </w:rPr>
      </w:pP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Supreme Court of Arizona</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1501 West Jefferson</w:t>
      </w:r>
    </w:p>
    <w:p w:rsidR="00B54AE1" w:rsidRPr="00F24FAF" w:rsidRDefault="00991AF6">
      <w:pPr>
        <w:rPr>
          <w:rFonts w:ascii="Times New Roman" w:hAnsi="Times New Roman" w:cs="Times New Roman"/>
          <w:sz w:val="28"/>
          <w:szCs w:val="28"/>
        </w:rPr>
      </w:pPr>
      <w:r w:rsidRPr="00F24FAF">
        <w:rPr>
          <w:rFonts w:ascii="Times New Roman" w:eastAsia="Times New Roman" w:hAnsi="Times New Roman" w:cs="Times New Roman"/>
          <w:sz w:val="28"/>
          <w:szCs w:val="28"/>
        </w:rPr>
        <w:t>Phoenix, AZ 85007-3329</w:t>
      </w:r>
    </w:p>
    <w:p w:rsidR="00B54AE1" w:rsidRPr="00F24FAF" w:rsidRDefault="00B54AE1">
      <w:pPr>
        <w:rPr>
          <w:rFonts w:ascii="Times New Roman" w:hAnsi="Times New Roman" w:cs="Times New Roman"/>
          <w:sz w:val="28"/>
          <w:szCs w:val="28"/>
        </w:rPr>
      </w:pPr>
    </w:p>
    <w:sectPr w:rsidR="00B54AE1" w:rsidRPr="00F24FAF" w:rsidSect="00D1146C">
      <w:headerReference w:type="default" r:id="rId12"/>
      <w:footerReference w:type="default" r:id="rId13"/>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3A4" w:rsidRDefault="00F253A4">
      <w:r>
        <w:separator/>
      </w:r>
    </w:p>
  </w:endnote>
  <w:endnote w:type="continuationSeparator" w:id="0">
    <w:p w:rsidR="00F253A4" w:rsidRDefault="00F253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Lucida Console"/>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2CE" w:rsidRDefault="002062CE">
    <w:pPr>
      <w:tabs>
        <w:tab w:val="center" w:pos="4320"/>
        <w:tab w:val="right" w:pos="86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3A4" w:rsidRDefault="00F253A4">
      <w:r>
        <w:separator/>
      </w:r>
    </w:p>
  </w:footnote>
  <w:footnote w:type="continuationSeparator" w:id="0">
    <w:p w:rsidR="00F253A4" w:rsidRDefault="00F253A4">
      <w:r>
        <w:continuationSeparator/>
      </w:r>
    </w:p>
  </w:footnote>
  <w:footnote w:id="1">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hAnsi="Times New Roman" w:cs="Times New Roman"/>
          <w:i/>
          <w:sz w:val="28"/>
          <w:szCs w:val="28"/>
        </w:rPr>
        <w:t>Trebus v. Davis</w:t>
      </w:r>
      <w:r w:rsidRPr="00F24FAF">
        <w:rPr>
          <w:rFonts w:ascii="Times New Roman" w:hAnsi="Times New Roman" w:cs="Times New Roman"/>
          <w:sz w:val="28"/>
          <w:szCs w:val="28"/>
        </w:rPr>
        <w:t>, 189 Ariz. 621, 625, 944 P.2d 1235, 1239 (1997)</w:t>
      </w:r>
      <w:r>
        <w:rPr>
          <w:rFonts w:ascii="Times New Roman" w:hAnsi="Times New Roman" w:cs="Times New Roman"/>
          <w:sz w:val="28"/>
          <w:szCs w:val="28"/>
        </w:rPr>
        <w:t xml:space="preserve">; </w:t>
      </w:r>
      <w:r w:rsidRPr="00F24FAF">
        <w:rPr>
          <w:rFonts w:ascii="Times New Roman" w:hAnsi="Times New Roman" w:cs="Times New Roman"/>
          <w:sz w:val="28"/>
          <w:szCs w:val="28"/>
        </w:rPr>
        <w:t>A</w:t>
      </w:r>
      <w:r>
        <w:rPr>
          <w:rFonts w:ascii="Times New Roman" w:hAnsi="Times New Roman" w:cs="Times New Roman"/>
          <w:sz w:val="28"/>
          <w:szCs w:val="28"/>
        </w:rPr>
        <w:t>.</w:t>
      </w:r>
      <w:r w:rsidRPr="00F24FAF">
        <w:rPr>
          <w:rFonts w:ascii="Times New Roman" w:hAnsi="Times New Roman" w:cs="Times New Roman"/>
          <w:sz w:val="28"/>
          <w:szCs w:val="28"/>
        </w:rPr>
        <w:t>R</w:t>
      </w:r>
      <w:r>
        <w:rPr>
          <w:rFonts w:ascii="Times New Roman" w:hAnsi="Times New Roman" w:cs="Times New Roman"/>
          <w:sz w:val="28"/>
          <w:szCs w:val="28"/>
        </w:rPr>
        <w:t>.</w:t>
      </w:r>
      <w:r w:rsidRPr="00F24FAF">
        <w:rPr>
          <w:rFonts w:ascii="Times New Roman" w:hAnsi="Times New Roman" w:cs="Times New Roman"/>
          <w:sz w:val="28"/>
          <w:szCs w:val="28"/>
        </w:rPr>
        <w:t>S</w:t>
      </w:r>
      <w:r>
        <w:rPr>
          <w:rFonts w:ascii="Times New Roman" w:hAnsi="Times New Roman" w:cs="Times New Roman"/>
          <w:sz w:val="28"/>
          <w:szCs w:val="28"/>
        </w:rPr>
        <w:t xml:space="preserve">. </w:t>
      </w:r>
      <w:r w:rsidRPr="00F24FAF">
        <w:rPr>
          <w:rFonts w:ascii="Times New Roman" w:hAnsi="Times New Roman" w:cs="Times New Roman"/>
          <w:sz w:val="28"/>
          <w:szCs w:val="28"/>
        </w:rPr>
        <w:t>§ 21-412, Arizona Rule of Criminal Procedure 12.6.</w:t>
      </w:r>
    </w:p>
  </w:footnote>
  <w:footnote w:id="2">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proofErr w:type="gramStart"/>
      <w:r w:rsidRPr="00F24FAF">
        <w:rPr>
          <w:rFonts w:ascii="Times New Roman" w:hAnsi="Times New Roman" w:cs="Times New Roman"/>
          <w:i/>
          <w:sz w:val="28"/>
          <w:szCs w:val="28"/>
        </w:rPr>
        <w:t>Bashir v. Pineda,</w:t>
      </w:r>
      <w:r w:rsidRPr="00F24FAF">
        <w:rPr>
          <w:rFonts w:ascii="Times New Roman" w:hAnsi="Times New Roman" w:cs="Times New Roman"/>
          <w:sz w:val="28"/>
          <w:szCs w:val="28"/>
        </w:rPr>
        <w:t xml:space="preserve"> 226 Ariz. 351, 355</w:t>
      </w:r>
      <w:r w:rsidR="005A6B0F">
        <w:rPr>
          <w:rFonts w:ascii="Times New Roman" w:hAnsi="Times New Roman" w:cs="Times New Roman"/>
          <w:sz w:val="28"/>
          <w:szCs w:val="28"/>
        </w:rPr>
        <w:t>,</w:t>
      </w:r>
      <w:r w:rsidRPr="00F24FAF">
        <w:rPr>
          <w:rFonts w:ascii="Times New Roman" w:hAnsi="Times New Roman" w:cs="Times New Roman"/>
          <w:sz w:val="28"/>
          <w:szCs w:val="28"/>
        </w:rPr>
        <w:t xml:space="preserve"> 248 P.3d 199, 203 (</w:t>
      </w:r>
      <w:r>
        <w:rPr>
          <w:rFonts w:ascii="Times New Roman" w:hAnsi="Times New Roman" w:cs="Times New Roman"/>
          <w:sz w:val="28"/>
          <w:szCs w:val="28"/>
        </w:rPr>
        <w:t xml:space="preserve">App. </w:t>
      </w:r>
      <w:r w:rsidRPr="00F24FAF">
        <w:rPr>
          <w:rFonts w:ascii="Times New Roman" w:hAnsi="Times New Roman" w:cs="Times New Roman"/>
          <w:sz w:val="28"/>
          <w:szCs w:val="28"/>
        </w:rPr>
        <w:t>2011).</w:t>
      </w:r>
      <w:proofErr w:type="gramEnd"/>
      <w:r w:rsidRPr="00F24FAF">
        <w:rPr>
          <w:rFonts w:ascii="Times New Roman" w:hAnsi="Times New Roman" w:cs="Times New Roman"/>
          <w:sz w:val="28"/>
          <w:szCs w:val="28"/>
        </w:rPr>
        <w:t xml:space="preserve">  </w:t>
      </w:r>
    </w:p>
  </w:footnote>
  <w:footnote w:id="3">
    <w:p w:rsidR="002062CE" w:rsidRPr="005A6B0F" w:rsidRDefault="002062CE" w:rsidP="0057794C">
      <w:pPr>
        <w:rPr>
          <w:rFonts w:ascii="Times New Roman" w:eastAsia="Times New Roman" w:hAnsi="Times New Roman" w:cs="Times New Roman"/>
          <w:color w:val="auto"/>
          <w:sz w:val="28"/>
          <w:szCs w:val="28"/>
        </w:rPr>
      </w:pPr>
      <w:r w:rsidRPr="005A6B0F">
        <w:rPr>
          <w:rStyle w:val="FootnoteReference"/>
          <w:rFonts w:ascii="Times New Roman" w:hAnsi="Times New Roman" w:cs="Times New Roman"/>
          <w:sz w:val="28"/>
          <w:szCs w:val="28"/>
        </w:rPr>
        <w:footnoteRef/>
      </w:r>
      <w:r w:rsidRPr="005A6B0F">
        <w:rPr>
          <w:rFonts w:ascii="Times New Roman" w:hAnsi="Times New Roman" w:cs="Times New Roman"/>
          <w:sz w:val="28"/>
          <w:szCs w:val="28"/>
        </w:rPr>
        <w:t xml:space="preserve"> </w:t>
      </w:r>
      <w:r w:rsidRPr="005A6B0F">
        <w:rPr>
          <w:rFonts w:ascii="Times New Roman" w:eastAsia="Times New Roman" w:hAnsi="Times New Roman" w:cs="Times New Roman"/>
          <w:i/>
          <w:color w:val="auto"/>
          <w:sz w:val="28"/>
          <w:szCs w:val="28"/>
        </w:rPr>
        <w:t>State v. Cruz</w:t>
      </w:r>
      <w:r w:rsidRPr="005A6B0F">
        <w:rPr>
          <w:rFonts w:ascii="Times New Roman" w:eastAsia="Times New Roman" w:hAnsi="Times New Roman" w:cs="Times New Roman"/>
          <w:color w:val="auto"/>
          <w:sz w:val="28"/>
          <w:szCs w:val="28"/>
        </w:rPr>
        <w:t xml:space="preserve">, 218 Ariz. 149, 168, 181 P.3d 196, 215 (2008), citing State v. </w:t>
      </w:r>
      <w:r w:rsidRPr="005A6B0F">
        <w:rPr>
          <w:rFonts w:ascii="Times New Roman" w:eastAsia="Times New Roman" w:hAnsi="Times New Roman" w:cs="Times New Roman"/>
          <w:i/>
          <w:iCs/>
          <w:color w:val="auto"/>
          <w:sz w:val="28"/>
          <w:szCs w:val="28"/>
        </w:rPr>
        <w:t>Davolt,</w:t>
      </w:r>
      <w:r w:rsidRPr="005A6B0F">
        <w:rPr>
          <w:rFonts w:ascii="Times New Roman" w:eastAsia="Times New Roman" w:hAnsi="Times New Roman" w:cs="Times New Roman"/>
          <w:color w:val="auto"/>
          <w:sz w:val="28"/>
          <w:szCs w:val="28"/>
        </w:rPr>
        <w:t xml:space="preserve"> 207 Ariz. 191, 211, ¶ 84, 84 P.3d 456, 476 (2004). </w:t>
      </w:r>
    </w:p>
    <w:p w:rsidR="002062CE" w:rsidRPr="0057794C" w:rsidRDefault="002062CE">
      <w:pPr>
        <w:pStyle w:val="FootnoteText"/>
        <w:rPr>
          <w:b/>
        </w:rPr>
      </w:pPr>
    </w:p>
  </w:footnote>
  <w:footnote w:id="4">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eastAsia="Times New Roman" w:hAnsi="Times New Roman" w:cs="Times New Roman"/>
          <w:i/>
          <w:color w:val="auto"/>
          <w:sz w:val="28"/>
          <w:szCs w:val="28"/>
        </w:rPr>
        <w:t>Estelle v. Williams</w:t>
      </w:r>
      <w:r w:rsidRPr="00F24FAF">
        <w:rPr>
          <w:rFonts w:ascii="Times New Roman" w:eastAsia="Times New Roman" w:hAnsi="Times New Roman" w:cs="Times New Roman"/>
          <w:color w:val="auto"/>
          <w:sz w:val="28"/>
          <w:szCs w:val="28"/>
        </w:rPr>
        <w:t xml:space="preserve">, 425 U.S. 501, 503, 96 S. Ct. 1691, 1693 (1976).  </w:t>
      </w:r>
    </w:p>
  </w:footnote>
  <w:footnote w:id="5">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eastAsia="Times New Roman" w:hAnsi="Times New Roman" w:cs="Times New Roman"/>
          <w:i/>
          <w:color w:val="auto"/>
          <w:sz w:val="28"/>
          <w:szCs w:val="28"/>
        </w:rPr>
        <w:t>State v. Dixon</w:t>
      </w:r>
      <w:r w:rsidRPr="00F24FAF">
        <w:rPr>
          <w:rFonts w:ascii="Times New Roman" w:eastAsia="Times New Roman" w:hAnsi="Times New Roman" w:cs="Times New Roman"/>
          <w:color w:val="auto"/>
          <w:sz w:val="28"/>
          <w:szCs w:val="28"/>
        </w:rPr>
        <w:t xml:space="preserve">, 226 Ariz. 545, 551, 250 P.3d 1174, 1180 (2011), citing </w:t>
      </w:r>
      <w:r w:rsidRPr="00F24FAF">
        <w:rPr>
          <w:rFonts w:ascii="Times New Roman" w:eastAsia="Times New Roman" w:hAnsi="Times New Roman" w:cs="Times New Roman"/>
          <w:i/>
          <w:iCs/>
          <w:color w:val="auto"/>
          <w:sz w:val="28"/>
          <w:szCs w:val="28"/>
        </w:rPr>
        <w:t>Deck v. Missouri,</w:t>
      </w:r>
      <w:r w:rsidRPr="00F24FAF">
        <w:rPr>
          <w:rFonts w:ascii="Times New Roman" w:eastAsia="Times New Roman" w:hAnsi="Times New Roman" w:cs="Times New Roman"/>
          <w:color w:val="auto"/>
          <w:sz w:val="28"/>
          <w:szCs w:val="28"/>
        </w:rPr>
        <w:t xml:space="preserve"> 544 U.S. at 633, 125 S.Ct. 2007</w:t>
      </w:r>
    </w:p>
  </w:footnote>
  <w:footnote w:id="6">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eastAsia="Times New Roman" w:hAnsi="Times New Roman" w:cs="Times New Roman"/>
          <w:i/>
          <w:color w:val="auto"/>
          <w:sz w:val="28"/>
          <w:szCs w:val="28"/>
        </w:rPr>
        <w:t>Holbrook v. Flynn</w:t>
      </w:r>
      <w:r w:rsidRPr="00F24FAF">
        <w:rPr>
          <w:rFonts w:ascii="Times New Roman" w:eastAsia="Times New Roman" w:hAnsi="Times New Roman" w:cs="Times New Roman"/>
          <w:color w:val="auto"/>
          <w:sz w:val="28"/>
          <w:szCs w:val="28"/>
        </w:rPr>
        <w:t>, 475 U.S. 560, 570, 106 S. Ct. 1340, 1346 (1986) (“Even though a practice may be inherently prejudicial, jurors will not necessarily be fully conscious of the effect it will have on their attitude toward the accused.”)</w:t>
      </w:r>
      <w:r>
        <w:rPr>
          <w:rFonts w:ascii="Times New Roman" w:eastAsia="Times New Roman" w:hAnsi="Times New Roman" w:cs="Times New Roman"/>
          <w:color w:val="auto"/>
          <w:sz w:val="28"/>
          <w:szCs w:val="28"/>
        </w:rPr>
        <w:t>.</w:t>
      </w:r>
    </w:p>
  </w:footnote>
  <w:footnote w:id="7">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eastAsia="Times New Roman" w:hAnsi="Times New Roman" w:cs="Times New Roman"/>
          <w:i/>
          <w:color w:val="auto"/>
          <w:sz w:val="28"/>
          <w:szCs w:val="28"/>
        </w:rPr>
        <w:t>Holbrook</w:t>
      </w:r>
      <w:r w:rsidRPr="00F24FAF">
        <w:rPr>
          <w:rFonts w:ascii="Times New Roman" w:eastAsia="Times New Roman" w:hAnsi="Times New Roman" w:cs="Times New Roman"/>
          <w:color w:val="auto"/>
          <w:sz w:val="28"/>
          <w:szCs w:val="28"/>
        </w:rPr>
        <w:t xml:space="preserve"> at 569, 1346.  </w:t>
      </w:r>
    </w:p>
  </w:footnote>
  <w:footnote w:id="8">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120-180 days.  A</w:t>
      </w:r>
      <w:r>
        <w:rPr>
          <w:rFonts w:ascii="Times New Roman" w:hAnsi="Times New Roman" w:cs="Times New Roman"/>
          <w:sz w:val="28"/>
          <w:szCs w:val="28"/>
        </w:rPr>
        <w:t>.</w:t>
      </w:r>
      <w:r w:rsidRPr="00F24FAF">
        <w:rPr>
          <w:rFonts w:ascii="Times New Roman" w:hAnsi="Times New Roman" w:cs="Times New Roman"/>
          <w:sz w:val="28"/>
          <w:szCs w:val="28"/>
        </w:rPr>
        <w:t>R</w:t>
      </w:r>
      <w:r>
        <w:rPr>
          <w:rFonts w:ascii="Times New Roman" w:hAnsi="Times New Roman" w:cs="Times New Roman"/>
          <w:sz w:val="28"/>
          <w:szCs w:val="28"/>
        </w:rPr>
        <w:t>.</w:t>
      </w:r>
      <w:r w:rsidRPr="00F24FAF">
        <w:rPr>
          <w:rFonts w:ascii="Times New Roman" w:hAnsi="Times New Roman" w:cs="Times New Roman"/>
          <w:sz w:val="28"/>
          <w:szCs w:val="28"/>
        </w:rPr>
        <w:t>S</w:t>
      </w:r>
      <w:r>
        <w:rPr>
          <w:rFonts w:ascii="Times New Roman" w:hAnsi="Times New Roman" w:cs="Times New Roman"/>
          <w:sz w:val="28"/>
          <w:szCs w:val="28"/>
        </w:rPr>
        <w:t>.</w:t>
      </w:r>
      <w:r w:rsidRPr="00F24FAF">
        <w:rPr>
          <w:rFonts w:ascii="Times New Roman" w:hAnsi="Times New Roman" w:cs="Times New Roman"/>
          <w:sz w:val="28"/>
          <w:szCs w:val="28"/>
        </w:rPr>
        <w:t xml:space="preserve"> </w:t>
      </w:r>
      <w:r w:rsidRPr="00F24FAF">
        <w:rPr>
          <w:rFonts w:ascii="Times New Roman" w:hAnsi="Times New Roman" w:cs="Times New Roman"/>
          <w:color w:val="auto"/>
          <w:sz w:val="28"/>
          <w:szCs w:val="28"/>
        </w:rPr>
        <w:t>§ 21-403.</w:t>
      </w:r>
    </w:p>
  </w:footnote>
  <w:footnote w:id="9">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Petition, Page 3. </w:t>
      </w:r>
    </w:p>
  </w:footnote>
  <w:footnote w:id="10">
    <w:p w:rsidR="002062CE" w:rsidRPr="00F24FAF" w:rsidRDefault="002062CE">
      <w:pPr>
        <w:pStyle w:val="FootnoteText"/>
        <w:rPr>
          <w:rFonts w:ascii="Times New Roman" w:hAnsi="Times New Roman" w:cs="Times New Roman"/>
          <w:sz w:val="28"/>
          <w:szCs w:val="28"/>
        </w:rPr>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eastAsia="Times New Roman" w:hAnsi="Times New Roman" w:cs="Times New Roman"/>
          <w:i/>
          <w:color w:val="auto"/>
          <w:sz w:val="28"/>
          <w:szCs w:val="28"/>
        </w:rPr>
        <w:t>Estelle v. Williams</w:t>
      </w:r>
      <w:r w:rsidRPr="00F24FAF">
        <w:rPr>
          <w:rFonts w:ascii="Times New Roman" w:eastAsia="Times New Roman" w:hAnsi="Times New Roman" w:cs="Times New Roman"/>
          <w:color w:val="auto"/>
          <w:sz w:val="28"/>
          <w:szCs w:val="28"/>
        </w:rPr>
        <w:t>, 425 U.S. 501, 504, 96 S. Ct. 1691, 1693, (1976).  (</w:t>
      </w:r>
      <w:r w:rsidRPr="00F24FAF">
        <w:rPr>
          <w:rFonts w:ascii="Times New Roman" w:hAnsi="Times New Roman" w:cs="Times New Roman"/>
          <w:color w:val="252525"/>
          <w:sz w:val="28"/>
          <w:szCs w:val="28"/>
        </w:rPr>
        <w:t>“Similarly troubling is the fact that compelling the accused to stand trial in jail garb operates usually against only those who cannot post bail prior to trial. Persons who can secure release are not subjected to this condition.  To impose the condition on one category of defendants, over objection, would be repugnant to the concept of equal justice embodied in the Fourteenth Amendment.”)</w:t>
      </w:r>
    </w:p>
  </w:footnote>
  <w:footnote w:id="11">
    <w:p w:rsidR="002062CE" w:rsidRDefault="002062CE">
      <w:pPr>
        <w:pStyle w:val="FootnoteText"/>
      </w:pPr>
      <w:r w:rsidRPr="00F24FAF">
        <w:rPr>
          <w:rStyle w:val="FootnoteReference"/>
          <w:rFonts w:ascii="Times New Roman" w:hAnsi="Times New Roman" w:cs="Times New Roman"/>
          <w:sz w:val="28"/>
          <w:szCs w:val="28"/>
        </w:rPr>
        <w:footnoteRef/>
      </w:r>
      <w:r w:rsidRPr="00F24FAF">
        <w:rPr>
          <w:rFonts w:ascii="Times New Roman" w:hAnsi="Times New Roman" w:cs="Times New Roman"/>
          <w:sz w:val="28"/>
          <w:szCs w:val="28"/>
        </w:rPr>
        <w:t xml:space="preserve"> </w:t>
      </w:r>
      <w:r w:rsidRPr="00F24FAF">
        <w:rPr>
          <w:rFonts w:ascii="Times New Roman" w:hAnsi="Times New Roman" w:cs="Times New Roman"/>
          <w:i/>
          <w:sz w:val="28"/>
          <w:szCs w:val="28"/>
        </w:rPr>
        <w:t>Trebus v. Davis</w:t>
      </w:r>
      <w:r w:rsidRPr="00F24FAF">
        <w:rPr>
          <w:rFonts w:ascii="Times New Roman" w:hAnsi="Times New Roman" w:cs="Times New Roman"/>
          <w:sz w:val="28"/>
          <w:szCs w:val="28"/>
        </w:rPr>
        <w:t>, 189 Ariz. 621, 625, 944 P.2d 1235, 1239 (1997), ARS § 21-412, Arizona Rule of Criminal Procedure 12.6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2CE" w:rsidRDefault="002062CE">
    <w:pPr>
      <w:tabs>
        <w:tab w:val="center" w:pos="4680"/>
        <w:tab w:val="right" w:pos="936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A0708"/>
    <w:multiLevelType w:val="hybridMultilevel"/>
    <w:tmpl w:val="AB683958"/>
    <w:lvl w:ilvl="0" w:tplc="96D847B0">
      <w:start w:val="1"/>
      <w:numFmt w:val="upperRoman"/>
      <w:lvlText w:val="%1."/>
      <w:lvlJc w:val="left"/>
      <w:pPr>
        <w:ind w:left="1080" w:hanging="720"/>
      </w:pPr>
      <w:rPr>
        <w:rFonts w:ascii="Times New Roman" w:eastAsia="Times New Roman" w:hAnsi="Times New Roman" w:cs="Times New Roman" w:hint="default"/>
        <w:b/>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CC7A52"/>
    <w:multiLevelType w:val="multilevel"/>
    <w:tmpl w:val="C4602B3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B54AE1"/>
    <w:rsid w:val="000334F2"/>
    <w:rsid w:val="000A2E42"/>
    <w:rsid w:val="00110E81"/>
    <w:rsid w:val="001C71E8"/>
    <w:rsid w:val="002062CE"/>
    <w:rsid w:val="002A18A1"/>
    <w:rsid w:val="002A6836"/>
    <w:rsid w:val="003518F1"/>
    <w:rsid w:val="00365A68"/>
    <w:rsid w:val="003669C7"/>
    <w:rsid w:val="00382E4A"/>
    <w:rsid w:val="003B30B3"/>
    <w:rsid w:val="00487B5A"/>
    <w:rsid w:val="0057794C"/>
    <w:rsid w:val="005A6B0F"/>
    <w:rsid w:val="005D6106"/>
    <w:rsid w:val="00632BC0"/>
    <w:rsid w:val="00680FB7"/>
    <w:rsid w:val="00852DB7"/>
    <w:rsid w:val="008E20F9"/>
    <w:rsid w:val="009343CF"/>
    <w:rsid w:val="00991AF6"/>
    <w:rsid w:val="009B2E17"/>
    <w:rsid w:val="00A15CD9"/>
    <w:rsid w:val="00A87521"/>
    <w:rsid w:val="00B54AE1"/>
    <w:rsid w:val="00BA7F91"/>
    <w:rsid w:val="00BD0688"/>
    <w:rsid w:val="00D1146C"/>
    <w:rsid w:val="00D12182"/>
    <w:rsid w:val="00E063AF"/>
    <w:rsid w:val="00E55ADB"/>
    <w:rsid w:val="00E9165D"/>
    <w:rsid w:val="00EE7634"/>
    <w:rsid w:val="00F24FAF"/>
    <w:rsid w:val="00F253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color w:val="000000"/>
        <w:sz w:val="1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D0688"/>
  </w:style>
  <w:style w:type="paragraph" w:styleId="Heading1">
    <w:name w:val="heading 1"/>
    <w:basedOn w:val="Normal"/>
    <w:next w:val="Normal"/>
    <w:rsid w:val="00BD0688"/>
    <w:pPr>
      <w:keepNext/>
      <w:keepLines/>
      <w:spacing w:before="480" w:after="120"/>
      <w:contextualSpacing/>
      <w:outlineLvl w:val="0"/>
    </w:pPr>
    <w:rPr>
      <w:b/>
      <w:sz w:val="48"/>
    </w:rPr>
  </w:style>
  <w:style w:type="paragraph" w:styleId="Heading2">
    <w:name w:val="heading 2"/>
    <w:basedOn w:val="Normal"/>
    <w:next w:val="Normal"/>
    <w:rsid w:val="00BD0688"/>
    <w:pPr>
      <w:keepNext/>
      <w:keepLines/>
      <w:spacing w:before="360" w:after="80"/>
      <w:contextualSpacing/>
      <w:outlineLvl w:val="1"/>
    </w:pPr>
    <w:rPr>
      <w:b/>
      <w:sz w:val="36"/>
    </w:rPr>
  </w:style>
  <w:style w:type="paragraph" w:styleId="Heading3">
    <w:name w:val="heading 3"/>
    <w:basedOn w:val="Normal"/>
    <w:next w:val="Normal"/>
    <w:rsid w:val="00BD0688"/>
    <w:pPr>
      <w:keepNext/>
      <w:keepLines/>
      <w:spacing w:before="280" w:after="80"/>
      <w:contextualSpacing/>
      <w:outlineLvl w:val="2"/>
    </w:pPr>
    <w:rPr>
      <w:b/>
      <w:sz w:val="28"/>
    </w:rPr>
  </w:style>
  <w:style w:type="paragraph" w:styleId="Heading4">
    <w:name w:val="heading 4"/>
    <w:basedOn w:val="Normal"/>
    <w:next w:val="Normal"/>
    <w:rsid w:val="00BD0688"/>
    <w:pPr>
      <w:keepNext/>
      <w:keepLines/>
      <w:spacing w:before="240" w:after="40"/>
      <w:contextualSpacing/>
      <w:outlineLvl w:val="3"/>
    </w:pPr>
    <w:rPr>
      <w:b/>
      <w:sz w:val="24"/>
    </w:rPr>
  </w:style>
  <w:style w:type="paragraph" w:styleId="Heading5">
    <w:name w:val="heading 5"/>
    <w:basedOn w:val="Normal"/>
    <w:next w:val="Normal"/>
    <w:rsid w:val="00BD0688"/>
    <w:pPr>
      <w:keepNext/>
      <w:keepLines/>
      <w:spacing w:before="220" w:after="40"/>
      <w:contextualSpacing/>
      <w:outlineLvl w:val="4"/>
    </w:pPr>
    <w:rPr>
      <w:b/>
      <w:sz w:val="22"/>
    </w:rPr>
  </w:style>
  <w:style w:type="paragraph" w:styleId="Heading6">
    <w:name w:val="heading 6"/>
    <w:basedOn w:val="Normal"/>
    <w:next w:val="Normal"/>
    <w:rsid w:val="00BD0688"/>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D0688"/>
    <w:pPr>
      <w:keepNext/>
      <w:keepLines/>
      <w:spacing w:before="480" w:after="120"/>
      <w:contextualSpacing/>
    </w:pPr>
    <w:rPr>
      <w:b/>
      <w:sz w:val="72"/>
    </w:rPr>
  </w:style>
  <w:style w:type="paragraph" w:styleId="Subtitle">
    <w:name w:val="Subtitle"/>
    <w:basedOn w:val="Normal"/>
    <w:next w:val="Normal"/>
    <w:rsid w:val="00BD0688"/>
    <w:pPr>
      <w:keepNext/>
      <w:keepLines/>
      <w:spacing w:before="360" w:after="80"/>
      <w:contextualSpacing/>
    </w:pPr>
    <w:rPr>
      <w:rFonts w:ascii="Georgia" w:eastAsia="Georgia" w:hAnsi="Georgia" w:cs="Georgia"/>
      <w:i/>
      <w:color w:val="666666"/>
      <w:sz w:val="48"/>
    </w:rPr>
  </w:style>
  <w:style w:type="character" w:styleId="Hyperlink">
    <w:name w:val="Hyperlink"/>
    <w:basedOn w:val="DefaultParagraphFont"/>
    <w:uiPriority w:val="99"/>
    <w:unhideWhenUsed/>
    <w:rsid w:val="00EE7634"/>
    <w:rPr>
      <w:color w:val="0000FF" w:themeColor="hyperlink"/>
      <w:u w:val="single"/>
    </w:rPr>
  </w:style>
  <w:style w:type="paragraph" w:styleId="Header">
    <w:name w:val="header"/>
    <w:basedOn w:val="Normal"/>
    <w:link w:val="HeaderChar"/>
    <w:uiPriority w:val="99"/>
    <w:unhideWhenUsed/>
    <w:rsid w:val="00EE7634"/>
    <w:pPr>
      <w:tabs>
        <w:tab w:val="center" w:pos="4680"/>
        <w:tab w:val="right" w:pos="9360"/>
      </w:tabs>
    </w:pPr>
  </w:style>
  <w:style w:type="character" w:customStyle="1" w:styleId="HeaderChar">
    <w:name w:val="Header Char"/>
    <w:basedOn w:val="DefaultParagraphFont"/>
    <w:link w:val="Header"/>
    <w:uiPriority w:val="99"/>
    <w:rsid w:val="00EE7634"/>
  </w:style>
  <w:style w:type="paragraph" w:styleId="Footer">
    <w:name w:val="footer"/>
    <w:basedOn w:val="Normal"/>
    <w:link w:val="FooterChar"/>
    <w:uiPriority w:val="99"/>
    <w:unhideWhenUsed/>
    <w:rsid w:val="00EE7634"/>
    <w:pPr>
      <w:tabs>
        <w:tab w:val="center" w:pos="4680"/>
        <w:tab w:val="right" w:pos="9360"/>
      </w:tabs>
    </w:pPr>
  </w:style>
  <w:style w:type="character" w:customStyle="1" w:styleId="FooterChar">
    <w:name w:val="Footer Char"/>
    <w:basedOn w:val="DefaultParagraphFont"/>
    <w:link w:val="Footer"/>
    <w:uiPriority w:val="99"/>
    <w:rsid w:val="00EE7634"/>
  </w:style>
  <w:style w:type="paragraph" w:styleId="ListParagraph">
    <w:name w:val="List Paragraph"/>
    <w:basedOn w:val="Normal"/>
    <w:uiPriority w:val="34"/>
    <w:qFormat/>
    <w:rsid w:val="002A18A1"/>
    <w:pPr>
      <w:ind w:left="720"/>
      <w:contextualSpacing/>
    </w:pPr>
  </w:style>
  <w:style w:type="character" w:customStyle="1" w:styleId="costarpage2">
    <w:name w:val="co_starpage2"/>
    <w:basedOn w:val="DefaultParagraphFont"/>
    <w:rsid w:val="00991AF6"/>
  </w:style>
  <w:style w:type="character" w:styleId="Emphasis">
    <w:name w:val="Emphasis"/>
    <w:basedOn w:val="DefaultParagraphFont"/>
    <w:uiPriority w:val="20"/>
    <w:qFormat/>
    <w:rsid w:val="003669C7"/>
    <w:rPr>
      <w:i/>
      <w:iCs/>
    </w:rPr>
  </w:style>
  <w:style w:type="paragraph" w:styleId="FootnoteText">
    <w:name w:val="footnote text"/>
    <w:basedOn w:val="Normal"/>
    <w:link w:val="FootnoteTextChar"/>
    <w:uiPriority w:val="99"/>
    <w:unhideWhenUsed/>
    <w:rsid w:val="003B30B3"/>
    <w:rPr>
      <w:sz w:val="20"/>
    </w:rPr>
  </w:style>
  <w:style w:type="character" w:customStyle="1" w:styleId="FootnoteTextChar">
    <w:name w:val="Footnote Text Char"/>
    <w:basedOn w:val="DefaultParagraphFont"/>
    <w:link w:val="FootnoteText"/>
    <w:uiPriority w:val="99"/>
    <w:rsid w:val="003B30B3"/>
    <w:rPr>
      <w:sz w:val="20"/>
    </w:rPr>
  </w:style>
  <w:style w:type="character" w:styleId="FootnoteReference">
    <w:name w:val="footnote reference"/>
    <w:basedOn w:val="DefaultParagraphFont"/>
    <w:uiPriority w:val="99"/>
    <w:semiHidden/>
    <w:unhideWhenUsed/>
    <w:rsid w:val="003B30B3"/>
    <w:rPr>
      <w:vertAlign w:val="superscript"/>
    </w:rPr>
  </w:style>
  <w:style w:type="paragraph" w:styleId="BalloonText">
    <w:name w:val="Balloon Text"/>
    <w:basedOn w:val="Normal"/>
    <w:link w:val="BalloonTextChar"/>
    <w:uiPriority w:val="99"/>
    <w:semiHidden/>
    <w:unhideWhenUsed/>
    <w:rsid w:val="00BA7F91"/>
    <w:rPr>
      <w:rFonts w:ascii="Lucida Grande" w:hAnsi="Lucida Grande"/>
      <w:szCs w:val="18"/>
    </w:rPr>
  </w:style>
  <w:style w:type="character" w:customStyle="1" w:styleId="BalloonTextChar">
    <w:name w:val="Balloon Text Char"/>
    <w:basedOn w:val="DefaultParagraphFont"/>
    <w:link w:val="BalloonText"/>
    <w:uiPriority w:val="99"/>
    <w:semiHidden/>
    <w:rsid w:val="00BA7F91"/>
    <w:rPr>
      <w:rFonts w:ascii="Lucida Grande" w:hAnsi="Lucida Grande"/>
      <w:szCs w:val="18"/>
    </w:rPr>
  </w:style>
  <w:style w:type="character" w:styleId="CommentReference">
    <w:name w:val="annotation reference"/>
    <w:basedOn w:val="DefaultParagraphFont"/>
    <w:uiPriority w:val="99"/>
    <w:semiHidden/>
    <w:unhideWhenUsed/>
    <w:rsid w:val="00632BC0"/>
    <w:rPr>
      <w:sz w:val="18"/>
      <w:szCs w:val="18"/>
    </w:rPr>
  </w:style>
  <w:style w:type="paragraph" w:styleId="CommentText">
    <w:name w:val="annotation text"/>
    <w:basedOn w:val="Normal"/>
    <w:link w:val="CommentTextChar"/>
    <w:uiPriority w:val="99"/>
    <w:semiHidden/>
    <w:unhideWhenUsed/>
    <w:rsid w:val="00632BC0"/>
    <w:rPr>
      <w:sz w:val="24"/>
      <w:szCs w:val="24"/>
    </w:rPr>
  </w:style>
  <w:style w:type="character" w:customStyle="1" w:styleId="CommentTextChar">
    <w:name w:val="Comment Text Char"/>
    <w:basedOn w:val="DefaultParagraphFont"/>
    <w:link w:val="CommentText"/>
    <w:uiPriority w:val="99"/>
    <w:semiHidden/>
    <w:rsid w:val="00632BC0"/>
    <w:rPr>
      <w:sz w:val="24"/>
      <w:szCs w:val="24"/>
    </w:rPr>
  </w:style>
  <w:style w:type="paragraph" w:styleId="CommentSubject">
    <w:name w:val="annotation subject"/>
    <w:basedOn w:val="CommentText"/>
    <w:next w:val="CommentText"/>
    <w:link w:val="CommentSubjectChar"/>
    <w:uiPriority w:val="99"/>
    <w:semiHidden/>
    <w:unhideWhenUsed/>
    <w:rsid w:val="00632BC0"/>
    <w:rPr>
      <w:b/>
      <w:bCs/>
      <w:sz w:val="20"/>
      <w:szCs w:val="20"/>
    </w:rPr>
  </w:style>
  <w:style w:type="character" w:customStyle="1" w:styleId="CommentSubjectChar">
    <w:name w:val="Comment Subject Char"/>
    <w:basedOn w:val="CommentTextChar"/>
    <w:link w:val="CommentSubject"/>
    <w:uiPriority w:val="99"/>
    <w:semiHidden/>
    <w:rsid w:val="00632BC0"/>
    <w:rPr>
      <w:b/>
      <w:bCs/>
      <w:sz w:val="20"/>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color w:val="000000"/>
        <w:sz w:val="1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sz w:val="24"/>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character" w:styleId="Hyperlink">
    <w:name w:val="Hyperlink"/>
    <w:basedOn w:val="DefaultParagraphFont"/>
    <w:uiPriority w:val="99"/>
    <w:unhideWhenUsed/>
    <w:rsid w:val="00EE7634"/>
    <w:rPr>
      <w:color w:val="0000FF" w:themeColor="hyperlink"/>
      <w:u w:val="single"/>
    </w:rPr>
  </w:style>
  <w:style w:type="paragraph" w:styleId="Header">
    <w:name w:val="header"/>
    <w:basedOn w:val="Normal"/>
    <w:link w:val="HeaderChar"/>
    <w:uiPriority w:val="99"/>
    <w:unhideWhenUsed/>
    <w:rsid w:val="00EE7634"/>
    <w:pPr>
      <w:tabs>
        <w:tab w:val="center" w:pos="4680"/>
        <w:tab w:val="right" w:pos="9360"/>
      </w:tabs>
    </w:pPr>
  </w:style>
  <w:style w:type="character" w:customStyle="1" w:styleId="HeaderChar">
    <w:name w:val="Header Char"/>
    <w:basedOn w:val="DefaultParagraphFont"/>
    <w:link w:val="Header"/>
    <w:uiPriority w:val="99"/>
    <w:rsid w:val="00EE7634"/>
  </w:style>
  <w:style w:type="paragraph" w:styleId="Footer">
    <w:name w:val="footer"/>
    <w:basedOn w:val="Normal"/>
    <w:link w:val="FooterChar"/>
    <w:uiPriority w:val="99"/>
    <w:unhideWhenUsed/>
    <w:rsid w:val="00EE7634"/>
    <w:pPr>
      <w:tabs>
        <w:tab w:val="center" w:pos="4680"/>
        <w:tab w:val="right" w:pos="9360"/>
      </w:tabs>
    </w:pPr>
  </w:style>
  <w:style w:type="character" w:customStyle="1" w:styleId="FooterChar">
    <w:name w:val="Footer Char"/>
    <w:basedOn w:val="DefaultParagraphFont"/>
    <w:link w:val="Footer"/>
    <w:uiPriority w:val="99"/>
    <w:rsid w:val="00EE7634"/>
  </w:style>
  <w:style w:type="paragraph" w:styleId="ListParagraph">
    <w:name w:val="List Paragraph"/>
    <w:basedOn w:val="Normal"/>
    <w:uiPriority w:val="34"/>
    <w:qFormat/>
    <w:rsid w:val="002A18A1"/>
    <w:pPr>
      <w:ind w:left="720"/>
      <w:contextualSpacing/>
    </w:pPr>
  </w:style>
  <w:style w:type="character" w:customStyle="1" w:styleId="costarpage2">
    <w:name w:val="co_starpage2"/>
    <w:basedOn w:val="DefaultParagraphFont"/>
    <w:rsid w:val="00991AF6"/>
  </w:style>
  <w:style w:type="character" w:styleId="Emphasis">
    <w:name w:val="Emphasis"/>
    <w:basedOn w:val="DefaultParagraphFont"/>
    <w:uiPriority w:val="20"/>
    <w:qFormat/>
    <w:rsid w:val="003669C7"/>
    <w:rPr>
      <w:i/>
      <w:iCs/>
    </w:rPr>
  </w:style>
  <w:style w:type="paragraph" w:styleId="FootnoteText">
    <w:name w:val="footnote text"/>
    <w:basedOn w:val="Normal"/>
    <w:link w:val="FootnoteTextChar"/>
    <w:uiPriority w:val="99"/>
    <w:unhideWhenUsed/>
    <w:rsid w:val="003B30B3"/>
    <w:rPr>
      <w:sz w:val="20"/>
    </w:rPr>
  </w:style>
  <w:style w:type="character" w:customStyle="1" w:styleId="FootnoteTextChar">
    <w:name w:val="Footnote Text Char"/>
    <w:basedOn w:val="DefaultParagraphFont"/>
    <w:link w:val="FootnoteText"/>
    <w:uiPriority w:val="99"/>
    <w:rsid w:val="003B30B3"/>
    <w:rPr>
      <w:sz w:val="20"/>
    </w:rPr>
  </w:style>
  <w:style w:type="character" w:styleId="FootnoteReference">
    <w:name w:val="footnote reference"/>
    <w:basedOn w:val="DefaultParagraphFont"/>
    <w:uiPriority w:val="99"/>
    <w:semiHidden/>
    <w:unhideWhenUsed/>
    <w:rsid w:val="003B30B3"/>
    <w:rPr>
      <w:vertAlign w:val="superscript"/>
    </w:rPr>
  </w:style>
  <w:style w:type="paragraph" w:styleId="BalloonText">
    <w:name w:val="Balloon Text"/>
    <w:basedOn w:val="Normal"/>
    <w:link w:val="BalloonTextChar"/>
    <w:uiPriority w:val="99"/>
    <w:semiHidden/>
    <w:unhideWhenUsed/>
    <w:rsid w:val="00BA7F91"/>
    <w:rPr>
      <w:rFonts w:ascii="Lucida Grande" w:hAnsi="Lucida Grande"/>
      <w:szCs w:val="18"/>
    </w:rPr>
  </w:style>
  <w:style w:type="character" w:customStyle="1" w:styleId="BalloonTextChar">
    <w:name w:val="Balloon Text Char"/>
    <w:basedOn w:val="DefaultParagraphFont"/>
    <w:link w:val="BalloonText"/>
    <w:uiPriority w:val="99"/>
    <w:semiHidden/>
    <w:rsid w:val="00BA7F91"/>
    <w:rPr>
      <w:rFonts w:ascii="Lucida Grande" w:hAnsi="Lucida Grande"/>
      <w:szCs w:val="18"/>
    </w:rPr>
  </w:style>
  <w:style w:type="character" w:styleId="CommentReference">
    <w:name w:val="annotation reference"/>
    <w:basedOn w:val="DefaultParagraphFont"/>
    <w:uiPriority w:val="99"/>
    <w:semiHidden/>
    <w:unhideWhenUsed/>
    <w:rsid w:val="00632BC0"/>
    <w:rPr>
      <w:sz w:val="18"/>
      <w:szCs w:val="18"/>
    </w:rPr>
  </w:style>
  <w:style w:type="paragraph" w:styleId="CommentText">
    <w:name w:val="annotation text"/>
    <w:basedOn w:val="Normal"/>
    <w:link w:val="CommentTextChar"/>
    <w:uiPriority w:val="99"/>
    <w:semiHidden/>
    <w:unhideWhenUsed/>
    <w:rsid w:val="00632BC0"/>
    <w:rPr>
      <w:sz w:val="24"/>
      <w:szCs w:val="24"/>
    </w:rPr>
  </w:style>
  <w:style w:type="character" w:customStyle="1" w:styleId="CommentTextChar">
    <w:name w:val="Comment Text Char"/>
    <w:basedOn w:val="DefaultParagraphFont"/>
    <w:link w:val="CommentText"/>
    <w:uiPriority w:val="99"/>
    <w:semiHidden/>
    <w:rsid w:val="00632BC0"/>
    <w:rPr>
      <w:sz w:val="24"/>
      <w:szCs w:val="24"/>
    </w:rPr>
  </w:style>
  <w:style w:type="paragraph" w:styleId="CommentSubject">
    <w:name w:val="annotation subject"/>
    <w:basedOn w:val="CommentText"/>
    <w:next w:val="CommentText"/>
    <w:link w:val="CommentSubjectChar"/>
    <w:uiPriority w:val="99"/>
    <w:semiHidden/>
    <w:unhideWhenUsed/>
    <w:rsid w:val="00632BC0"/>
    <w:rPr>
      <w:b/>
      <w:bCs/>
      <w:sz w:val="20"/>
      <w:szCs w:val="20"/>
    </w:rPr>
  </w:style>
  <w:style w:type="character" w:customStyle="1" w:styleId="CommentSubjectChar">
    <w:name w:val="Comment Subject Char"/>
    <w:basedOn w:val="CommentTextChar"/>
    <w:link w:val="CommentSubject"/>
    <w:uiPriority w:val="99"/>
    <w:semiHidden/>
    <w:rsid w:val="00632BC0"/>
    <w:rPr>
      <w:b/>
      <w:bCs/>
      <w:sz w:val="20"/>
      <w:szCs w:val="24"/>
    </w:rPr>
  </w:style>
</w:styles>
</file>

<file path=word/webSettings.xml><?xml version="1.0" encoding="utf-8"?>
<w:webSettings xmlns:r="http://schemas.openxmlformats.org/officeDocument/2006/relationships" xmlns:w="http://schemas.openxmlformats.org/wordprocessingml/2006/main">
  <w:divs>
    <w:div w:id="655645617">
      <w:bodyDiv w:val="1"/>
      <w:marLeft w:val="0"/>
      <w:marRight w:val="0"/>
      <w:marTop w:val="0"/>
      <w:marBottom w:val="0"/>
      <w:divBdr>
        <w:top w:val="none" w:sz="0" w:space="0" w:color="auto"/>
        <w:left w:val="none" w:sz="0" w:space="0" w:color="auto"/>
        <w:bottom w:val="none" w:sz="0" w:space="0" w:color="auto"/>
        <w:right w:val="none" w:sz="0" w:space="0" w:color="auto"/>
      </w:divBdr>
      <w:divsChild>
        <w:div w:id="739863704">
          <w:marLeft w:val="0"/>
          <w:marRight w:val="0"/>
          <w:marTop w:val="0"/>
          <w:marBottom w:val="0"/>
          <w:divBdr>
            <w:top w:val="none" w:sz="0" w:space="0" w:color="auto"/>
            <w:left w:val="none" w:sz="0" w:space="0" w:color="auto"/>
            <w:bottom w:val="none" w:sz="0" w:space="0" w:color="auto"/>
            <w:right w:val="none" w:sz="0" w:space="0" w:color="auto"/>
          </w:divBdr>
          <w:divsChild>
            <w:div w:id="32355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42172">
      <w:bodyDiv w:val="1"/>
      <w:marLeft w:val="0"/>
      <w:marRight w:val="0"/>
      <w:marTop w:val="0"/>
      <w:marBottom w:val="0"/>
      <w:divBdr>
        <w:top w:val="none" w:sz="0" w:space="0" w:color="auto"/>
        <w:left w:val="none" w:sz="0" w:space="0" w:color="auto"/>
        <w:bottom w:val="none" w:sz="0" w:space="0" w:color="auto"/>
        <w:right w:val="none" w:sz="0" w:space="0" w:color="auto"/>
      </w:divBdr>
      <w:divsChild>
        <w:div w:id="1105881640">
          <w:marLeft w:val="0"/>
          <w:marRight w:val="0"/>
          <w:marTop w:val="0"/>
          <w:marBottom w:val="0"/>
          <w:divBdr>
            <w:top w:val="none" w:sz="0" w:space="0" w:color="auto"/>
            <w:left w:val="none" w:sz="0" w:space="0" w:color="auto"/>
            <w:bottom w:val="none" w:sz="0" w:space="0" w:color="auto"/>
            <w:right w:val="none" w:sz="0" w:space="0" w:color="auto"/>
          </w:divBdr>
          <w:divsChild>
            <w:div w:id="41474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76202">
      <w:bodyDiv w:val="1"/>
      <w:marLeft w:val="0"/>
      <w:marRight w:val="0"/>
      <w:marTop w:val="0"/>
      <w:marBottom w:val="0"/>
      <w:divBdr>
        <w:top w:val="none" w:sz="0" w:space="0" w:color="auto"/>
        <w:left w:val="none" w:sz="0" w:space="0" w:color="auto"/>
        <w:bottom w:val="none" w:sz="0" w:space="0" w:color="auto"/>
        <w:right w:val="none" w:sz="0" w:space="0" w:color="auto"/>
      </w:divBdr>
      <w:divsChild>
        <w:div w:id="892548205">
          <w:marLeft w:val="0"/>
          <w:marRight w:val="0"/>
          <w:marTop w:val="0"/>
          <w:marBottom w:val="0"/>
          <w:divBdr>
            <w:top w:val="none" w:sz="0" w:space="0" w:color="auto"/>
            <w:left w:val="none" w:sz="0" w:space="0" w:color="auto"/>
            <w:bottom w:val="none" w:sz="0" w:space="0" w:color="auto"/>
            <w:right w:val="none" w:sz="0" w:space="0" w:color="auto"/>
          </w:divBdr>
          <w:divsChild>
            <w:div w:id="195443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85059">
      <w:bodyDiv w:val="1"/>
      <w:marLeft w:val="0"/>
      <w:marRight w:val="0"/>
      <w:marTop w:val="0"/>
      <w:marBottom w:val="0"/>
      <w:divBdr>
        <w:top w:val="none" w:sz="0" w:space="0" w:color="auto"/>
        <w:left w:val="none" w:sz="0" w:space="0" w:color="auto"/>
        <w:bottom w:val="none" w:sz="0" w:space="0" w:color="auto"/>
        <w:right w:val="none" w:sz="0" w:space="0" w:color="auto"/>
      </w:divBdr>
      <w:divsChild>
        <w:div w:id="1434398138">
          <w:marLeft w:val="0"/>
          <w:marRight w:val="0"/>
          <w:marTop w:val="0"/>
          <w:marBottom w:val="0"/>
          <w:divBdr>
            <w:top w:val="none" w:sz="0" w:space="0" w:color="auto"/>
            <w:left w:val="none" w:sz="0" w:space="0" w:color="auto"/>
            <w:bottom w:val="none" w:sz="0" w:space="0" w:color="auto"/>
            <w:right w:val="none" w:sz="0" w:space="0" w:color="auto"/>
          </w:divBdr>
          <w:divsChild>
            <w:div w:id="55767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1800">
      <w:bodyDiv w:val="1"/>
      <w:marLeft w:val="0"/>
      <w:marRight w:val="0"/>
      <w:marTop w:val="0"/>
      <w:marBottom w:val="0"/>
      <w:divBdr>
        <w:top w:val="none" w:sz="0" w:space="0" w:color="auto"/>
        <w:left w:val="none" w:sz="0" w:space="0" w:color="auto"/>
        <w:bottom w:val="none" w:sz="0" w:space="0" w:color="auto"/>
        <w:right w:val="none" w:sz="0" w:space="0" w:color="auto"/>
      </w:divBdr>
      <w:divsChild>
        <w:div w:id="1920360880">
          <w:marLeft w:val="0"/>
          <w:marRight w:val="0"/>
          <w:marTop w:val="0"/>
          <w:marBottom w:val="0"/>
          <w:divBdr>
            <w:top w:val="none" w:sz="0" w:space="0" w:color="auto"/>
            <w:left w:val="none" w:sz="0" w:space="0" w:color="auto"/>
            <w:bottom w:val="none" w:sz="0" w:space="0" w:color="auto"/>
            <w:right w:val="none" w:sz="0" w:space="0" w:color="auto"/>
          </w:divBdr>
          <w:divsChild>
            <w:div w:id="73678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12714">
      <w:bodyDiv w:val="1"/>
      <w:marLeft w:val="0"/>
      <w:marRight w:val="0"/>
      <w:marTop w:val="0"/>
      <w:marBottom w:val="0"/>
      <w:divBdr>
        <w:top w:val="none" w:sz="0" w:space="0" w:color="auto"/>
        <w:left w:val="none" w:sz="0" w:space="0" w:color="auto"/>
        <w:bottom w:val="none" w:sz="0" w:space="0" w:color="auto"/>
        <w:right w:val="none" w:sz="0" w:space="0" w:color="auto"/>
      </w:divBdr>
      <w:divsChild>
        <w:div w:id="899024826">
          <w:marLeft w:val="0"/>
          <w:marRight w:val="0"/>
          <w:marTop w:val="0"/>
          <w:marBottom w:val="0"/>
          <w:divBdr>
            <w:top w:val="none" w:sz="0" w:space="0" w:color="auto"/>
            <w:left w:val="none" w:sz="0" w:space="0" w:color="auto"/>
            <w:bottom w:val="none" w:sz="0" w:space="0" w:color="auto"/>
            <w:right w:val="none" w:sz="0" w:space="0" w:color="auto"/>
          </w:divBdr>
          <w:divsChild>
            <w:div w:id="63760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97922">
      <w:bodyDiv w:val="1"/>
      <w:marLeft w:val="0"/>
      <w:marRight w:val="0"/>
      <w:marTop w:val="0"/>
      <w:marBottom w:val="0"/>
      <w:divBdr>
        <w:top w:val="none" w:sz="0" w:space="0" w:color="auto"/>
        <w:left w:val="none" w:sz="0" w:space="0" w:color="auto"/>
        <w:bottom w:val="none" w:sz="0" w:space="0" w:color="auto"/>
        <w:right w:val="none" w:sz="0" w:space="0" w:color="auto"/>
      </w:divBdr>
      <w:divsChild>
        <w:div w:id="177429743">
          <w:marLeft w:val="0"/>
          <w:marRight w:val="0"/>
          <w:marTop w:val="0"/>
          <w:marBottom w:val="0"/>
          <w:divBdr>
            <w:top w:val="none" w:sz="0" w:space="0" w:color="auto"/>
            <w:left w:val="none" w:sz="0" w:space="0" w:color="auto"/>
            <w:bottom w:val="none" w:sz="0" w:space="0" w:color="auto"/>
            <w:right w:val="none" w:sz="0" w:space="0" w:color="auto"/>
          </w:divBdr>
          <w:divsChild>
            <w:div w:id="88815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05447">
      <w:bodyDiv w:val="1"/>
      <w:marLeft w:val="0"/>
      <w:marRight w:val="0"/>
      <w:marTop w:val="0"/>
      <w:marBottom w:val="0"/>
      <w:divBdr>
        <w:top w:val="none" w:sz="0" w:space="0" w:color="auto"/>
        <w:left w:val="none" w:sz="0" w:space="0" w:color="auto"/>
        <w:bottom w:val="none" w:sz="0" w:space="0" w:color="auto"/>
        <w:right w:val="none" w:sz="0" w:space="0" w:color="auto"/>
      </w:divBdr>
      <w:divsChild>
        <w:div w:id="1228371422">
          <w:marLeft w:val="0"/>
          <w:marRight w:val="0"/>
          <w:marTop w:val="0"/>
          <w:marBottom w:val="0"/>
          <w:divBdr>
            <w:top w:val="none" w:sz="0" w:space="0" w:color="auto"/>
            <w:left w:val="none" w:sz="0" w:space="0" w:color="auto"/>
            <w:bottom w:val="none" w:sz="0" w:space="0" w:color="auto"/>
            <w:right w:val="none" w:sz="0" w:space="0" w:color="auto"/>
          </w:divBdr>
          <w:divsChild>
            <w:div w:id="168782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499">
      <w:bodyDiv w:val="1"/>
      <w:marLeft w:val="0"/>
      <w:marRight w:val="0"/>
      <w:marTop w:val="0"/>
      <w:marBottom w:val="0"/>
      <w:divBdr>
        <w:top w:val="none" w:sz="0" w:space="0" w:color="auto"/>
        <w:left w:val="none" w:sz="0" w:space="0" w:color="auto"/>
        <w:bottom w:val="none" w:sz="0" w:space="0" w:color="auto"/>
        <w:right w:val="none" w:sz="0" w:space="0" w:color="auto"/>
      </w:divBdr>
      <w:divsChild>
        <w:div w:id="225534155">
          <w:marLeft w:val="0"/>
          <w:marRight w:val="0"/>
          <w:marTop w:val="0"/>
          <w:marBottom w:val="0"/>
          <w:divBdr>
            <w:top w:val="none" w:sz="0" w:space="0" w:color="auto"/>
            <w:left w:val="none" w:sz="0" w:space="0" w:color="auto"/>
            <w:bottom w:val="none" w:sz="0" w:space="0" w:color="auto"/>
            <w:right w:val="none" w:sz="0" w:space="0" w:color="auto"/>
          </w:divBdr>
          <w:divsChild>
            <w:div w:id="133360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lmana@mail.maricopa.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y.Athena@pima.go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oy.Athena@pima.gov" TargetMode="External"/><Relationship Id="rId4" Type="http://schemas.openxmlformats.org/officeDocument/2006/relationships/settings" Target="settings.xml"/><Relationship Id="rId9" Type="http://schemas.openxmlformats.org/officeDocument/2006/relationships/hyperlink" Target="mailto:Joy.Athena@pima.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335535-3E45-4F93-9F0B-DBE9E82EA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1277</Words>
  <Characters>7285</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Rule 32.12 Draft Comment v2 (AWS).docx</vt:lpstr>
    </vt:vector>
  </TitlesOfParts>
  <Company>Maricopa County</Company>
  <LinksUpToDate>false</LinksUpToDate>
  <CharactersWithSpaces>8545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 32.12 Draft Comment v2 (AWS).docx</dc:title>
  <dc:creator>Amy Kalman - PDX</dc:creator>
  <cp:lastModifiedBy>Arizona Supreme Court</cp:lastModifiedBy>
  <cp:revision>2</cp:revision>
  <dcterms:created xsi:type="dcterms:W3CDTF">2014-05-21T17:21:00Z</dcterms:created>
  <dcterms:modified xsi:type="dcterms:W3CDTF">2014-05-21T17:21:00Z</dcterms:modified>
</cp:coreProperties>
</file>