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246E" w:rsidRPr="00DD5C52" w:rsidRDefault="0005246E" w:rsidP="0005246E">
      <w:pPr>
        <w:spacing w:line="240" w:lineRule="auto"/>
        <w:rPr>
          <w:rFonts w:ascii="Times New Roman" w:hAnsi="Times New Roman"/>
          <w:b/>
          <w:smallCaps/>
          <w:sz w:val="24"/>
          <w:szCs w:val="24"/>
        </w:rPr>
      </w:pPr>
      <w:r w:rsidRPr="00DD5C52">
        <w:rPr>
          <w:rFonts w:ascii="Times New Roman" w:hAnsi="Times New Roman"/>
          <w:b/>
          <w:smallCaps/>
          <w:sz w:val="24"/>
          <w:szCs w:val="24"/>
        </w:rPr>
        <w:t>Warno</w:t>
      </w:r>
      <w:r w:rsidR="00C36099" w:rsidRPr="00DD5C52">
        <w:rPr>
          <w:rFonts w:ascii="Times New Roman" w:hAnsi="Times New Roman"/>
          <w:b/>
          <w:smallCaps/>
          <w:sz w:val="24"/>
          <w:szCs w:val="24"/>
        </w:rPr>
        <w:t>ck, MacKinlay &amp; Carman, PLLC</w:t>
      </w:r>
    </w:p>
    <w:p w:rsidR="0005246E" w:rsidRPr="00DD5C52" w:rsidRDefault="00AA0936" w:rsidP="0005246E">
      <w:pPr>
        <w:spacing w:line="240" w:lineRule="auto"/>
        <w:rPr>
          <w:rFonts w:ascii="Times New Roman" w:hAnsi="Times New Roman"/>
          <w:sz w:val="24"/>
          <w:szCs w:val="24"/>
        </w:rPr>
      </w:pPr>
      <w:r w:rsidRPr="00DD5C52">
        <w:rPr>
          <w:rFonts w:ascii="Times New Roman" w:hAnsi="Times New Roman"/>
          <w:sz w:val="24"/>
          <w:szCs w:val="24"/>
        </w:rPr>
        <w:t>246 South Cortez Street</w:t>
      </w:r>
    </w:p>
    <w:p w:rsidR="0005246E" w:rsidRPr="00DD5C52" w:rsidRDefault="0005246E" w:rsidP="0005246E">
      <w:pPr>
        <w:spacing w:line="240" w:lineRule="auto"/>
        <w:rPr>
          <w:rFonts w:ascii="Times New Roman" w:hAnsi="Times New Roman"/>
          <w:sz w:val="24"/>
          <w:szCs w:val="24"/>
        </w:rPr>
      </w:pPr>
      <w:r w:rsidRPr="00DD5C52">
        <w:rPr>
          <w:rFonts w:ascii="Times New Roman" w:hAnsi="Times New Roman"/>
          <w:sz w:val="24"/>
          <w:szCs w:val="24"/>
        </w:rPr>
        <w:t>Prescott, Arizona 86303</w:t>
      </w:r>
    </w:p>
    <w:p w:rsidR="0005246E" w:rsidRPr="00DD5C52" w:rsidRDefault="004601C2" w:rsidP="0005246E">
      <w:pPr>
        <w:spacing w:line="240" w:lineRule="auto"/>
        <w:rPr>
          <w:rFonts w:ascii="Times New Roman" w:hAnsi="Times New Roman"/>
          <w:sz w:val="24"/>
          <w:szCs w:val="24"/>
        </w:rPr>
      </w:pPr>
      <w:r w:rsidRPr="00DD5C52">
        <w:rPr>
          <w:rFonts w:ascii="Times New Roman" w:hAnsi="Times New Roman"/>
          <w:sz w:val="24"/>
          <w:szCs w:val="24"/>
        </w:rPr>
        <w:t xml:space="preserve">Telephone: </w:t>
      </w:r>
      <w:r w:rsidRPr="00DD5C52">
        <w:rPr>
          <w:rFonts w:ascii="Times New Roman" w:hAnsi="Times New Roman"/>
          <w:sz w:val="24"/>
          <w:szCs w:val="24"/>
        </w:rPr>
        <w:tab/>
        <w:t>928.445.</w:t>
      </w:r>
      <w:r w:rsidR="0005246E" w:rsidRPr="00DD5C52">
        <w:rPr>
          <w:rFonts w:ascii="Times New Roman" w:hAnsi="Times New Roman"/>
          <w:sz w:val="24"/>
          <w:szCs w:val="24"/>
        </w:rPr>
        <w:t>8056</w:t>
      </w:r>
    </w:p>
    <w:p w:rsidR="0005246E" w:rsidRPr="00DD5C52" w:rsidRDefault="0005246E" w:rsidP="0005246E">
      <w:pPr>
        <w:spacing w:line="240" w:lineRule="auto"/>
        <w:rPr>
          <w:rFonts w:ascii="Times New Roman" w:hAnsi="Times New Roman"/>
          <w:sz w:val="24"/>
          <w:szCs w:val="24"/>
        </w:rPr>
      </w:pPr>
      <w:r w:rsidRPr="00DD5C52">
        <w:rPr>
          <w:rFonts w:ascii="Times New Roman" w:hAnsi="Times New Roman"/>
          <w:sz w:val="24"/>
          <w:szCs w:val="24"/>
        </w:rPr>
        <w:t xml:space="preserve">Facsimile:   </w:t>
      </w:r>
      <w:r w:rsidR="004601C2" w:rsidRPr="00DD5C52">
        <w:rPr>
          <w:rFonts w:ascii="Times New Roman" w:hAnsi="Times New Roman"/>
          <w:sz w:val="24"/>
          <w:szCs w:val="24"/>
        </w:rPr>
        <w:tab/>
      </w:r>
      <w:r w:rsidRPr="00DD5C52">
        <w:rPr>
          <w:rFonts w:ascii="Times New Roman" w:hAnsi="Times New Roman"/>
          <w:sz w:val="24"/>
          <w:szCs w:val="24"/>
        </w:rPr>
        <w:t>928</w:t>
      </w:r>
      <w:r w:rsidR="004601C2" w:rsidRPr="00DD5C52">
        <w:rPr>
          <w:rFonts w:ascii="Times New Roman" w:hAnsi="Times New Roman"/>
          <w:sz w:val="24"/>
          <w:szCs w:val="24"/>
        </w:rPr>
        <w:t>.</w:t>
      </w:r>
      <w:r w:rsidRPr="00DD5C52">
        <w:rPr>
          <w:rFonts w:ascii="Times New Roman" w:hAnsi="Times New Roman"/>
          <w:sz w:val="24"/>
          <w:szCs w:val="24"/>
        </w:rPr>
        <w:t>445</w:t>
      </w:r>
      <w:r w:rsidR="004601C2" w:rsidRPr="00DD5C52">
        <w:rPr>
          <w:rFonts w:ascii="Times New Roman" w:hAnsi="Times New Roman"/>
          <w:sz w:val="24"/>
          <w:szCs w:val="24"/>
        </w:rPr>
        <w:t>.</w:t>
      </w:r>
      <w:r w:rsidRPr="00DD5C52">
        <w:rPr>
          <w:rFonts w:ascii="Times New Roman" w:hAnsi="Times New Roman"/>
          <w:sz w:val="24"/>
          <w:szCs w:val="24"/>
        </w:rPr>
        <w:t>8046</w:t>
      </w:r>
    </w:p>
    <w:p w:rsidR="0005246E" w:rsidRPr="00DD5C52" w:rsidRDefault="0005246E" w:rsidP="0005246E">
      <w:pPr>
        <w:spacing w:line="240" w:lineRule="auto"/>
        <w:rPr>
          <w:rFonts w:ascii="Times New Roman" w:hAnsi="Times New Roman"/>
          <w:sz w:val="24"/>
          <w:szCs w:val="24"/>
        </w:rPr>
      </w:pPr>
      <w:r w:rsidRPr="00DD5C52">
        <w:rPr>
          <w:rFonts w:ascii="Times New Roman" w:hAnsi="Times New Roman"/>
          <w:sz w:val="24"/>
          <w:szCs w:val="24"/>
        </w:rPr>
        <w:t xml:space="preserve">Email: </w:t>
      </w:r>
      <w:r w:rsidR="00096695" w:rsidRPr="00DD5C52">
        <w:rPr>
          <w:rFonts w:ascii="Times New Roman" w:hAnsi="Times New Roman"/>
          <w:sz w:val="24"/>
          <w:szCs w:val="24"/>
        </w:rPr>
        <w:t xml:space="preserve"> </w:t>
      </w:r>
      <w:r w:rsidR="00550E93" w:rsidRPr="00DD5C52">
        <w:rPr>
          <w:rFonts w:ascii="Times New Roman" w:hAnsi="Times New Roman"/>
          <w:sz w:val="24"/>
          <w:szCs w:val="24"/>
        </w:rPr>
        <w:t>bwarnock</w:t>
      </w:r>
      <w:r w:rsidRPr="00DD5C52">
        <w:rPr>
          <w:rFonts w:ascii="Times New Roman" w:hAnsi="Times New Roman"/>
          <w:sz w:val="24"/>
          <w:szCs w:val="24"/>
        </w:rPr>
        <w:t>@lawwmc.com</w:t>
      </w:r>
    </w:p>
    <w:p w:rsidR="0005246E" w:rsidRPr="00DD5C52" w:rsidRDefault="00550E93" w:rsidP="00DD5C52">
      <w:pPr>
        <w:spacing w:line="240" w:lineRule="auto"/>
        <w:rPr>
          <w:rFonts w:ascii="Times New Roman" w:hAnsi="Times New Roman"/>
          <w:b/>
          <w:sz w:val="24"/>
          <w:szCs w:val="24"/>
        </w:rPr>
      </w:pPr>
      <w:r w:rsidRPr="00DD5C52">
        <w:rPr>
          <w:rFonts w:ascii="Times New Roman" w:hAnsi="Times New Roman"/>
          <w:sz w:val="24"/>
          <w:szCs w:val="24"/>
        </w:rPr>
        <w:t>Brian R. Warnock</w:t>
      </w:r>
      <w:r w:rsidR="002C0647" w:rsidRPr="00DD5C52">
        <w:rPr>
          <w:rFonts w:ascii="Times New Roman" w:hAnsi="Times New Roman"/>
          <w:sz w:val="24"/>
          <w:szCs w:val="24"/>
        </w:rPr>
        <w:t xml:space="preserve">, State </w:t>
      </w:r>
      <w:r w:rsidR="0005246E" w:rsidRPr="00DD5C52">
        <w:rPr>
          <w:rFonts w:ascii="Times New Roman" w:hAnsi="Times New Roman"/>
          <w:sz w:val="24"/>
          <w:szCs w:val="24"/>
        </w:rPr>
        <w:t xml:space="preserve">Bar No. </w:t>
      </w:r>
      <w:r w:rsidR="00844786" w:rsidRPr="00DD5C52">
        <w:rPr>
          <w:rFonts w:ascii="Times New Roman" w:hAnsi="Times New Roman"/>
          <w:sz w:val="24"/>
          <w:szCs w:val="24"/>
        </w:rPr>
        <w:t>012400</w:t>
      </w:r>
      <w:r w:rsidR="0089702B" w:rsidRPr="00DD5C52">
        <w:rPr>
          <w:rFonts w:ascii="Times New Roman" w:hAnsi="Times New Roman"/>
          <w:sz w:val="24"/>
          <w:szCs w:val="24"/>
        </w:rPr>
        <w:br/>
      </w:r>
    </w:p>
    <w:p w:rsidR="00DD5C52" w:rsidRPr="00DD5C52" w:rsidRDefault="00DD5C52" w:rsidP="00DD5C52">
      <w:pPr>
        <w:widowControl w:val="0"/>
        <w:spacing w:line="240" w:lineRule="auto"/>
        <w:jc w:val="center"/>
        <w:rPr>
          <w:rFonts w:ascii="Times New Roman" w:hAnsi="Times New Roman"/>
          <w:b/>
          <w:sz w:val="28"/>
          <w:szCs w:val="28"/>
        </w:rPr>
      </w:pPr>
      <w:r w:rsidRPr="00DD5C52">
        <w:rPr>
          <w:rFonts w:ascii="Times New Roman" w:hAnsi="Times New Roman"/>
          <w:b/>
          <w:sz w:val="28"/>
          <w:szCs w:val="28"/>
        </w:rPr>
        <w:t>IN THE SUPREME COURT</w:t>
      </w:r>
    </w:p>
    <w:p w:rsidR="00DD5C52" w:rsidRPr="00DD5C52" w:rsidRDefault="00DD5C52" w:rsidP="00DD5C52">
      <w:pPr>
        <w:spacing w:line="240" w:lineRule="auto"/>
        <w:jc w:val="center"/>
        <w:rPr>
          <w:rFonts w:ascii="Times New Roman" w:hAnsi="Times New Roman"/>
          <w:b/>
          <w:sz w:val="24"/>
          <w:szCs w:val="24"/>
        </w:rPr>
      </w:pPr>
      <w:r w:rsidRPr="00DD5C52">
        <w:rPr>
          <w:rFonts w:ascii="Times New Roman" w:hAnsi="Times New Roman"/>
          <w:b/>
          <w:sz w:val="28"/>
          <w:szCs w:val="28"/>
        </w:rPr>
        <w:t>STATE OF ARIZONA</w:t>
      </w:r>
    </w:p>
    <w:p w:rsidR="00D7681D" w:rsidRPr="0089702B" w:rsidRDefault="00D7681D" w:rsidP="004601C2">
      <w:pPr>
        <w:spacing w:line="240" w:lineRule="auto"/>
        <w:jc w:val="center"/>
        <w:rPr>
          <w:rFonts w:ascii="Arial" w:hAnsi="Arial" w:cs="Arial"/>
          <w:sz w:val="24"/>
          <w:szCs w:val="24"/>
        </w:rPr>
      </w:pPr>
    </w:p>
    <w:tbl>
      <w:tblPr>
        <w:tblW w:w="9436" w:type="dxa"/>
        <w:tblLayout w:type="fixed"/>
        <w:tblCellMar>
          <w:left w:w="0" w:type="dxa"/>
          <w:right w:w="0" w:type="dxa"/>
        </w:tblCellMar>
        <w:tblLook w:val="0000"/>
      </w:tblPr>
      <w:tblGrid>
        <w:gridCol w:w="4718"/>
        <w:gridCol w:w="4718"/>
      </w:tblGrid>
      <w:tr w:rsidR="0089702B" w:rsidRPr="00844786" w:rsidTr="001701F9">
        <w:trPr>
          <w:trHeight w:val="1818"/>
        </w:trPr>
        <w:tc>
          <w:tcPr>
            <w:tcW w:w="4718" w:type="dxa"/>
            <w:tcBorders>
              <w:bottom w:val="single" w:sz="4" w:space="0" w:color="auto"/>
              <w:right w:val="single" w:sz="4" w:space="0" w:color="auto"/>
            </w:tcBorders>
          </w:tcPr>
          <w:p w:rsidR="0089702B" w:rsidRPr="00844786" w:rsidRDefault="0089702B" w:rsidP="0089702B">
            <w:pPr>
              <w:spacing w:line="240" w:lineRule="auto"/>
              <w:rPr>
                <w:rFonts w:ascii="Arial" w:hAnsi="Arial" w:cs="Arial"/>
                <w:sz w:val="24"/>
                <w:szCs w:val="24"/>
              </w:rPr>
            </w:pPr>
            <w:bookmarkStart w:id="0" w:name="Parties"/>
            <w:bookmarkEnd w:id="0"/>
          </w:p>
          <w:p w:rsidR="00C84FD6" w:rsidRPr="00844786" w:rsidRDefault="001701F9" w:rsidP="001701F9">
            <w:pPr>
              <w:widowControl w:val="0"/>
              <w:spacing w:line="240" w:lineRule="auto"/>
              <w:rPr>
                <w:rFonts w:ascii="Arial" w:hAnsi="Arial" w:cs="Arial"/>
                <w:sz w:val="24"/>
                <w:szCs w:val="24"/>
              </w:rPr>
            </w:pPr>
            <w:r>
              <w:rPr>
                <w:rFonts w:ascii="Times New Roman" w:hAnsi="Times New Roman"/>
                <w:sz w:val="28"/>
                <w:szCs w:val="28"/>
              </w:rPr>
              <w:t>PETITION TO AMEND RULE 45(a) OF THE Rules of the SUPREME COURT OF ARIZONA</w:t>
            </w:r>
          </w:p>
        </w:tc>
        <w:tc>
          <w:tcPr>
            <w:tcW w:w="4718" w:type="dxa"/>
            <w:tcBorders>
              <w:left w:val="nil"/>
            </w:tcBorders>
          </w:tcPr>
          <w:p w:rsidR="0089702B" w:rsidRPr="00844786" w:rsidRDefault="00DD5C52" w:rsidP="00EB75F1">
            <w:pPr>
              <w:ind w:left="270"/>
              <w:rPr>
                <w:rFonts w:ascii="Arial" w:hAnsi="Arial" w:cs="Arial"/>
                <w:sz w:val="24"/>
                <w:szCs w:val="24"/>
              </w:rPr>
            </w:pPr>
            <w:r>
              <w:rPr>
                <w:rFonts w:ascii="Arial" w:hAnsi="Arial" w:cs="Arial"/>
                <w:sz w:val="24"/>
                <w:szCs w:val="24"/>
              </w:rPr>
              <w:t xml:space="preserve"> </w:t>
            </w:r>
            <w:r w:rsidR="001701F9">
              <w:rPr>
                <w:rFonts w:ascii="Arial" w:hAnsi="Arial" w:cs="Arial"/>
                <w:sz w:val="24"/>
                <w:szCs w:val="24"/>
              </w:rPr>
              <w:t xml:space="preserve">Supreme  Court </w:t>
            </w:r>
            <w:r>
              <w:rPr>
                <w:rFonts w:ascii="Arial" w:hAnsi="Arial" w:cs="Arial"/>
                <w:sz w:val="24"/>
                <w:szCs w:val="24"/>
              </w:rPr>
              <w:t>No.</w:t>
            </w:r>
            <w:r w:rsidR="001701F9">
              <w:rPr>
                <w:rFonts w:ascii="Arial" w:hAnsi="Arial" w:cs="Arial"/>
                <w:sz w:val="24"/>
                <w:szCs w:val="24"/>
              </w:rPr>
              <w:t>:</w:t>
            </w:r>
          </w:p>
          <w:p w:rsidR="00DD5C52" w:rsidRPr="00DD5C52" w:rsidRDefault="00C84FD6" w:rsidP="00DD5C52">
            <w:pPr>
              <w:widowControl w:val="0"/>
              <w:spacing w:line="240" w:lineRule="auto"/>
              <w:ind w:left="322"/>
              <w:rPr>
                <w:rFonts w:ascii="Times New Roman" w:hAnsi="Times New Roman"/>
                <w:sz w:val="28"/>
                <w:szCs w:val="28"/>
              </w:rPr>
            </w:pPr>
            <w:r w:rsidRPr="00844786">
              <w:rPr>
                <w:rFonts w:ascii="Arial" w:hAnsi="Arial" w:cs="Arial"/>
                <w:b/>
                <w:sz w:val="24"/>
                <w:szCs w:val="24"/>
              </w:rPr>
              <w:br/>
            </w:r>
            <w:r w:rsidR="00DD5C52" w:rsidRPr="00DD5C52">
              <w:rPr>
                <w:rFonts w:ascii="Times New Roman" w:hAnsi="Times New Roman"/>
                <w:sz w:val="28"/>
                <w:szCs w:val="28"/>
              </w:rPr>
              <w:t>PETITION TO AMEND RULE 45(a) OF THE Rules of the SUPREME COURT OF</w:t>
            </w:r>
            <w:r w:rsidR="00DD5C52">
              <w:rPr>
                <w:rFonts w:ascii="Times New Roman" w:hAnsi="Times New Roman"/>
                <w:sz w:val="28"/>
                <w:szCs w:val="28"/>
              </w:rPr>
              <w:t xml:space="preserve"> </w:t>
            </w:r>
            <w:r w:rsidR="00DD5C52" w:rsidRPr="00DD5C52">
              <w:rPr>
                <w:rFonts w:ascii="Times New Roman" w:hAnsi="Times New Roman"/>
                <w:sz w:val="28"/>
                <w:szCs w:val="28"/>
              </w:rPr>
              <w:t xml:space="preserve">ARIZONA  </w:t>
            </w:r>
          </w:p>
          <w:p w:rsidR="0089702B" w:rsidRPr="00844786" w:rsidRDefault="0089702B" w:rsidP="00EB75F1">
            <w:pPr>
              <w:ind w:left="270"/>
              <w:rPr>
                <w:rFonts w:ascii="Arial" w:hAnsi="Arial" w:cs="Arial"/>
                <w:b/>
                <w:sz w:val="24"/>
                <w:szCs w:val="24"/>
              </w:rPr>
            </w:pPr>
          </w:p>
          <w:p w:rsidR="0089702B" w:rsidRPr="00844786" w:rsidRDefault="0089702B" w:rsidP="00EB75F1">
            <w:pPr>
              <w:ind w:left="270"/>
              <w:rPr>
                <w:rFonts w:ascii="Arial" w:hAnsi="Arial" w:cs="Arial"/>
                <w:b/>
                <w:sz w:val="24"/>
                <w:szCs w:val="24"/>
              </w:rPr>
            </w:pPr>
          </w:p>
        </w:tc>
      </w:tr>
    </w:tbl>
    <w:p w:rsidR="005E6889" w:rsidRDefault="005E6889" w:rsidP="005E6889">
      <w:pPr>
        <w:pStyle w:val="AttorneyName"/>
        <w:widowControl w:val="0"/>
        <w:spacing w:line="480" w:lineRule="auto"/>
        <w:ind w:right="187" w:firstLine="720"/>
        <w:jc w:val="both"/>
        <w:rPr>
          <w:rFonts w:ascii="Times New Roman" w:hAnsi="Times New Roman"/>
          <w:sz w:val="28"/>
          <w:szCs w:val="28"/>
        </w:rPr>
      </w:pPr>
    </w:p>
    <w:p w:rsidR="00DD5C52" w:rsidRPr="00DD5C52" w:rsidRDefault="00DD5C52" w:rsidP="005E6889">
      <w:pPr>
        <w:pStyle w:val="AttorneyName"/>
        <w:widowControl w:val="0"/>
        <w:spacing w:line="480" w:lineRule="auto"/>
        <w:ind w:right="187" w:firstLine="720"/>
        <w:jc w:val="both"/>
        <w:rPr>
          <w:rFonts w:ascii="Times New Roman" w:hAnsi="Times New Roman"/>
          <w:sz w:val="28"/>
          <w:szCs w:val="28"/>
        </w:rPr>
      </w:pPr>
      <w:r w:rsidRPr="00DD5C52">
        <w:rPr>
          <w:rFonts w:ascii="Times New Roman" w:hAnsi="Times New Roman"/>
          <w:sz w:val="28"/>
          <w:szCs w:val="28"/>
        </w:rPr>
        <w:t>Pursuant to Rule 28, Arizona Rules of the Supreme Court Petitioners respectfully submit this Petition for consideration of an amendment to Rule 45 of the Rules of the Arizona Supreme Court to acknowledge the service provided by volunteer member of the State Bar of Arizona who serve as fee dispute arbitrators under the auspices of the State Bar of Arizona Fee Arbitration Committee. The Petition i</w:t>
      </w:r>
      <w:r w:rsidR="001701F9">
        <w:rPr>
          <w:rFonts w:ascii="Times New Roman" w:hAnsi="Times New Roman"/>
          <w:sz w:val="28"/>
          <w:szCs w:val="28"/>
        </w:rPr>
        <w:t>s</w:t>
      </w:r>
      <w:r w:rsidRPr="00DD5C52">
        <w:rPr>
          <w:rFonts w:ascii="Times New Roman" w:hAnsi="Times New Roman"/>
          <w:sz w:val="28"/>
          <w:szCs w:val="28"/>
        </w:rPr>
        <w:t xml:space="preserve"> consistent with the long-standing policy, custom and practice of the Supreme Court to encourage members of the Bar to assist in the dispute resolution process on a non-compensated basis. Rule 45(a) 4 currently provides for two hours of continuing legal education credit for service as a court appointed arbitrator if compensation is waived. Amending Rule 45 to provide a </w:t>
      </w:r>
      <w:r w:rsidRPr="00DD5C52">
        <w:rPr>
          <w:rFonts w:ascii="Times New Roman" w:hAnsi="Times New Roman"/>
          <w:sz w:val="28"/>
          <w:szCs w:val="28"/>
        </w:rPr>
        <w:lastRenderedPageBreak/>
        <w:t xml:space="preserve">continuing education credit for members who voluntarily serve as arbitrators to resolve client/attorney or attorney/attorney fees dispute issues not only encourages such participation but acknowledges the valuable service provided as well as the educational benefit to the volunteer member required to adjudicate the dispute.  </w:t>
      </w:r>
    </w:p>
    <w:p w:rsidR="00DD5C52" w:rsidRPr="00DD5C52" w:rsidRDefault="00DD5C52" w:rsidP="00DD5C52">
      <w:pPr>
        <w:pStyle w:val="AttorneyName"/>
        <w:widowControl w:val="0"/>
        <w:spacing w:line="480" w:lineRule="auto"/>
        <w:ind w:right="187"/>
        <w:jc w:val="center"/>
        <w:rPr>
          <w:rFonts w:ascii="Times New Roman" w:hAnsi="Times New Roman"/>
          <w:b/>
          <w:sz w:val="28"/>
          <w:szCs w:val="28"/>
        </w:rPr>
      </w:pPr>
      <w:r w:rsidRPr="00DD5C52">
        <w:rPr>
          <w:rFonts w:ascii="Times New Roman" w:hAnsi="Times New Roman"/>
          <w:b/>
          <w:sz w:val="28"/>
          <w:szCs w:val="28"/>
        </w:rPr>
        <w:t>Basis of the Request</w:t>
      </w:r>
    </w:p>
    <w:p w:rsidR="00DD5C52" w:rsidRPr="00DD5C52" w:rsidRDefault="00DD5C52" w:rsidP="00DD5C52">
      <w:pPr>
        <w:pStyle w:val="AttorneyName"/>
        <w:widowControl w:val="0"/>
        <w:spacing w:line="480" w:lineRule="auto"/>
        <w:ind w:right="187" w:firstLine="720"/>
        <w:jc w:val="both"/>
        <w:rPr>
          <w:rFonts w:ascii="Times New Roman" w:hAnsi="Times New Roman"/>
          <w:sz w:val="28"/>
          <w:szCs w:val="28"/>
        </w:rPr>
      </w:pPr>
      <w:r w:rsidRPr="00DD5C52">
        <w:rPr>
          <w:rFonts w:ascii="Times New Roman" w:hAnsi="Times New Roman"/>
          <w:sz w:val="28"/>
          <w:szCs w:val="28"/>
        </w:rPr>
        <w:t>Rule 45(a) 2 currently provides, in relevant part</w:t>
      </w:r>
    </w:p>
    <w:p w:rsidR="00DD5C52" w:rsidRPr="00DD5C52" w:rsidRDefault="00DD5C52" w:rsidP="00BA40BB">
      <w:pPr>
        <w:jc w:val="both"/>
        <w:rPr>
          <w:rFonts w:ascii="Times New Roman" w:hAnsi="Times New Roman"/>
          <w:color w:val="000000"/>
          <w:sz w:val="28"/>
          <w:szCs w:val="28"/>
        </w:rPr>
      </w:pPr>
      <w:r w:rsidRPr="00DD5C52">
        <w:rPr>
          <w:rFonts w:ascii="Times New Roman" w:hAnsi="Times New Roman"/>
          <w:sz w:val="28"/>
          <w:szCs w:val="28"/>
        </w:rPr>
        <w:t xml:space="preserve"> </w:t>
      </w:r>
      <w:r w:rsidRPr="00DD5C52">
        <w:rPr>
          <w:rFonts w:ascii="Times New Roman" w:hAnsi="Times New Roman"/>
          <w:sz w:val="28"/>
          <w:szCs w:val="28"/>
        </w:rPr>
        <w:tab/>
        <w:t>“</w:t>
      </w:r>
      <w:r w:rsidRPr="00DD5C52">
        <w:rPr>
          <w:rFonts w:ascii="Times New Roman" w:hAnsi="Times New Roman"/>
          <w:color w:val="000000"/>
          <w:sz w:val="28"/>
          <w:szCs w:val="28"/>
        </w:rPr>
        <w:t>2. A minimum of three hours of continuing legal education activity each educational year shall be in the area of professional responsibility. Professional responsibility includes instruction in legal and judicial ethics, professionalism, and malpractice prevention, and may include such topics as….., attorneys' fees, client……, alternatives to litigation for managing conflict and resolving disputes, ….to the extent that professional responsibility is directly addressed in connection with these topics.”</w:t>
      </w:r>
    </w:p>
    <w:p w:rsidR="00DD5C52" w:rsidRPr="00DD5C52" w:rsidRDefault="00DD5C52" w:rsidP="00DD5C52">
      <w:pPr>
        <w:rPr>
          <w:rFonts w:ascii="Times New Roman" w:hAnsi="Times New Roman"/>
        </w:rPr>
      </w:pPr>
    </w:p>
    <w:p w:rsidR="00DD5C52" w:rsidRPr="00DD5C52" w:rsidRDefault="00DD5C52" w:rsidP="00DD5C52">
      <w:pPr>
        <w:pStyle w:val="AttorneyName"/>
        <w:widowControl w:val="0"/>
        <w:spacing w:line="480" w:lineRule="auto"/>
        <w:ind w:right="187" w:firstLine="720"/>
        <w:jc w:val="both"/>
        <w:rPr>
          <w:rFonts w:ascii="Times New Roman" w:hAnsi="Times New Roman"/>
          <w:sz w:val="28"/>
          <w:szCs w:val="28"/>
        </w:rPr>
      </w:pPr>
      <w:r w:rsidRPr="00DD5C52">
        <w:rPr>
          <w:rFonts w:ascii="Times New Roman" w:hAnsi="Times New Roman"/>
          <w:sz w:val="28"/>
          <w:szCs w:val="28"/>
        </w:rPr>
        <w:t xml:space="preserve">In </w:t>
      </w:r>
      <w:r w:rsidRPr="00DD5C52">
        <w:rPr>
          <w:rFonts w:ascii="Times New Roman" w:hAnsi="Times New Roman"/>
          <w:i/>
          <w:sz w:val="28"/>
          <w:szCs w:val="28"/>
        </w:rPr>
        <w:t>In re Connelly</w:t>
      </w:r>
      <w:r w:rsidRPr="00DD5C52">
        <w:rPr>
          <w:rFonts w:ascii="Times New Roman" w:hAnsi="Times New Roman"/>
          <w:sz w:val="28"/>
          <w:szCs w:val="28"/>
        </w:rPr>
        <w:t>, 203 Ariz. 413, 55 P.3d 756 (2002) this Court reviewed the policy and practice behind fee dispute arbitration and heartily endorsed the State Bar’s program of fee dispute arbitration:</w:t>
      </w:r>
    </w:p>
    <w:p w:rsidR="00DD5C52" w:rsidRPr="00DD5C52" w:rsidRDefault="00DD5C52" w:rsidP="00DD5C52">
      <w:pPr>
        <w:spacing w:line="240" w:lineRule="auto"/>
        <w:ind w:left="720" w:right="720"/>
        <w:jc w:val="both"/>
        <w:rPr>
          <w:rFonts w:ascii="Times New Roman" w:hAnsi="Times New Roman"/>
          <w:sz w:val="28"/>
          <w:szCs w:val="28"/>
        </w:rPr>
      </w:pPr>
      <w:r w:rsidRPr="00DD5C52">
        <w:rPr>
          <w:rFonts w:ascii="Times New Roman" w:hAnsi="Times New Roman"/>
          <w:sz w:val="28"/>
          <w:szCs w:val="28"/>
        </w:rPr>
        <w:t xml:space="preserve">“Several differences between them, however, support the conclusion that </w:t>
      </w:r>
      <w:bookmarkStart w:id="1" w:name="SearchTerm"/>
      <w:r w:rsidRPr="00DD5C52">
        <w:rPr>
          <w:rFonts w:ascii="Times New Roman" w:hAnsi="Times New Roman"/>
          <w:sz w:val="28"/>
          <w:szCs w:val="28"/>
        </w:rPr>
        <w:t>the State Bar should utilize fee arbitration before considering whether formal disciplinary action should follow. First, the State Bar's announced policy encourages lawyers to submit fee disputes t</w:t>
      </w:r>
      <w:bookmarkStart w:id="2" w:name="SR;2937"/>
      <w:bookmarkEnd w:id="2"/>
      <w:r w:rsidRPr="00DD5C52">
        <w:rPr>
          <w:rFonts w:ascii="Times New Roman" w:hAnsi="Times New Roman"/>
          <w:sz w:val="28"/>
          <w:szCs w:val="28"/>
        </w:rPr>
        <w:t xml:space="preserve">o arbitration.  The Comment to </w:t>
      </w:r>
      <w:hyperlink r:id="rId8" w:tgtFrame="_top" w:history="1">
        <w:r w:rsidRPr="00DD5C52">
          <w:rPr>
            <w:rFonts w:ascii="Times New Roman" w:hAnsi="Times New Roman"/>
            <w:sz w:val="28"/>
            <w:szCs w:val="28"/>
            <w:u w:val="single"/>
          </w:rPr>
          <w:t>ER 1.5</w:t>
        </w:r>
      </w:hyperlink>
      <w:r w:rsidRPr="00DD5C52">
        <w:rPr>
          <w:rFonts w:ascii="Times New Roman" w:hAnsi="Times New Roman"/>
          <w:sz w:val="28"/>
          <w:szCs w:val="28"/>
        </w:rPr>
        <w:t xml:space="preserve"> urges that “[e]ach lawyer should conscientiously consider submitting to [fee arbitration].” Ariz. R. Sup.Ct. 42, ER 1.5, Comment, Disputes over Fees. Because the Fe</w:t>
      </w:r>
      <w:bookmarkStart w:id="3" w:name="SR;2972"/>
      <w:bookmarkEnd w:id="3"/>
      <w:r w:rsidRPr="00DD5C52">
        <w:rPr>
          <w:rFonts w:ascii="Times New Roman" w:hAnsi="Times New Roman"/>
          <w:sz w:val="28"/>
          <w:szCs w:val="28"/>
        </w:rPr>
        <w:t>e Arbitration Committee “shall not have jurisdiction over a dispute ... [i]f an action on the dispute already is pending in another forum,” Rules o</w:t>
      </w:r>
      <w:bookmarkStart w:id="4" w:name="SR;2995"/>
      <w:bookmarkEnd w:id="4"/>
      <w:r w:rsidRPr="00DD5C52">
        <w:rPr>
          <w:rFonts w:ascii="Times New Roman" w:hAnsi="Times New Roman"/>
          <w:sz w:val="28"/>
          <w:szCs w:val="28"/>
        </w:rPr>
        <w:t>f Arbitration of Fee Disputes II.B.3, initiating disciplinary action precludes parties from utilizing the preferred method o</w:t>
      </w:r>
      <w:bookmarkStart w:id="5" w:name="SR;3012"/>
      <w:bookmarkEnd w:id="5"/>
      <w:r w:rsidRPr="00DD5C52">
        <w:rPr>
          <w:rFonts w:ascii="Times New Roman" w:hAnsi="Times New Roman"/>
          <w:sz w:val="28"/>
          <w:szCs w:val="28"/>
        </w:rPr>
        <w:t>f arbitration. We do not approve of a procedure through which the State Bar encourages fe</w:t>
      </w:r>
      <w:bookmarkStart w:id="6" w:name="SR;3028"/>
      <w:bookmarkEnd w:id="6"/>
      <w:r w:rsidRPr="00DD5C52">
        <w:rPr>
          <w:rFonts w:ascii="Times New Roman" w:hAnsi="Times New Roman"/>
          <w:sz w:val="28"/>
          <w:szCs w:val="28"/>
        </w:rPr>
        <w:t xml:space="preserve">e arbitration on the one hand and, on the other, undermines arbitration agreements by imposing discipline before allowing the </w:t>
      </w:r>
      <w:bookmarkStart w:id="7" w:name="SR;3046"/>
      <w:bookmarkEnd w:id="7"/>
      <w:r w:rsidRPr="00DD5C52">
        <w:rPr>
          <w:rFonts w:ascii="Times New Roman" w:hAnsi="Times New Roman"/>
          <w:sz w:val="28"/>
          <w:szCs w:val="28"/>
        </w:rPr>
        <w:t>arbitration procedure to work.</w:t>
      </w:r>
    </w:p>
    <w:p w:rsidR="00DD5C52" w:rsidRPr="00DD5C52" w:rsidRDefault="00DD5C52" w:rsidP="00DD5C52">
      <w:pPr>
        <w:spacing w:line="240" w:lineRule="auto"/>
        <w:ind w:left="720" w:right="720"/>
        <w:jc w:val="both"/>
        <w:rPr>
          <w:rFonts w:ascii="Times New Roman" w:hAnsi="Times New Roman"/>
          <w:sz w:val="28"/>
          <w:szCs w:val="28"/>
        </w:rPr>
      </w:pPr>
    </w:p>
    <w:p w:rsidR="00DD5C52" w:rsidRPr="00DD5C52" w:rsidRDefault="00DD5C52" w:rsidP="00DD5C52">
      <w:pPr>
        <w:spacing w:line="240" w:lineRule="auto"/>
        <w:ind w:left="720" w:right="720"/>
        <w:jc w:val="both"/>
        <w:rPr>
          <w:rFonts w:ascii="Times New Roman" w:hAnsi="Times New Roman"/>
          <w:sz w:val="28"/>
          <w:szCs w:val="28"/>
        </w:rPr>
      </w:pPr>
      <w:bookmarkStart w:id="8" w:name="sp_999_4"/>
      <w:bookmarkStart w:id="9" w:name="SDU_4"/>
      <w:r w:rsidRPr="00DD5C52">
        <w:rPr>
          <w:rFonts w:ascii="Times New Roman" w:hAnsi="Times New Roman"/>
          <w:sz w:val="28"/>
          <w:szCs w:val="28"/>
        </w:rPr>
        <w:t xml:space="preserve"> Proceeding first to </w:t>
      </w:r>
      <w:bookmarkStart w:id="10" w:name="SR;3056"/>
      <w:bookmarkEnd w:id="10"/>
      <w:r w:rsidRPr="00DD5C52">
        <w:rPr>
          <w:rFonts w:ascii="Times New Roman" w:hAnsi="Times New Roman"/>
          <w:sz w:val="28"/>
          <w:szCs w:val="28"/>
        </w:rPr>
        <w:t xml:space="preserve">arbitration is particularly important when, as occurred here, an attorney and client have explicitly agreed to binding </w:t>
      </w:r>
      <w:bookmarkStart w:id="11" w:name="SR;3073"/>
      <w:bookmarkEnd w:id="11"/>
      <w:r w:rsidRPr="00DD5C52">
        <w:rPr>
          <w:rFonts w:ascii="Times New Roman" w:hAnsi="Times New Roman"/>
          <w:sz w:val="28"/>
          <w:szCs w:val="28"/>
        </w:rPr>
        <w:t>arbitration in the event of a fee dispute. By rejecting Connelly's request that the matter first proceed to fee arbitration , the State Bar, in effect, allowed Richman to sidestep his contractual obligation to</w:t>
      </w:r>
      <w:bookmarkStart w:id="12" w:name="SR;3107"/>
      <w:bookmarkEnd w:id="12"/>
      <w:r w:rsidRPr="00DD5C52">
        <w:rPr>
          <w:rFonts w:ascii="Times New Roman" w:hAnsi="Times New Roman"/>
          <w:sz w:val="28"/>
          <w:szCs w:val="28"/>
        </w:rPr>
        <w:t xml:space="preserve"> arbitrate the fee dispute.</w:t>
      </w:r>
      <w:bookmarkStart w:id="13" w:name="FN6"/>
      <w:bookmarkEnd w:id="13"/>
      <w:r w:rsidR="006748DF" w:rsidRPr="00DD5C52">
        <w:rPr>
          <w:rFonts w:ascii="Times New Roman" w:hAnsi="Times New Roman"/>
          <w:sz w:val="28"/>
          <w:szCs w:val="28"/>
        </w:rPr>
        <w:fldChar w:fldCharType="begin"/>
      </w:r>
      <w:r w:rsidRPr="00DD5C52">
        <w:rPr>
          <w:rFonts w:ascii="Times New Roman" w:hAnsi="Times New Roman"/>
          <w:sz w:val="28"/>
          <w:szCs w:val="28"/>
        </w:rPr>
        <w:instrText xml:space="preserve"> HYPERLINK "http://web2.westlaw.com/result/%09%09%09%09%09%09" \l "B00662002534538" </w:instrText>
      </w:r>
      <w:r w:rsidR="006748DF" w:rsidRPr="00DD5C52">
        <w:rPr>
          <w:rFonts w:ascii="Times New Roman" w:hAnsi="Times New Roman"/>
          <w:sz w:val="28"/>
          <w:szCs w:val="28"/>
        </w:rPr>
        <w:fldChar w:fldCharType="separate"/>
      </w:r>
      <w:r w:rsidRPr="00DD5C52">
        <w:rPr>
          <w:rFonts w:ascii="Times New Roman" w:hAnsi="Times New Roman"/>
          <w:sz w:val="28"/>
          <w:szCs w:val="28"/>
          <w:u w:val="single"/>
          <w:vertAlign w:val="superscript"/>
        </w:rPr>
        <w:t>FN6</w:t>
      </w:r>
      <w:r w:rsidR="006748DF" w:rsidRPr="00DD5C52">
        <w:rPr>
          <w:rFonts w:ascii="Times New Roman" w:hAnsi="Times New Roman"/>
          <w:sz w:val="28"/>
          <w:szCs w:val="28"/>
        </w:rPr>
        <w:fldChar w:fldCharType="end"/>
      </w:r>
      <w:bookmarkStart w:id="14" w:name="F00662002534538"/>
      <w:bookmarkEnd w:id="14"/>
      <w:r w:rsidRPr="00DD5C52">
        <w:rPr>
          <w:rFonts w:ascii="Times New Roman" w:hAnsi="Times New Roman"/>
          <w:sz w:val="28"/>
          <w:szCs w:val="28"/>
        </w:rPr>
        <w:t xml:space="preserve"> </w:t>
      </w:r>
    </w:p>
    <w:p w:rsidR="00DD5C52" w:rsidRPr="00DD5C52" w:rsidRDefault="00DD5C52" w:rsidP="00DD5C52">
      <w:pPr>
        <w:spacing w:line="240" w:lineRule="auto"/>
        <w:ind w:left="720" w:right="720"/>
        <w:jc w:val="both"/>
        <w:rPr>
          <w:rFonts w:ascii="Times New Roman" w:hAnsi="Times New Roman"/>
          <w:sz w:val="28"/>
          <w:szCs w:val="28"/>
        </w:rPr>
      </w:pPr>
    </w:p>
    <w:p w:rsidR="00DD5C52" w:rsidRPr="00DD5C52" w:rsidRDefault="00DD5C52" w:rsidP="00EB75F1">
      <w:pPr>
        <w:spacing w:after="45" w:line="240" w:lineRule="auto"/>
        <w:ind w:left="720" w:right="720"/>
        <w:jc w:val="both"/>
        <w:rPr>
          <w:rFonts w:ascii="Times New Roman" w:hAnsi="Times New Roman"/>
          <w:sz w:val="28"/>
          <w:szCs w:val="28"/>
        </w:rPr>
      </w:pPr>
      <w:bookmarkStart w:id="15" w:name="B00662002534538"/>
      <w:bookmarkEnd w:id="8"/>
      <w:bookmarkEnd w:id="9"/>
      <w:bookmarkEnd w:id="15"/>
      <w:r w:rsidRPr="00DD5C52">
        <w:rPr>
          <w:rFonts w:ascii="Times New Roman" w:hAnsi="Times New Roman"/>
          <w:sz w:val="28"/>
          <w:szCs w:val="28"/>
        </w:rPr>
        <w:t xml:space="preserve"> Fee </w:t>
      </w:r>
      <w:bookmarkStart w:id="16" w:name="SR;3159"/>
      <w:bookmarkEnd w:id="16"/>
      <w:r w:rsidRPr="00DD5C52">
        <w:rPr>
          <w:rFonts w:ascii="Times New Roman" w:hAnsi="Times New Roman"/>
          <w:sz w:val="28"/>
          <w:szCs w:val="28"/>
        </w:rPr>
        <w:t xml:space="preserve">arbitration proceedings provide a better setting for initially resolving fee disputes for other reasons. The parties are more likely to obtain a prompt resolution through arbitration. The pertinent rules direct that an </w:t>
      </w:r>
      <w:bookmarkStart w:id="17" w:name="SR;3193"/>
      <w:bookmarkEnd w:id="17"/>
      <w:r w:rsidRPr="00DD5C52">
        <w:rPr>
          <w:rFonts w:ascii="Times New Roman" w:hAnsi="Times New Roman"/>
          <w:sz w:val="28"/>
          <w:szCs w:val="28"/>
        </w:rPr>
        <w:t xml:space="preserve">arbitration hearing be set within ninety days after receipt of an agreement to arbitrate. </w:t>
      </w:r>
      <w:r w:rsidRPr="00DD5C52">
        <w:rPr>
          <w:rFonts w:ascii="Times New Roman" w:hAnsi="Times New Roman"/>
          <w:i/>
          <w:iCs/>
          <w:sz w:val="28"/>
          <w:szCs w:val="28"/>
        </w:rPr>
        <w:t>Id.</w:t>
      </w:r>
      <w:r w:rsidRPr="00DD5C52">
        <w:rPr>
          <w:rFonts w:ascii="Times New Roman" w:hAnsi="Times New Roman"/>
          <w:sz w:val="28"/>
          <w:szCs w:val="28"/>
        </w:rPr>
        <w:t xml:space="preserve"> at VII.A. In disciplinary matters, in contrast, a hearing date should be set within 150 days of filing a complaint. </w:t>
      </w:r>
      <w:hyperlink r:id="rId9" w:tgtFrame="_top" w:history="1">
        <w:r w:rsidRPr="00DD5C52">
          <w:rPr>
            <w:rFonts w:ascii="Times New Roman" w:hAnsi="Times New Roman"/>
            <w:sz w:val="28"/>
            <w:szCs w:val="28"/>
            <w:u w:val="single"/>
          </w:rPr>
          <w:t>Ariz. R. Sup.Ct. 53(c)</w:t>
        </w:r>
      </w:hyperlink>
      <w:r w:rsidRPr="00DD5C52">
        <w:rPr>
          <w:rFonts w:ascii="Times New Roman" w:hAnsi="Times New Roman"/>
          <w:sz w:val="28"/>
          <w:szCs w:val="28"/>
        </w:rPr>
        <w:t xml:space="preserve"> </w:t>
      </w:r>
      <w:hyperlink r:id="rId10" w:tgtFrame="_top" w:history="1">
        <w:r w:rsidRPr="00DD5C52">
          <w:rPr>
            <w:rFonts w:ascii="Times New Roman" w:hAnsi="Times New Roman"/>
            <w:sz w:val="28"/>
            <w:szCs w:val="28"/>
            <w:u w:val="single"/>
          </w:rPr>
          <w:t>6</w:t>
        </w:r>
      </w:hyperlink>
      <w:r w:rsidRPr="00DD5C52">
        <w:rPr>
          <w:rFonts w:ascii="Times New Roman" w:hAnsi="Times New Roman"/>
          <w:sz w:val="28"/>
          <w:szCs w:val="28"/>
        </w:rPr>
        <w:t xml:space="preserve">. The burden of proof also differs between fee </w:t>
      </w:r>
      <w:bookmarkStart w:id="18" w:name="SR;3245"/>
      <w:bookmarkEnd w:id="18"/>
      <w:r w:rsidRPr="00DD5C52">
        <w:rPr>
          <w:rFonts w:ascii="Times New Roman" w:hAnsi="Times New Roman"/>
          <w:sz w:val="28"/>
          <w:szCs w:val="28"/>
        </w:rPr>
        <w:t xml:space="preserve">arbitration and formal disciplinary proceedings. In arbitration , the attorney bears the burden of showing, by a preponderance of the evidence, that she charged a reasonable fee. Rules of </w:t>
      </w:r>
      <w:bookmarkStart w:id="19" w:name="SR;3275"/>
      <w:bookmarkEnd w:id="1"/>
      <w:bookmarkEnd w:id="19"/>
      <w:r w:rsidRPr="00DD5C52">
        <w:rPr>
          <w:rFonts w:ascii="Times New Roman" w:hAnsi="Times New Roman"/>
          <w:sz w:val="28"/>
          <w:szCs w:val="28"/>
        </w:rPr>
        <w:t>Arbitration of Fee Disputes VI.F.</w:t>
      </w:r>
    </w:p>
    <w:p w:rsidR="00DD5C52" w:rsidRPr="00DD5C52" w:rsidRDefault="00DD5C52" w:rsidP="00DD5C52">
      <w:pPr>
        <w:spacing w:after="45" w:line="240" w:lineRule="auto"/>
        <w:ind w:left="720" w:right="720"/>
        <w:rPr>
          <w:rFonts w:ascii="Times New Roman" w:hAnsi="Times New Roman"/>
          <w:sz w:val="28"/>
          <w:szCs w:val="28"/>
        </w:rPr>
      </w:pPr>
    </w:p>
    <w:p w:rsidR="00DD5C52" w:rsidRPr="00DD5C52" w:rsidRDefault="00DD5C52" w:rsidP="00EB75F1">
      <w:pPr>
        <w:spacing w:after="45" w:line="240" w:lineRule="auto"/>
        <w:ind w:left="720" w:right="720"/>
        <w:jc w:val="both"/>
        <w:rPr>
          <w:rFonts w:ascii="Times New Roman" w:hAnsi="Times New Roman"/>
          <w:sz w:val="28"/>
          <w:szCs w:val="28"/>
        </w:rPr>
      </w:pPr>
      <w:r w:rsidRPr="00DD5C52">
        <w:rPr>
          <w:rFonts w:ascii="Times New Roman" w:hAnsi="Times New Roman"/>
          <w:sz w:val="28"/>
          <w:szCs w:val="28"/>
        </w:rPr>
        <w:t>Finally, because fee arbitration determines whether a lawyer charged a reasonable fee and, if not, the amount that represents a reasonable fee, the award provides valuable information for a formal disciplinary hearing, if one follows. For all those reasons, we conclude that fee arbitration provides the appropriate forum for determining what constitutes a reasonable fee for work performed in a particular case.</w:t>
      </w:r>
      <w:r w:rsidRPr="00DD5C52">
        <w:rPr>
          <w:rFonts w:ascii="Times New Roman" w:hAnsi="Times New Roman"/>
          <w:sz w:val="28"/>
          <w:szCs w:val="28"/>
        </w:rPr>
        <w:br/>
        <w:t>25 We conclude that the State Bar should follow its</w:t>
      </w:r>
      <w:bookmarkStart w:id="20" w:name="SR;3668"/>
      <w:bookmarkEnd w:id="20"/>
      <w:r w:rsidRPr="00DD5C52">
        <w:rPr>
          <w:rFonts w:ascii="Times New Roman" w:hAnsi="Times New Roman"/>
          <w:sz w:val="28"/>
          <w:szCs w:val="28"/>
        </w:rPr>
        <w:t xml:space="preserve"> policy of</w:t>
      </w:r>
      <w:bookmarkStart w:id="21" w:name="SR;3670"/>
      <w:bookmarkEnd w:id="21"/>
      <w:r w:rsidRPr="00DD5C52">
        <w:rPr>
          <w:rFonts w:ascii="Times New Roman" w:hAnsi="Times New Roman"/>
          <w:sz w:val="28"/>
          <w:szCs w:val="28"/>
        </w:rPr>
        <w:t xml:space="preserve"> encouraging lawyers and clients to resolve fee disputes through arbitration. We hold, therefore, that the State Bar should not have begun formal disciplinary proceedings against Connelly until </w:t>
      </w:r>
      <w:bookmarkStart w:id="22" w:name="SR;3698"/>
      <w:bookmarkEnd w:id="22"/>
      <w:r w:rsidRPr="00DD5C52">
        <w:rPr>
          <w:rFonts w:ascii="Times New Roman" w:hAnsi="Times New Roman"/>
          <w:sz w:val="28"/>
          <w:szCs w:val="28"/>
        </w:rPr>
        <w:t xml:space="preserve">arbitration of the fee dispute had concluded.”  </w:t>
      </w:r>
      <w:r w:rsidRPr="00DD5C52">
        <w:rPr>
          <w:rFonts w:ascii="Times New Roman" w:hAnsi="Times New Roman"/>
          <w:i/>
          <w:sz w:val="28"/>
          <w:szCs w:val="28"/>
        </w:rPr>
        <w:t>Id</w:t>
      </w:r>
      <w:r w:rsidRPr="00DD5C52">
        <w:rPr>
          <w:rFonts w:ascii="Times New Roman" w:hAnsi="Times New Roman"/>
          <w:sz w:val="28"/>
          <w:szCs w:val="28"/>
        </w:rPr>
        <w:t>. at 417, 760.</w:t>
      </w:r>
    </w:p>
    <w:p w:rsidR="00DD5C52" w:rsidRPr="00DD5C52" w:rsidRDefault="00DD5C52" w:rsidP="00DD5C52">
      <w:pPr>
        <w:pStyle w:val="AttorneyName"/>
        <w:widowControl w:val="0"/>
        <w:spacing w:line="480" w:lineRule="auto"/>
        <w:ind w:right="187" w:firstLine="720"/>
        <w:jc w:val="both"/>
        <w:rPr>
          <w:rFonts w:ascii="Times New Roman" w:hAnsi="Times New Roman"/>
          <w:sz w:val="28"/>
          <w:szCs w:val="28"/>
        </w:rPr>
      </w:pPr>
    </w:p>
    <w:p w:rsidR="00DD5C52" w:rsidRPr="00DD5C52" w:rsidRDefault="00DD5C52" w:rsidP="00DD5C52">
      <w:pPr>
        <w:pStyle w:val="AttorneyName"/>
        <w:widowControl w:val="0"/>
        <w:spacing w:line="480" w:lineRule="auto"/>
        <w:ind w:right="187" w:firstLine="720"/>
        <w:jc w:val="both"/>
        <w:rPr>
          <w:rFonts w:ascii="Times New Roman" w:hAnsi="Times New Roman"/>
          <w:sz w:val="28"/>
          <w:szCs w:val="28"/>
        </w:rPr>
      </w:pPr>
      <w:r w:rsidRPr="00DD5C52">
        <w:rPr>
          <w:rFonts w:ascii="Times New Roman" w:hAnsi="Times New Roman"/>
          <w:sz w:val="28"/>
          <w:szCs w:val="28"/>
        </w:rPr>
        <w:t>Likewise the State Bar’s Fee Arbitration Committee has a similar focus</w:t>
      </w:r>
    </w:p>
    <w:p w:rsidR="00DD5C52" w:rsidRPr="00DD5C52" w:rsidRDefault="00DD5C52" w:rsidP="00DD5C52">
      <w:pPr>
        <w:pStyle w:val="Heading1"/>
        <w:jc w:val="center"/>
        <w:rPr>
          <w:rFonts w:ascii="Times New Roman" w:eastAsia="Times New Roman" w:hAnsi="Times New Roman"/>
          <w:sz w:val="28"/>
          <w:szCs w:val="28"/>
        </w:rPr>
      </w:pPr>
      <w:r w:rsidRPr="00DD5C52">
        <w:rPr>
          <w:rFonts w:ascii="Times New Roman" w:eastAsia="Times New Roman" w:hAnsi="Times New Roman"/>
          <w:sz w:val="28"/>
          <w:szCs w:val="28"/>
        </w:rPr>
        <w:t>Mission Statement</w:t>
      </w:r>
    </w:p>
    <w:p w:rsidR="00DD5C52" w:rsidRPr="00DD5C52" w:rsidRDefault="00DD5C52" w:rsidP="00DD5C52">
      <w:pPr>
        <w:rPr>
          <w:rFonts w:ascii="Times New Roman" w:eastAsiaTheme="minorHAnsi" w:hAnsi="Times New Roman"/>
        </w:rPr>
      </w:pPr>
    </w:p>
    <w:p w:rsidR="00DD5C52" w:rsidRPr="00DD5C52" w:rsidRDefault="00DD5C52" w:rsidP="00BA40BB">
      <w:pPr>
        <w:pStyle w:val="BodyText"/>
        <w:jc w:val="both"/>
        <w:rPr>
          <w:sz w:val="28"/>
          <w:szCs w:val="28"/>
        </w:rPr>
      </w:pPr>
      <w:r w:rsidRPr="00DD5C52">
        <w:rPr>
          <w:sz w:val="28"/>
          <w:szCs w:val="28"/>
        </w:rPr>
        <w:t xml:space="preserve">“The </w:t>
      </w:r>
      <w:r w:rsidRPr="00DD5C52">
        <w:rPr>
          <w:rStyle w:val="Strong"/>
          <w:sz w:val="28"/>
          <w:szCs w:val="28"/>
        </w:rPr>
        <w:t>Fee Arbitration Program</w:t>
      </w:r>
      <w:r w:rsidRPr="00DD5C52">
        <w:rPr>
          <w:sz w:val="28"/>
          <w:szCs w:val="28"/>
        </w:rPr>
        <w:t xml:space="preserve"> is a free, voluntary program for resolving fee disputes over $500.00 between bar members and their clients, or under certain circumstances between bar members.  Both client and attorney must agree to the arbitration for it to proceed.  The files are processed in-house during the initial stages and then assigned to Fee Arbitration Committee Members to oversee, review, and appoint fee arbitrators to hear cases - they often serve as the arbitrators themselves.  Arbitrators hold fee arbitration hearings and issue awards in Fee Arbitration matters assigned to them during the committee year.  The Committee consists of 60 or more members and each member works independently on the matter(s) to which he/she is assigned.  The decisions of the arbitrator(s) are final and binding, and are subject to only limited appeal through the superior court system under the Arizona Revised Statutes.”</w:t>
      </w:r>
    </w:p>
    <w:p w:rsidR="00DD5C52" w:rsidRPr="00DD5C52" w:rsidRDefault="00DD5C52" w:rsidP="00DD5C52">
      <w:pPr>
        <w:rPr>
          <w:rFonts w:ascii="Times New Roman" w:hAnsi="Times New Roman"/>
          <w:sz w:val="24"/>
          <w:szCs w:val="24"/>
        </w:rPr>
      </w:pPr>
    </w:p>
    <w:p w:rsidR="00DD5C52" w:rsidRPr="00DD5C52" w:rsidRDefault="00DD5C52" w:rsidP="00DD5C52">
      <w:pPr>
        <w:pStyle w:val="AttorneyName"/>
        <w:widowControl w:val="0"/>
        <w:spacing w:line="480" w:lineRule="auto"/>
        <w:ind w:right="187" w:firstLine="720"/>
        <w:jc w:val="both"/>
        <w:rPr>
          <w:rFonts w:ascii="Times New Roman" w:hAnsi="Times New Roman"/>
          <w:sz w:val="28"/>
          <w:szCs w:val="28"/>
        </w:rPr>
      </w:pPr>
      <w:r w:rsidRPr="00DD5C52">
        <w:rPr>
          <w:rFonts w:ascii="Times New Roman" w:hAnsi="Times New Roman"/>
          <w:sz w:val="28"/>
          <w:szCs w:val="28"/>
        </w:rPr>
        <w:t xml:space="preserve">Unlike the compulsory Court arbitration service mandated  by Rule 72 and recognized by Supreme Court Rule 45(a)4, the equally important (if not more so) service as a fee dispute arbitrator is voluntary. </w:t>
      </w:r>
    </w:p>
    <w:p w:rsidR="00DD5C52" w:rsidRPr="00DD5C52" w:rsidRDefault="00DD5C52" w:rsidP="00DD5C52">
      <w:pPr>
        <w:pStyle w:val="AttorneyName"/>
        <w:widowControl w:val="0"/>
        <w:spacing w:line="480" w:lineRule="auto"/>
        <w:ind w:right="187" w:firstLine="720"/>
        <w:jc w:val="both"/>
        <w:rPr>
          <w:rFonts w:ascii="Times New Roman" w:hAnsi="Times New Roman"/>
          <w:iCs/>
          <w:sz w:val="28"/>
          <w:szCs w:val="28"/>
          <w:lang w:bidi="en-US"/>
        </w:rPr>
      </w:pPr>
      <w:r w:rsidRPr="00DD5C52">
        <w:rPr>
          <w:rFonts w:ascii="Times New Roman" w:hAnsi="Times New Roman"/>
          <w:sz w:val="28"/>
          <w:szCs w:val="28"/>
        </w:rPr>
        <w:t xml:space="preserve">As noted, this Court has an established policy favoring arbitration and particularly in this area of client/attorney relations. Hearings often consume a half day or more, and in the majority of cases the client appears “pro per.” Decisions are generally final and binding unlike the Court mandated Rule 72 arbitration hearings.  Having senior and experienced attorneys serve as fee arbitrators is doubly important- not only for appearance, but also for the benefit of wisdom gained from years of practice.  The Bar has a difficulty finding sufficient volunteers, with many having to serve on several cases over the course of a year to keep ahead of demand.  Accordingly, to encourage participation by more senior members of the Bar; acknowledgement by way of a CLE credit would be </w:t>
      </w:r>
      <w:r w:rsidRPr="00DD5C52">
        <w:rPr>
          <w:rFonts w:ascii="Times New Roman" w:hAnsi="Times New Roman"/>
          <w:iCs/>
          <w:sz w:val="28"/>
          <w:szCs w:val="28"/>
          <w:lang w:bidi="en-US"/>
        </w:rPr>
        <w:t xml:space="preserve">at least minimal compensation for their time. </w:t>
      </w:r>
    </w:p>
    <w:p w:rsidR="00DD5C52" w:rsidRPr="00DD5C52" w:rsidRDefault="00DD5C52" w:rsidP="00DD5C52">
      <w:pPr>
        <w:pStyle w:val="AttorneyName"/>
        <w:widowControl w:val="0"/>
        <w:spacing w:line="480" w:lineRule="auto"/>
        <w:ind w:right="187" w:firstLine="720"/>
        <w:jc w:val="both"/>
        <w:rPr>
          <w:rFonts w:ascii="Times New Roman" w:hAnsi="Times New Roman"/>
          <w:sz w:val="28"/>
          <w:szCs w:val="28"/>
        </w:rPr>
      </w:pPr>
      <w:r w:rsidRPr="00DD5C52">
        <w:rPr>
          <w:rFonts w:ascii="Times New Roman" w:hAnsi="Times New Roman"/>
          <w:iCs/>
          <w:sz w:val="28"/>
          <w:szCs w:val="28"/>
          <w:lang w:bidi="en-US"/>
        </w:rPr>
        <w:t xml:space="preserve">Every year more disputes are brought to the Bar for resolution, and the current cadre of volunteers is hard pressed to keep ahead. </w:t>
      </w:r>
      <w:r w:rsidRPr="00DD5C52">
        <w:rPr>
          <w:rFonts w:ascii="Times New Roman" w:hAnsi="Times New Roman"/>
          <w:sz w:val="28"/>
          <w:szCs w:val="28"/>
        </w:rPr>
        <w:t xml:space="preserve">This problem is so urgent that it requires some additional incentive aside from philanthropy to fill the ranks of those willing to serve. </w:t>
      </w:r>
    </w:p>
    <w:p w:rsidR="00DD5C52" w:rsidRPr="00DD5C52" w:rsidRDefault="00DD5C52" w:rsidP="00DD5C52">
      <w:pPr>
        <w:pStyle w:val="AttorneyName"/>
        <w:widowControl w:val="0"/>
        <w:spacing w:line="480" w:lineRule="auto"/>
        <w:ind w:right="187"/>
        <w:jc w:val="center"/>
        <w:rPr>
          <w:rFonts w:ascii="Times New Roman" w:hAnsi="Times New Roman"/>
          <w:b/>
          <w:sz w:val="28"/>
          <w:szCs w:val="28"/>
        </w:rPr>
      </w:pPr>
      <w:r w:rsidRPr="00DD5C52">
        <w:rPr>
          <w:rFonts w:ascii="Times New Roman" w:hAnsi="Times New Roman"/>
          <w:b/>
          <w:sz w:val="28"/>
          <w:szCs w:val="28"/>
        </w:rPr>
        <w:t>The Petitioner</w:t>
      </w:r>
    </w:p>
    <w:p w:rsidR="00DD5C52" w:rsidRPr="00DD5C52" w:rsidRDefault="00DD5C52" w:rsidP="00DD5C52">
      <w:pPr>
        <w:pStyle w:val="AttorneyName"/>
        <w:widowControl w:val="0"/>
        <w:spacing w:line="480" w:lineRule="auto"/>
        <w:ind w:right="187" w:firstLine="720"/>
        <w:jc w:val="both"/>
        <w:rPr>
          <w:rFonts w:ascii="Times New Roman" w:hAnsi="Times New Roman"/>
          <w:sz w:val="28"/>
          <w:szCs w:val="28"/>
        </w:rPr>
      </w:pPr>
      <w:r w:rsidRPr="00DD5C52">
        <w:rPr>
          <w:rFonts w:ascii="Times New Roman" w:hAnsi="Times New Roman"/>
          <w:sz w:val="28"/>
          <w:szCs w:val="28"/>
        </w:rPr>
        <w:t xml:space="preserve">Petitioners are members of the Fee Arbitration Committee. It is the sole Arizona Bar Committee expressly dedicated to protecting the rights of clients from alleged over-charging of fees. </w:t>
      </w:r>
    </w:p>
    <w:p w:rsidR="00DD5C52" w:rsidRPr="00DD5C52" w:rsidRDefault="00DD5C52" w:rsidP="00DD5C52">
      <w:pPr>
        <w:pStyle w:val="AttorneyName"/>
        <w:widowControl w:val="0"/>
        <w:spacing w:line="360" w:lineRule="auto"/>
        <w:ind w:left="360" w:right="187"/>
        <w:jc w:val="center"/>
        <w:rPr>
          <w:rFonts w:ascii="Times New Roman" w:hAnsi="Times New Roman"/>
          <w:b/>
          <w:sz w:val="28"/>
          <w:szCs w:val="28"/>
        </w:rPr>
      </w:pPr>
      <w:r w:rsidRPr="00DD5C52">
        <w:rPr>
          <w:rFonts w:ascii="Times New Roman" w:hAnsi="Times New Roman"/>
          <w:b/>
          <w:sz w:val="28"/>
          <w:szCs w:val="28"/>
        </w:rPr>
        <w:t>Conclusion</w:t>
      </w:r>
    </w:p>
    <w:p w:rsidR="00DD5C52" w:rsidRPr="00DD5C52" w:rsidRDefault="00DD5C52" w:rsidP="00DD5C52">
      <w:pPr>
        <w:pStyle w:val="AttorneyName"/>
        <w:widowControl w:val="0"/>
        <w:spacing w:line="480" w:lineRule="auto"/>
        <w:ind w:right="187"/>
        <w:jc w:val="both"/>
        <w:rPr>
          <w:rFonts w:ascii="Times New Roman" w:hAnsi="Times New Roman"/>
          <w:sz w:val="28"/>
          <w:szCs w:val="28"/>
        </w:rPr>
      </w:pPr>
      <w:r w:rsidRPr="00DD5C52">
        <w:rPr>
          <w:rFonts w:ascii="Times New Roman" w:hAnsi="Times New Roman"/>
          <w:sz w:val="28"/>
          <w:szCs w:val="28"/>
        </w:rPr>
        <w:tab/>
        <w:t>For the foregoing reasons, Petitioners ask this Court to amend Arizona Supreme Court Rule 45(a) by adding a sub clause 5 as follows</w:t>
      </w:r>
      <w:r w:rsidR="002106D1">
        <w:rPr>
          <w:rFonts w:ascii="Times New Roman" w:hAnsi="Times New Roman"/>
          <w:sz w:val="28"/>
          <w:szCs w:val="28"/>
        </w:rPr>
        <w:t>:</w:t>
      </w:r>
    </w:p>
    <w:p w:rsidR="00DD5C52" w:rsidRPr="00DD5C52" w:rsidRDefault="00DD5C52" w:rsidP="00DD5C52">
      <w:pPr>
        <w:pStyle w:val="AttorneyName"/>
        <w:widowControl w:val="0"/>
        <w:spacing w:line="480" w:lineRule="auto"/>
        <w:ind w:right="187" w:firstLine="720"/>
        <w:jc w:val="both"/>
        <w:rPr>
          <w:rFonts w:ascii="Times New Roman" w:hAnsi="Times New Roman"/>
          <w:b/>
          <w:i/>
          <w:color w:val="000000"/>
          <w:sz w:val="28"/>
          <w:szCs w:val="28"/>
        </w:rPr>
      </w:pPr>
      <w:r w:rsidRPr="00DD5C52">
        <w:rPr>
          <w:rFonts w:ascii="Times New Roman" w:hAnsi="Times New Roman"/>
          <w:color w:val="000000"/>
          <w:sz w:val="28"/>
          <w:szCs w:val="28"/>
        </w:rPr>
        <w:t>“</w:t>
      </w:r>
      <w:r w:rsidRPr="00DD5C52">
        <w:rPr>
          <w:rFonts w:ascii="Times New Roman" w:hAnsi="Times New Roman"/>
          <w:b/>
          <w:i/>
          <w:color w:val="000000"/>
          <w:sz w:val="28"/>
          <w:szCs w:val="28"/>
        </w:rPr>
        <w:t>5. An active member of the bar, not exempted, who serves as an arbitrator for a fee dispute resolution under the auspices of the State Bar Fee Arbitration Committee is eligible for one hour of professional responsibility continuing legal education activity credit  for each hearing actually conducted, to a maximum of</w:t>
      </w:r>
      <w:r w:rsidRPr="00DD5C52">
        <w:rPr>
          <w:rFonts w:ascii="Times New Roman" w:hAnsi="Times New Roman"/>
          <w:color w:val="000000"/>
          <w:sz w:val="28"/>
          <w:szCs w:val="28"/>
        </w:rPr>
        <w:t xml:space="preserve"> </w:t>
      </w:r>
      <w:r w:rsidRPr="00DD5C52">
        <w:rPr>
          <w:rFonts w:ascii="Times New Roman" w:hAnsi="Times New Roman"/>
          <w:b/>
          <w:i/>
          <w:color w:val="000000"/>
          <w:sz w:val="28"/>
          <w:szCs w:val="28"/>
        </w:rPr>
        <w:t>two hours credit in any educational year, and this credit shall be applied to satisfying the required three hours of professional responsibility mandated for that educational year.”</w:t>
      </w:r>
    </w:p>
    <w:p w:rsidR="00DD5C52" w:rsidRPr="00DD5C52" w:rsidRDefault="00DD5C52" w:rsidP="00DD5C52">
      <w:pPr>
        <w:pStyle w:val="AttorneyName"/>
        <w:widowControl w:val="0"/>
        <w:spacing w:line="480" w:lineRule="auto"/>
        <w:ind w:right="187" w:firstLine="720"/>
        <w:jc w:val="both"/>
        <w:rPr>
          <w:rFonts w:ascii="Times New Roman" w:hAnsi="Times New Roman"/>
          <w:sz w:val="28"/>
          <w:szCs w:val="28"/>
        </w:rPr>
      </w:pPr>
      <w:r w:rsidRPr="00DD5C52">
        <w:rPr>
          <w:rFonts w:ascii="Times New Roman" w:hAnsi="Times New Roman"/>
          <w:sz w:val="28"/>
          <w:szCs w:val="28"/>
        </w:rPr>
        <w:t xml:space="preserve"> Specifically, Petitioners request the Court adopt, an amendment to Arizona Rule of the Supreme Court 45, the proposed language in Exhibit 1</w:t>
      </w:r>
      <w:r w:rsidR="00BA40BB">
        <w:rPr>
          <w:rFonts w:ascii="Times New Roman" w:hAnsi="Times New Roman"/>
          <w:sz w:val="28"/>
          <w:szCs w:val="28"/>
        </w:rPr>
        <w:t>.</w:t>
      </w:r>
    </w:p>
    <w:p w:rsidR="00DD5C52" w:rsidRDefault="00DD5C52" w:rsidP="00DD5C52">
      <w:pPr>
        <w:pStyle w:val="AttorneyName"/>
        <w:widowControl w:val="0"/>
        <w:spacing w:line="360" w:lineRule="auto"/>
        <w:ind w:right="187"/>
        <w:jc w:val="both"/>
        <w:rPr>
          <w:rFonts w:ascii="Times New Roman" w:hAnsi="Times New Roman"/>
          <w:sz w:val="28"/>
          <w:szCs w:val="28"/>
        </w:rPr>
      </w:pPr>
      <w:r w:rsidRPr="00DD5C52">
        <w:rPr>
          <w:rFonts w:ascii="Times New Roman" w:hAnsi="Times New Roman"/>
          <w:sz w:val="28"/>
          <w:szCs w:val="28"/>
        </w:rPr>
        <w:tab/>
      </w:r>
      <w:r w:rsidRPr="00DD5C52">
        <w:rPr>
          <w:rFonts w:ascii="Times New Roman" w:hAnsi="Times New Roman"/>
          <w:b/>
          <w:sz w:val="28"/>
          <w:szCs w:val="28"/>
        </w:rPr>
        <w:t xml:space="preserve">DATED </w:t>
      </w:r>
      <w:r w:rsidRPr="00DD5C52">
        <w:rPr>
          <w:rFonts w:ascii="Times New Roman" w:hAnsi="Times New Roman"/>
          <w:sz w:val="28"/>
          <w:szCs w:val="28"/>
        </w:rPr>
        <w:t>this</w:t>
      </w:r>
      <w:r w:rsidR="00BA40BB">
        <w:rPr>
          <w:rFonts w:ascii="Times New Roman" w:hAnsi="Times New Roman"/>
          <w:sz w:val="28"/>
          <w:szCs w:val="28"/>
        </w:rPr>
        <w:t xml:space="preserve"> 10th</w:t>
      </w:r>
      <w:r w:rsidRPr="00DD5C52">
        <w:rPr>
          <w:rFonts w:ascii="Times New Roman" w:hAnsi="Times New Roman"/>
          <w:sz w:val="28"/>
          <w:szCs w:val="28"/>
        </w:rPr>
        <w:t xml:space="preserve"> day of </w:t>
      </w:r>
      <w:r w:rsidR="00BA40BB">
        <w:rPr>
          <w:rFonts w:ascii="Times New Roman" w:hAnsi="Times New Roman"/>
          <w:sz w:val="28"/>
          <w:szCs w:val="28"/>
        </w:rPr>
        <w:t>December</w:t>
      </w:r>
      <w:r w:rsidRPr="00DD5C52">
        <w:rPr>
          <w:rFonts w:ascii="Times New Roman" w:hAnsi="Times New Roman"/>
          <w:sz w:val="28"/>
          <w:szCs w:val="28"/>
        </w:rPr>
        <w:t>, 2013</w:t>
      </w:r>
      <w:r w:rsidR="00BA40BB">
        <w:rPr>
          <w:rFonts w:ascii="Times New Roman" w:hAnsi="Times New Roman"/>
          <w:sz w:val="28"/>
          <w:szCs w:val="28"/>
        </w:rPr>
        <w:t>.</w:t>
      </w:r>
    </w:p>
    <w:p w:rsidR="002106D1" w:rsidRDefault="002106D1" w:rsidP="005E6889">
      <w:pPr>
        <w:pStyle w:val="AttorneyName"/>
        <w:widowControl w:val="0"/>
        <w:spacing w:line="240" w:lineRule="auto"/>
        <w:ind w:right="187" w:firstLine="720"/>
        <w:jc w:val="both"/>
        <w:rPr>
          <w:rFonts w:ascii="Times New Roman" w:hAnsi="Times New Roman"/>
          <w:sz w:val="28"/>
          <w:szCs w:val="28"/>
          <w:u w:val="single"/>
        </w:rPr>
      </w:pPr>
    </w:p>
    <w:p w:rsidR="00BA40BB" w:rsidRPr="00BA40BB" w:rsidRDefault="00BA40BB" w:rsidP="005E6889">
      <w:pPr>
        <w:pStyle w:val="AttorneyName"/>
        <w:widowControl w:val="0"/>
        <w:spacing w:line="240" w:lineRule="auto"/>
        <w:ind w:right="187" w:firstLine="720"/>
        <w:jc w:val="both"/>
        <w:rPr>
          <w:rFonts w:ascii="Times New Roman" w:hAnsi="Times New Roman"/>
          <w:sz w:val="28"/>
          <w:szCs w:val="28"/>
        </w:rPr>
      </w:pPr>
      <w:r>
        <w:rPr>
          <w:rFonts w:ascii="Times New Roman" w:hAnsi="Times New Roman"/>
          <w:sz w:val="28"/>
          <w:szCs w:val="28"/>
          <w:u w:val="single"/>
        </w:rPr>
        <w:t>/s/ Mervyn T. Braude</w:t>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u w:val="single"/>
        </w:rPr>
        <w:t>/s/ Thomas Moring</w:t>
      </w:r>
      <w:r>
        <w:rPr>
          <w:rFonts w:ascii="Times New Roman" w:hAnsi="Times New Roman"/>
          <w:sz w:val="28"/>
          <w:szCs w:val="28"/>
        </w:rPr>
        <w:tab/>
      </w:r>
      <w:r>
        <w:rPr>
          <w:rFonts w:ascii="Times New Roman" w:hAnsi="Times New Roman"/>
          <w:sz w:val="28"/>
          <w:szCs w:val="28"/>
        </w:rPr>
        <w:tab/>
      </w:r>
    </w:p>
    <w:p w:rsidR="00BA40BB" w:rsidRDefault="006748DF" w:rsidP="005E6889">
      <w:pPr>
        <w:pStyle w:val="AttorneyName"/>
        <w:widowControl w:val="0"/>
        <w:spacing w:line="240" w:lineRule="auto"/>
        <w:ind w:right="187" w:firstLine="720"/>
        <w:jc w:val="both"/>
        <w:rPr>
          <w:rFonts w:ascii="Times New Roman" w:hAnsi="Times New Roman"/>
          <w:sz w:val="28"/>
          <w:szCs w:val="28"/>
        </w:rPr>
      </w:pPr>
      <w:hyperlink r:id="rId11" w:history="1">
        <w:r w:rsidR="00BA40BB" w:rsidRPr="00435E33">
          <w:rPr>
            <w:rStyle w:val="Hyperlink"/>
            <w:rFonts w:ascii="Times New Roman" w:hAnsi="Times New Roman"/>
            <w:sz w:val="28"/>
            <w:szCs w:val="28"/>
          </w:rPr>
          <w:t>mtb@jaburgwilk.com</w:t>
        </w:r>
      </w:hyperlink>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hyperlink r:id="rId12" w:history="1">
        <w:r w:rsidR="00DF3DE2" w:rsidRPr="00F60DD8">
          <w:rPr>
            <w:rStyle w:val="Hyperlink"/>
            <w:rFonts w:ascii="Times New Roman" w:hAnsi="Times New Roman"/>
            <w:sz w:val="28"/>
            <w:szCs w:val="28"/>
          </w:rPr>
          <w:t>tom@pakmoring.com</w:t>
        </w:r>
      </w:hyperlink>
    </w:p>
    <w:p w:rsidR="00BA40BB" w:rsidRDefault="00BA40BB" w:rsidP="005E6889">
      <w:pPr>
        <w:pStyle w:val="AttorneyName"/>
        <w:widowControl w:val="0"/>
        <w:spacing w:line="240" w:lineRule="auto"/>
        <w:ind w:right="187"/>
        <w:jc w:val="both"/>
        <w:rPr>
          <w:rFonts w:ascii="Times New Roman" w:hAnsi="Times New Roman"/>
          <w:sz w:val="28"/>
          <w:szCs w:val="28"/>
        </w:rPr>
      </w:pPr>
    </w:p>
    <w:p w:rsidR="00BA40BB" w:rsidRPr="005E6889" w:rsidRDefault="00BA40BB" w:rsidP="005E6889">
      <w:pPr>
        <w:pStyle w:val="AttorneyName"/>
        <w:widowControl w:val="0"/>
        <w:spacing w:line="240" w:lineRule="auto"/>
        <w:ind w:right="187" w:firstLine="720"/>
        <w:jc w:val="both"/>
        <w:rPr>
          <w:rFonts w:ascii="Times New Roman" w:hAnsi="Times New Roman"/>
          <w:sz w:val="28"/>
          <w:szCs w:val="28"/>
          <w:u w:val="single"/>
        </w:rPr>
      </w:pPr>
      <w:r>
        <w:rPr>
          <w:rFonts w:ascii="Times New Roman" w:hAnsi="Times New Roman"/>
          <w:sz w:val="28"/>
          <w:szCs w:val="28"/>
          <w:u w:val="single"/>
        </w:rPr>
        <w:t>/s/ Krista Carman</w:t>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u w:val="single"/>
        </w:rPr>
        <w:t>/s/ Jill Casson Owen</w:t>
      </w:r>
    </w:p>
    <w:p w:rsidR="00BA40BB" w:rsidRDefault="006748DF" w:rsidP="005E6889">
      <w:pPr>
        <w:pStyle w:val="AttorneyName"/>
        <w:widowControl w:val="0"/>
        <w:spacing w:line="240" w:lineRule="auto"/>
        <w:ind w:right="187" w:firstLine="720"/>
        <w:jc w:val="both"/>
        <w:rPr>
          <w:rFonts w:ascii="Times New Roman" w:hAnsi="Times New Roman"/>
          <w:sz w:val="28"/>
          <w:szCs w:val="28"/>
        </w:rPr>
      </w:pPr>
      <w:hyperlink r:id="rId13" w:history="1">
        <w:r w:rsidR="00BA40BB" w:rsidRPr="00435E33">
          <w:rPr>
            <w:rStyle w:val="Hyperlink"/>
            <w:rFonts w:ascii="Times New Roman" w:hAnsi="Times New Roman"/>
            <w:sz w:val="28"/>
            <w:szCs w:val="28"/>
          </w:rPr>
          <w:t>kcarman@lawwmc.com</w:t>
        </w:r>
      </w:hyperlink>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hyperlink r:id="rId14" w:history="1">
        <w:r w:rsidR="00DF3DE2" w:rsidRPr="00F60DD8">
          <w:rPr>
            <w:rStyle w:val="Hyperlink"/>
            <w:rFonts w:ascii="Times New Roman" w:hAnsi="Times New Roman"/>
            <w:sz w:val="28"/>
            <w:szCs w:val="28"/>
          </w:rPr>
          <w:t>jowen@swlaw.com</w:t>
        </w:r>
      </w:hyperlink>
    </w:p>
    <w:p w:rsidR="00BA40BB" w:rsidRDefault="00BA40BB" w:rsidP="005E6889">
      <w:pPr>
        <w:pStyle w:val="AttorneyName"/>
        <w:widowControl w:val="0"/>
        <w:spacing w:line="240" w:lineRule="auto"/>
        <w:ind w:right="187"/>
        <w:jc w:val="both"/>
        <w:rPr>
          <w:rFonts w:ascii="Times New Roman" w:hAnsi="Times New Roman"/>
          <w:sz w:val="28"/>
          <w:szCs w:val="28"/>
        </w:rPr>
      </w:pPr>
    </w:p>
    <w:p w:rsidR="00BA40BB" w:rsidRPr="005E6889" w:rsidRDefault="00BA40BB" w:rsidP="005E6889">
      <w:pPr>
        <w:pStyle w:val="AttorneyName"/>
        <w:widowControl w:val="0"/>
        <w:spacing w:line="240" w:lineRule="auto"/>
        <w:ind w:right="187" w:firstLine="720"/>
        <w:jc w:val="both"/>
        <w:rPr>
          <w:rFonts w:ascii="Times New Roman" w:hAnsi="Times New Roman"/>
          <w:sz w:val="28"/>
          <w:szCs w:val="28"/>
          <w:u w:val="single"/>
        </w:rPr>
      </w:pPr>
      <w:r>
        <w:rPr>
          <w:rFonts w:ascii="Times New Roman" w:hAnsi="Times New Roman"/>
          <w:sz w:val="28"/>
          <w:szCs w:val="28"/>
          <w:u w:val="single"/>
        </w:rPr>
        <w:t>/s/ William W. Fife, III</w:t>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u w:val="single"/>
        </w:rPr>
        <w:t>/s/ Michael R. Perry</w:t>
      </w:r>
    </w:p>
    <w:p w:rsidR="00BA40BB" w:rsidRDefault="006748DF" w:rsidP="005E6889">
      <w:pPr>
        <w:pStyle w:val="AttorneyName"/>
        <w:widowControl w:val="0"/>
        <w:spacing w:line="240" w:lineRule="auto"/>
        <w:ind w:right="187" w:firstLine="720"/>
        <w:jc w:val="both"/>
        <w:rPr>
          <w:rFonts w:ascii="Times New Roman" w:hAnsi="Times New Roman"/>
          <w:sz w:val="28"/>
          <w:szCs w:val="28"/>
        </w:rPr>
      </w:pPr>
      <w:hyperlink r:id="rId15" w:history="1">
        <w:r w:rsidR="00BA40BB" w:rsidRPr="00435E33">
          <w:rPr>
            <w:rStyle w:val="Hyperlink"/>
            <w:rFonts w:ascii="Times New Roman" w:hAnsi="Times New Roman"/>
            <w:sz w:val="28"/>
            <w:szCs w:val="28"/>
          </w:rPr>
          <w:t>wfife@fifecestalaw.com</w:t>
        </w:r>
      </w:hyperlink>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hyperlink r:id="rId16" w:history="1">
        <w:r w:rsidR="00DF3DE2" w:rsidRPr="00F60DD8">
          <w:rPr>
            <w:rStyle w:val="Hyperlink"/>
            <w:rFonts w:ascii="Times New Roman" w:hAnsi="Times New Roman"/>
            <w:sz w:val="28"/>
            <w:szCs w:val="28"/>
          </w:rPr>
          <w:t>mrperry@pchhlaw.com</w:t>
        </w:r>
      </w:hyperlink>
    </w:p>
    <w:p w:rsidR="00BA40BB" w:rsidRDefault="00BA40BB" w:rsidP="005E6889">
      <w:pPr>
        <w:pStyle w:val="AttorneyName"/>
        <w:widowControl w:val="0"/>
        <w:spacing w:line="240" w:lineRule="auto"/>
        <w:ind w:right="187" w:firstLine="720"/>
        <w:jc w:val="both"/>
        <w:rPr>
          <w:rFonts w:ascii="Times New Roman" w:hAnsi="Times New Roman"/>
          <w:sz w:val="28"/>
          <w:szCs w:val="28"/>
        </w:rPr>
      </w:pPr>
    </w:p>
    <w:p w:rsidR="00BA40BB" w:rsidRPr="005E6889" w:rsidRDefault="00BA40BB" w:rsidP="005E6889">
      <w:pPr>
        <w:pStyle w:val="AttorneyName"/>
        <w:widowControl w:val="0"/>
        <w:spacing w:line="240" w:lineRule="auto"/>
        <w:ind w:right="187" w:firstLine="720"/>
        <w:jc w:val="both"/>
        <w:rPr>
          <w:rFonts w:ascii="Times New Roman" w:hAnsi="Times New Roman"/>
          <w:sz w:val="28"/>
          <w:szCs w:val="28"/>
          <w:u w:val="single"/>
        </w:rPr>
      </w:pPr>
      <w:r w:rsidRPr="00BA40BB">
        <w:rPr>
          <w:rFonts w:ascii="Times New Roman" w:hAnsi="Times New Roman"/>
          <w:sz w:val="28"/>
          <w:szCs w:val="28"/>
          <w:u w:val="single"/>
        </w:rPr>
        <w:t>/s/ Gregg Clarke Gibbons</w:t>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u w:val="single"/>
        </w:rPr>
        <w:t>/s/ Michael R. Palumbo</w:t>
      </w:r>
    </w:p>
    <w:p w:rsidR="00BA40BB" w:rsidRDefault="006748DF" w:rsidP="005E6889">
      <w:pPr>
        <w:pStyle w:val="AttorneyName"/>
        <w:widowControl w:val="0"/>
        <w:spacing w:line="240" w:lineRule="auto"/>
        <w:ind w:right="187" w:firstLine="720"/>
        <w:jc w:val="both"/>
        <w:rPr>
          <w:rFonts w:ascii="Times New Roman" w:hAnsi="Times New Roman"/>
          <w:sz w:val="28"/>
          <w:szCs w:val="28"/>
        </w:rPr>
      </w:pPr>
      <w:hyperlink r:id="rId17" w:history="1">
        <w:r w:rsidR="00BA40BB" w:rsidRPr="00435E33">
          <w:rPr>
            <w:rStyle w:val="Hyperlink"/>
            <w:rFonts w:ascii="Times New Roman" w:hAnsi="Times New Roman"/>
            <w:sz w:val="28"/>
            <w:szCs w:val="28"/>
          </w:rPr>
          <w:t>giblaw@mindspring.com</w:t>
        </w:r>
      </w:hyperlink>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hyperlink r:id="rId18" w:history="1">
        <w:r w:rsidR="00DF3DE2" w:rsidRPr="00F60DD8">
          <w:rPr>
            <w:rStyle w:val="Hyperlink"/>
            <w:rFonts w:ascii="Times New Roman" w:hAnsi="Times New Roman"/>
            <w:sz w:val="28"/>
            <w:szCs w:val="28"/>
          </w:rPr>
          <w:t>mpalumbo@jsslaw.com</w:t>
        </w:r>
      </w:hyperlink>
    </w:p>
    <w:p w:rsidR="00BA40BB" w:rsidRDefault="00BA40BB" w:rsidP="005E6889">
      <w:pPr>
        <w:pStyle w:val="AttorneyName"/>
        <w:widowControl w:val="0"/>
        <w:spacing w:line="240" w:lineRule="auto"/>
        <w:ind w:right="187" w:firstLine="720"/>
        <w:jc w:val="both"/>
        <w:rPr>
          <w:rFonts w:ascii="Times New Roman" w:hAnsi="Times New Roman"/>
          <w:sz w:val="28"/>
          <w:szCs w:val="28"/>
        </w:rPr>
      </w:pPr>
    </w:p>
    <w:p w:rsidR="00BA40BB" w:rsidRPr="005E6889" w:rsidRDefault="00BA40BB" w:rsidP="005E6889">
      <w:pPr>
        <w:pStyle w:val="AttorneyName"/>
        <w:widowControl w:val="0"/>
        <w:spacing w:line="240" w:lineRule="auto"/>
        <w:ind w:right="187" w:firstLine="720"/>
        <w:jc w:val="both"/>
        <w:rPr>
          <w:rFonts w:ascii="Times New Roman" w:hAnsi="Times New Roman"/>
          <w:sz w:val="28"/>
          <w:szCs w:val="28"/>
          <w:u w:val="single"/>
        </w:rPr>
      </w:pPr>
      <w:r>
        <w:rPr>
          <w:rFonts w:ascii="Times New Roman" w:hAnsi="Times New Roman"/>
          <w:sz w:val="28"/>
          <w:szCs w:val="28"/>
          <w:u w:val="single"/>
        </w:rPr>
        <w:t>/s/ Christopher D. Graham</w:t>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u w:val="single"/>
        </w:rPr>
        <w:t>/s/ Frank I. Powers</w:t>
      </w:r>
    </w:p>
    <w:p w:rsidR="00BA40BB" w:rsidRDefault="006748DF" w:rsidP="005E6889">
      <w:pPr>
        <w:pStyle w:val="AttorneyName"/>
        <w:widowControl w:val="0"/>
        <w:spacing w:line="240" w:lineRule="auto"/>
        <w:ind w:right="187" w:firstLine="720"/>
        <w:jc w:val="both"/>
        <w:rPr>
          <w:rFonts w:ascii="Times New Roman" w:hAnsi="Times New Roman"/>
          <w:sz w:val="28"/>
          <w:szCs w:val="28"/>
        </w:rPr>
      </w:pPr>
      <w:hyperlink r:id="rId19" w:history="1">
        <w:r w:rsidR="00BA40BB" w:rsidRPr="00435E33">
          <w:rPr>
            <w:rStyle w:val="Hyperlink"/>
            <w:rFonts w:ascii="Times New Roman" w:hAnsi="Times New Roman"/>
            <w:sz w:val="28"/>
            <w:szCs w:val="28"/>
          </w:rPr>
          <w:t>chris@grahamlawaz.com</w:t>
        </w:r>
      </w:hyperlink>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t xml:space="preserve">        </w:t>
      </w:r>
      <w:hyperlink r:id="rId20" w:history="1">
        <w:r w:rsidR="00DF3DE2" w:rsidRPr="00F60DD8">
          <w:rPr>
            <w:rStyle w:val="Hyperlink"/>
            <w:rFonts w:ascii="Times New Roman" w:hAnsi="Times New Roman"/>
            <w:sz w:val="28"/>
            <w:szCs w:val="28"/>
          </w:rPr>
          <w:t>FPowers@HPC-Lawyers.com</w:t>
        </w:r>
      </w:hyperlink>
    </w:p>
    <w:p w:rsidR="00BA40BB" w:rsidRDefault="00BA40BB" w:rsidP="005E6889">
      <w:pPr>
        <w:pStyle w:val="AttorneyName"/>
        <w:widowControl w:val="0"/>
        <w:spacing w:line="240" w:lineRule="auto"/>
        <w:ind w:right="187" w:firstLine="720"/>
        <w:jc w:val="both"/>
        <w:rPr>
          <w:rFonts w:ascii="Times New Roman" w:hAnsi="Times New Roman"/>
          <w:sz w:val="28"/>
          <w:szCs w:val="28"/>
        </w:rPr>
      </w:pPr>
    </w:p>
    <w:p w:rsidR="00BA40BB" w:rsidRPr="005E6889" w:rsidRDefault="00BA40BB" w:rsidP="005E6889">
      <w:pPr>
        <w:pStyle w:val="AttorneyName"/>
        <w:widowControl w:val="0"/>
        <w:spacing w:line="240" w:lineRule="auto"/>
        <w:ind w:right="187" w:firstLine="720"/>
        <w:jc w:val="both"/>
        <w:rPr>
          <w:rFonts w:ascii="Times New Roman" w:hAnsi="Times New Roman"/>
          <w:sz w:val="28"/>
          <w:szCs w:val="28"/>
          <w:u w:val="single"/>
        </w:rPr>
      </w:pPr>
      <w:r>
        <w:rPr>
          <w:rFonts w:ascii="Times New Roman" w:hAnsi="Times New Roman"/>
          <w:sz w:val="28"/>
          <w:szCs w:val="28"/>
          <w:u w:val="single"/>
        </w:rPr>
        <w:t>/s/ John A. Gravina</w:t>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u w:val="single"/>
        </w:rPr>
        <w:t>/s/ Tevis Steven Reich</w:t>
      </w:r>
    </w:p>
    <w:p w:rsidR="00BA40BB" w:rsidRDefault="006748DF" w:rsidP="005E6889">
      <w:pPr>
        <w:pStyle w:val="AttorneyName"/>
        <w:widowControl w:val="0"/>
        <w:spacing w:line="240" w:lineRule="auto"/>
        <w:ind w:right="187" w:firstLine="720"/>
        <w:jc w:val="both"/>
        <w:rPr>
          <w:rFonts w:ascii="Times New Roman" w:hAnsi="Times New Roman"/>
          <w:sz w:val="28"/>
          <w:szCs w:val="28"/>
        </w:rPr>
      </w:pPr>
      <w:hyperlink r:id="rId21" w:history="1">
        <w:r w:rsidR="00BA40BB" w:rsidRPr="00435E33">
          <w:rPr>
            <w:rStyle w:val="Hyperlink"/>
            <w:rFonts w:ascii="Times New Roman" w:hAnsi="Times New Roman"/>
            <w:sz w:val="28"/>
            <w:szCs w:val="28"/>
          </w:rPr>
          <w:t>John.Gravina@azbar.org</w:t>
        </w:r>
      </w:hyperlink>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hyperlink r:id="rId22" w:history="1">
        <w:r w:rsidR="00DF3DE2" w:rsidRPr="00F60DD8">
          <w:rPr>
            <w:rStyle w:val="Hyperlink"/>
            <w:rFonts w:ascii="Times New Roman" w:hAnsi="Times New Roman"/>
            <w:sz w:val="28"/>
            <w:szCs w:val="28"/>
          </w:rPr>
          <w:t>Tevis@TReichlaw.com</w:t>
        </w:r>
      </w:hyperlink>
    </w:p>
    <w:p w:rsidR="005E6889" w:rsidRDefault="005E6889" w:rsidP="005E6889">
      <w:pPr>
        <w:pStyle w:val="AttorneyName"/>
        <w:widowControl w:val="0"/>
        <w:spacing w:line="240" w:lineRule="auto"/>
        <w:ind w:right="187" w:firstLine="720"/>
        <w:jc w:val="both"/>
        <w:rPr>
          <w:rFonts w:ascii="Times New Roman" w:hAnsi="Times New Roman"/>
          <w:sz w:val="28"/>
          <w:szCs w:val="28"/>
          <w:u w:val="single"/>
        </w:rPr>
      </w:pPr>
    </w:p>
    <w:p w:rsidR="00BA40BB" w:rsidRPr="005E6889" w:rsidRDefault="00BA40BB" w:rsidP="005E6889">
      <w:pPr>
        <w:pStyle w:val="AttorneyName"/>
        <w:widowControl w:val="0"/>
        <w:spacing w:line="240" w:lineRule="auto"/>
        <w:ind w:right="187" w:firstLine="720"/>
        <w:jc w:val="both"/>
        <w:rPr>
          <w:rFonts w:ascii="Times New Roman" w:hAnsi="Times New Roman"/>
          <w:sz w:val="28"/>
          <w:szCs w:val="28"/>
          <w:u w:val="single"/>
        </w:rPr>
      </w:pPr>
      <w:r>
        <w:rPr>
          <w:rFonts w:ascii="Times New Roman" w:hAnsi="Times New Roman"/>
          <w:sz w:val="28"/>
          <w:szCs w:val="28"/>
          <w:u w:val="single"/>
        </w:rPr>
        <w:t>/s/ Mark A. Kille</w:t>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u w:val="single"/>
        </w:rPr>
        <w:t>/s/ Sharon A. Urias</w:t>
      </w:r>
    </w:p>
    <w:p w:rsidR="00BA40BB" w:rsidRDefault="006748DF" w:rsidP="005E6889">
      <w:pPr>
        <w:pStyle w:val="AttorneyName"/>
        <w:widowControl w:val="0"/>
        <w:spacing w:line="240" w:lineRule="auto"/>
        <w:ind w:right="187" w:firstLine="720"/>
        <w:jc w:val="both"/>
        <w:rPr>
          <w:rFonts w:ascii="Times New Roman" w:hAnsi="Times New Roman"/>
          <w:sz w:val="28"/>
          <w:szCs w:val="28"/>
        </w:rPr>
      </w:pPr>
      <w:hyperlink r:id="rId23" w:history="1">
        <w:r w:rsidR="00BA40BB" w:rsidRPr="00435E33">
          <w:rPr>
            <w:rStyle w:val="Hyperlink"/>
            <w:rFonts w:ascii="Times New Roman" w:hAnsi="Times New Roman"/>
            <w:sz w:val="28"/>
            <w:szCs w:val="28"/>
          </w:rPr>
          <w:t>mark@northernarizonainjurylaw.com</w:t>
        </w:r>
      </w:hyperlink>
      <w:r w:rsidR="005E6889">
        <w:rPr>
          <w:rFonts w:ascii="Times New Roman" w:hAnsi="Times New Roman"/>
          <w:sz w:val="28"/>
          <w:szCs w:val="28"/>
        </w:rPr>
        <w:tab/>
      </w:r>
      <w:r w:rsidR="005E6889">
        <w:rPr>
          <w:rFonts w:ascii="Times New Roman" w:hAnsi="Times New Roman"/>
          <w:sz w:val="28"/>
          <w:szCs w:val="28"/>
        </w:rPr>
        <w:tab/>
      </w:r>
      <w:hyperlink r:id="rId24" w:history="1">
        <w:r w:rsidR="00DF3DE2" w:rsidRPr="00F60DD8">
          <w:rPr>
            <w:rStyle w:val="Hyperlink"/>
            <w:rFonts w:ascii="Times New Roman" w:hAnsi="Times New Roman"/>
            <w:sz w:val="28"/>
            <w:szCs w:val="28"/>
          </w:rPr>
          <w:t>surias@uriaslaw.com</w:t>
        </w:r>
      </w:hyperlink>
    </w:p>
    <w:p w:rsidR="00BA40BB" w:rsidRDefault="00BA40BB" w:rsidP="005E6889">
      <w:pPr>
        <w:pStyle w:val="AttorneyName"/>
        <w:widowControl w:val="0"/>
        <w:spacing w:line="240" w:lineRule="auto"/>
        <w:ind w:right="187" w:firstLine="720"/>
        <w:jc w:val="both"/>
        <w:rPr>
          <w:rFonts w:ascii="Times New Roman" w:hAnsi="Times New Roman"/>
          <w:sz w:val="28"/>
          <w:szCs w:val="28"/>
        </w:rPr>
      </w:pPr>
    </w:p>
    <w:p w:rsidR="00BA40BB" w:rsidRPr="005E6889" w:rsidRDefault="00BA40BB" w:rsidP="005E6889">
      <w:pPr>
        <w:pStyle w:val="AttorneyName"/>
        <w:widowControl w:val="0"/>
        <w:spacing w:line="240" w:lineRule="auto"/>
        <w:ind w:right="187" w:firstLine="720"/>
        <w:jc w:val="both"/>
        <w:rPr>
          <w:rFonts w:ascii="Times New Roman" w:hAnsi="Times New Roman"/>
          <w:sz w:val="28"/>
          <w:szCs w:val="28"/>
          <w:u w:val="single"/>
        </w:rPr>
      </w:pPr>
      <w:r>
        <w:rPr>
          <w:rFonts w:ascii="Times New Roman" w:hAnsi="Times New Roman"/>
          <w:sz w:val="28"/>
          <w:szCs w:val="28"/>
          <w:u w:val="single"/>
        </w:rPr>
        <w:t>/s/ Edward H. Laber</w:t>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u w:val="single"/>
        </w:rPr>
        <w:t>/s/ Erin Hilary Walz</w:t>
      </w:r>
    </w:p>
    <w:p w:rsidR="00DF3DE2" w:rsidRDefault="006748DF" w:rsidP="005E6889">
      <w:pPr>
        <w:pStyle w:val="AttorneyName"/>
        <w:widowControl w:val="0"/>
        <w:spacing w:line="240" w:lineRule="auto"/>
        <w:ind w:right="187" w:firstLine="720"/>
        <w:jc w:val="both"/>
        <w:rPr>
          <w:rFonts w:ascii="Times New Roman" w:hAnsi="Times New Roman"/>
          <w:sz w:val="28"/>
          <w:szCs w:val="28"/>
        </w:rPr>
      </w:pPr>
      <w:hyperlink r:id="rId25" w:history="1">
        <w:r w:rsidR="00BA40BB" w:rsidRPr="00435E33">
          <w:rPr>
            <w:rStyle w:val="Hyperlink"/>
            <w:rFonts w:ascii="Times New Roman" w:hAnsi="Times New Roman"/>
            <w:sz w:val="28"/>
            <w:szCs w:val="28"/>
          </w:rPr>
          <w:t>ehl@edwardlaber.com</w:t>
        </w:r>
      </w:hyperlink>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hyperlink r:id="rId26" w:history="1">
        <w:r w:rsidR="00DF3DE2" w:rsidRPr="00F60DD8">
          <w:rPr>
            <w:rStyle w:val="Hyperlink"/>
            <w:rFonts w:ascii="Times New Roman" w:hAnsi="Times New Roman"/>
            <w:sz w:val="28"/>
            <w:szCs w:val="28"/>
          </w:rPr>
          <w:t>ehw@udallshumway.com</w:t>
        </w:r>
      </w:hyperlink>
    </w:p>
    <w:p w:rsidR="00BA40BB" w:rsidRDefault="00BA40BB" w:rsidP="005E6889">
      <w:pPr>
        <w:pStyle w:val="AttorneyName"/>
        <w:widowControl w:val="0"/>
        <w:spacing w:line="240" w:lineRule="auto"/>
        <w:ind w:right="187" w:firstLine="720"/>
        <w:jc w:val="both"/>
        <w:rPr>
          <w:rFonts w:ascii="Times New Roman" w:hAnsi="Times New Roman"/>
          <w:sz w:val="28"/>
          <w:szCs w:val="28"/>
        </w:rPr>
      </w:pPr>
    </w:p>
    <w:p w:rsidR="00BA40BB" w:rsidRPr="005E6889" w:rsidRDefault="00BA40BB" w:rsidP="005E6889">
      <w:pPr>
        <w:pStyle w:val="AttorneyName"/>
        <w:widowControl w:val="0"/>
        <w:spacing w:line="240" w:lineRule="auto"/>
        <w:ind w:right="187" w:firstLine="720"/>
        <w:jc w:val="both"/>
        <w:rPr>
          <w:rFonts w:ascii="Times New Roman" w:hAnsi="Times New Roman"/>
          <w:sz w:val="28"/>
          <w:szCs w:val="28"/>
          <w:u w:val="single"/>
        </w:rPr>
      </w:pPr>
      <w:r>
        <w:rPr>
          <w:rFonts w:ascii="Times New Roman" w:hAnsi="Times New Roman"/>
          <w:sz w:val="28"/>
          <w:szCs w:val="28"/>
          <w:u w:val="single"/>
        </w:rPr>
        <w:t>/s/ Mick Levin</w:t>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u w:val="single"/>
        </w:rPr>
        <w:t>/s/ Brian R. Warnock</w:t>
      </w:r>
    </w:p>
    <w:p w:rsidR="00BA40BB" w:rsidRDefault="006748DF" w:rsidP="005E6889">
      <w:pPr>
        <w:pStyle w:val="AttorneyName"/>
        <w:widowControl w:val="0"/>
        <w:spacing w:line="240" w:lineRule="auto"/>
        <w:ind w:right="187" w:firstLine="720"/>
        <w:jc w:val="both"/>
        <w:rPr>
          <w:rFonts w:ascii="Times New Roman" w:hAnsi="Times New Roman"/>
          <w:sz w:val="28"/>
          <w:szCs w:val="28"/>
        </w:rPr>
      </w:pPr>
      <w:hyperlink r:id="rId27" w:history="1">
        <w:r w:rsidR="008E044F" w:rsidRPr="00F60DD8">
          <w:rPr>
            <w:rStyle w:val="Hyperlink"/>
            <w:rFonts w:ascii="Times New Roman" w:hAnsi="Times New Roman"/>
            <w:sz w:val="28"/>
            <w:szCs w:val="28"/>
          </w:rPr>
          <w:t>micklevin@tidmorelaw.com</w:t>
        </w:r>
      </w:hyperlink>
      <w:r w:rsidR="005E6889">
        <w:rPr>
          <w:rFonts w:ascii="Times New Roman" w:hAnsi="Times New Roman"/>
          <w:sz w:val="28"/>
          <w:szCs w:val="28"/>
        </w:rPr>
        <w:tab/>
      </w:r>
      <w:r w:rsidR="005E6889">
        <w:rPr>
          <w:rFonts w:ascii="Times New Roman" w:hAnsi="Times New Roman"/>
          <w:sz w:val="28"/>
          <w:szCs w:val="28"/>
        </w:rPr>
        <w:tab/>
      </w:r>
      <w:r w:rsidR="005E6889">
        <w:rPr>
          <w:rFonts w:ascii="Times New Roman" w:hAnsi="Times New Roman"/>
          <w:sz w:val="28"/>
          <w:szCs w:val="28"/>
        </w:rPr>
        <w:tab/>
      </w:r>
      <w:hyperlink r:id="rId28" w:history="1">
        <w:r w:rsidR="005E6889" w:rsidRPr="00435E33">
          <w:rPr>
            <w:rStyle w:val="Hyperlink"/>
            <w:rFonts w:ascii="Times New Roman" w:hAnsi="Times New Roman"/>
            <w:sz w:val="28"/>
            <w:szCs w:val="28"/>
          </w:rPr>
          <w:t>bwarnock@lawwmc.com</w:t>
        </w:r>
      </w:hyperlink>
    </w:p>
    <w:p w:rsidR="005E6889" w:rsidRDefault="005E6889" w:rsidP="00BA40BB">
      <w:pPr>
        <w:pStyle w:val="AttorneyName"/>
        <w:widowControl w:val="0"/>
        <w:spacing w:line="360" w:lineRule="auto"/>
        <w:ind w:right="187" w:firstLine="720"/>
        <w:jc w:val="both"/>
        <w:rPr>
          <w:rFonts w:ascii="Times New Roman" w:hAnsi="Times New Roman"/>
          <w:sz w:val="28"/>
          <w:szCs w:val="28"/>
        </w:rPr>
      </w:pPr>
    </w:p>
    <w:p w:rsidR="0089702B" w:rsidRDefault="002106D1" w:rsidP="0089702B">
      <w:pPr>
        <w:tabs>
          <w:tab w:val="left" w:pos="-720"/>
        </w:tabs>
        <w:suppressAutoHyphens/>
        <w:spacing w:line="240" w:lineRule="auto"/>
        <w:jc w:val="both"/>
        <w:rPr>
          <w:rFonts w:ascii="Arial" w:hAnsi="Arial" w:cs="Arial"/>
          <w:spacing w:val="-3"/>
          <w:sz w:val="24"/>
          <w:szCs w:val="24"/>
        </w:rPr>
      </w:pPr>
      <w:r>
        <w:rPr>
          <w:rFonts w:ascii="Arial" w:hAnsi="Arial" w:cs="Arial"/>
          <w:spacing w:val="-3"/>
          <w:sz w:val="24"/>
          <w:szCs w:val="24"/>
        </w:rPr>
        <w:t>Electronic</w:t>
      </w:r>
      <w:r w:rsidR="000F3525">
        <w:rPr>
          <w:rFonts w:ascii="Arial" w:hAnsi="Arial" w:cs="Arial"/>
          <w:spacing w:val="-3"/>
          <w:sz w:val="24"/>
          <w:szCs w:val="24"/>
        </w:rPr>
        <w:t>ally</w:t>
      </w:r>
      <w:r>
        <w:rPr>
          <w:rFonts w:ascii="Arial" w:hAnsi="Arial" w:cs="Arial"/>
          <w:spacing w:val="-3"/>
          <w:sz w:val="24"/>
          <w:szCs w:val="24"/>
        </w:rPr>
        <w:t xml:space="preserve"> filed with the Clerk of the</w:t>
      </w:r>
    </w:p>
    <w:p w:rsidR="0089702B" w:rsidRPr="00844786" w:rsidRDefault="002106D1" w:rsidP="0089702B">
      <w:pPr>
        <w:tabs>
          <w:tab w:val="left" w:pos="-720"/>
        </w:tabs>
        <w:suppressAutoHyphens/>
        <w:spacing w:line="240" w:lineRule="auto"/>
        <w:jc w:val="both"/>
        <w:rPr>
          <w:rFonts w:ascii="Arial" w:hAnsi="Arial" w:cs="Arial"/>
          <w:spacing w:val="-3"/>
          <w:sz w:val="24"/>
          <w:szCs w:val="24"/>
        </w:rPr>
      </w:pPr>
      <w:r>
        <w:rPr>
          <w:rFonts w:ascii="Arial" w:hAnsi="Arial" w:cs="Arial"/>
          <w:spacing w:val="-3"/>
          <w:sz w:val="24"/>
          <w:szCs w:val="24"/>
        </w:rPr>
        <w:t xml:space="preserve">Supreme Court of Arizona this </w:t>
      </w:r>
      <w:r w:rsidR="00DF3DE2">
        <w:rPr>
          <w:rFonts w:ascii="Arial" w:hAnsi="Arial" w:cs="Arial"/>
          <w:spacing w:val="-3"/>
          <w:sz w:val="24"/>
          <w:szCs w:val="24"/>
        </w:rPr>
        <w:t>10</w:t>
      </w:r>
      <w:r w:rsidR="00DF3DE2" w:rsidRPr="00DF3DE2">
        <w:rPr>
          <w:rFonts w:ascii="Arial" w:hAnsi="Arial" w:cs="Arial"/>
          <w:spacing w:val="-3"/>
          <w:sz w:val="24"/>
          <w:szCs w:val="24"/>
          <w:vertAlign w:val="superscript"/>
        </w:rPr>
        <w:t>th</w:t>
      </w:r>
      <w:r w:rsidR="00DF3DE2">
        <w:rPr>
          <w:rFonts w:ascii="Arial" w:hAnsi="Arial" w:cs="Arial"/>
          <w:spacing w:val="-3"/>
          <w:sz w:val="24"/>
          <w:szCs w:val="24"/>
        </w:rPr>
        <w:t xml:space="preserve"> </w:t>
      </w:r>
      <w:r w:rsidR="004C5EFC" w:rsidRPr="00844786">
        <w:rPr>
          <w:rFonts w:ascii="Arial" w:hAnsi="Arial" w:cs="Arial"/>
          <w:spacing w:val="-3"/>
          <w:sz w:val="24"/>
          <w:szCs w:val="24"/>
        </w:rPr>
        <w:t xml:space="preserve">day of </w:t>
      </w:r>
      <w:r w:rsidR="005E6889">
        <w:rPr>
          <w:rFonts w:ascii="Arial" w:hAnsi="Arial" w:cs="Arial"/>
          <w:spacing w:val="-3"/>
          <w:sz w:val="24"/>
          <w:szCs w:val="24"/>
        </w:rPr>
        <w:t xml:space="preserve">December, </w:t>
      </w:r>
      <w:r w:rsidR="00DB4AE5" w:rsidRPr="00844786">
        <w:rPr>
          <w:rFonts w:ascii="Arial" w:hAnsi="Arial" w:cs="Arial"/>
          <w:spacing w:val="-3"/>
          <w:sz w:val="24"/>
          <w:szCs w:val="24"/>
        </w:rPr>
        <w:t>2013</w:t>
      </w:r>
    </w:p>
    <w:p w:rsidR="002106D1" w:rsidRDefault="002106D1" w:rsidP="0089702B">
      <w:pPr>
        <w:tabs>
          <w:tab w:val="left" w:pos="-720"/>
        </w:tabs>
        <w:suppressAutoHyphens/>
        <w:spacing w:line="240" w:lineRule="auto"/>
        <w:jc w:val="both"/>
        <w:rPr>
          <w:rFonts w:ascii="Arial" w:hAnsi="Arial" w:cs="Arial"/>
          <w:spacing w:val="-3"/>
          <w:sz w:val="24"/>
          <w:szCs w:val="24"/>
        </w:rPr>
      </w:pPr>
    </w:p>
    <w:p w:rsidR="0056266F" w:rsidRDefault="0089702B" w:rsidP="002106D1">
      <w:pPr>
        <w:tabs>
          <w:tab w:val="left" w:pos="-720"/>
        </w:tabs>
        <w:suppressAutoHyphens/>
        <w:spacing w:line="240" w:lineRule="auto"/>
        <w:jc w:val="both"/>
        <w:rPr>
          <w:rFonts w:ascii="Arial" w:hAnsi="Arial" w:cs="Arial"/>
          <w:spacing w:val="-3"/>
          <w:sz w:val="24"/>
          <w:szCs w:val="24"/>
          <w:u w:val="single"/>
        </w:rPr>
      </w:pPr>
      <w:r w:rsidRPr="00844786">
        <w:rPr>
          <w:rFonts w:ascii="Arial" w:hAnsi="Arial" w:cs="Arial"/>
          <w:spacing w:val="-3"/>
          <w:sz w:val="24"/>
          <w:szCs w:val="24"/>
        </w:rPr>
        <w:t>By</w:t>
      </w:r>
      <w:r w:rsidR="004C5EFC" w:rsidRPr="00844786">
        <w:rPr>
          <w:rFonts w:ascii="Arial" w:hAnsi="Arial" w:cs="Arial"/>
          <w:spacing w:val="-3"/>
          <w:sz w:val="24"/>
          <w:szCs w:val="24"/>
        </w:rPr>
        <w:t>:</w:t>
      </w:r>
      <w:r w:rsidR="00ED5729" w:rsidRPr="00844786">
        <w:rPr>
          <w:rFonts w:ascii="Arial" w:hAnsi="Arial" w:cs="Arial"/>
          <w:spacing w:val="-3"/>
          <w:sz w:val="24"/>
          <w:szCs w:val="24"/>
          <w:u w:val="single"/>
        </w:rPr>
        <w:tab/>
      </w:r>
      <w:r w:rsidR="00DF3DE2">
        <w:rPr>
          <w:rFonts w:ascii="Arial" w:hAnsi="Arial" w:cs="Arial"/>
          <w:spacing w:val="-3"/>
          <w:sz w:val="24"/>
          <w:szCs w:val="24"/>
          <w:u w:val="single"/>
        </w:rPr>
        <w:t>/s/ Julie Negrete</w:t>
      </w:r>
      <w:r w:rsidR="00ED5729" w:rsidRPr="00844786">
        <w:rPr>
          <w:rFonts w:ascii="Arial" w:hAnsi="Arial" w:cs="Arial"/>
          <w:spacing w:val="-3"/>
          <w:sz w:val="24"/>
          <w:szCs w:val="24"/>
          <w:u w:val="single"/>
        </w:rPr>
        <w:tab/>
      </w:r>
      <w:r w:rsidR="00ED5729" w:rsidRPr="00844786">
        <w:rPr>
          <w:rFonts w:ascii="Arial" w:hAnsi="Arial" w:cs="Arial"/>
          <w:spacing w:val="-3"/>
          <w:sz w:val="24"/>
          <w:szCs w:val="24"/>
          <w:u w:val="single"/>
        </w:rPr>
        <w:tab/>
      </w:r>
      <w:r w:rsidR="00ED5729" w:rsidRPr="00844786">
        <w:rPr>
          <w:rFonts w:ascii="Arial" w:hAnsi="Arial" w:cs="Arial"/>
          <w:spacing w:val="-3"/>
          <w:sz w:val="24"/>
          <w:szCs w:val="24"/>
          <w:u w:val="single"/>
        </w:rPr>
        <w:tab/>
      </w:r>
      <w:r w:rsidR="00ED5729" w:rsidRPr="00844786">
        <w:rPr>
          <w:rFonts w:ascii="Arial" w:hAnsi="Arial" w:cs="Arial"/>
          <w:spacing w:val="-3"/>
          <w:sz w:val="24"/>
          <w:szCs w:val="24"/>
          <w:u w:val="single"/>
        </w:rPr>
        <w:tab/>
      </w:r>
    </w:p>
    <w:p w:rsidR="00DC7DAC" w:rsidRPr="009D7BF8" w:rsidRDefault="00DC7DAC" w:rsidP="00DC7DAC">
      <w:pPr>
        <w:jc w:val="center"/>
        <w:rPr>
          <w:rFonts w:ascii="Times New Roman" w:hAnsi="Times New Roman"/>
          <w:b/>
          <w:color w:val="000000"/>
          <w:sz w:val="28"/>
          <w:szCs w:val="28"/>
          <w:u w:val="single"/>
        </w:rPr>
      </w:pPr>
      <w:r w:rsidRPr="009D7BF8">
        <w:rPr>
          <w:rFonts w:ascii="Times New Roman" w:hAnsi="Times New Roman"/>
          <w:b/>
          <w:color w:val="000000"/>
          <w:sz w:val="28"/>
          <w:szCs w:val="28"/>
          <w:u w:val="single"/>
        </w:rPr>
        <w:t>EXHIBIT 1</w:t>
      </w:r>
    </w:p>
    <w:p w:rsidR="00DC7DAC" w:rsidRDefault="00DC7DAC" w:rsidP="00DC7DAC">
      <w:pPr>
        <w:rPr>
          <w:rFonts w:ascii="Times New Roman" w:hAnsi="Times New Roman"/>
          <w:color w:val="000000"/>
          <w:sz w:val="28"/>
          <w:szCs w:val="28"/>
        </w:rPr>
      </w:pPr>
    </w:p>
    <w:p w:rsidR="00DC7DAC" w:rsidRDefault="00DC7DAC" w:rsidP="00DC7DAC">
      <w:pPr>
        <w:rPr>
          <w:rFonts w:ascii="Times New Roman" w:hAnsi="Times New Roman"/>
          <w:color w:val="000000"/>
          <w:sz w:val="28"/>
          <w:szCs w:val="28"/>
        </w:rPr>
      </w:pPr>
      <w:r>
        <w:rPr>
          <w:rFonts w:ascii="Times New Roman" w:hAnsi="Times New Roman"/>
          <w:color w:val="000000"/>
          <w:sz w:val="28"/>
          <w:szCs w:val="28"/>
        </w:rPr>
        <w:t>Proposed amendment to Supreme Court Rule 45</w:t>
      </w:r>
    </w:p>
    <w:p w:rsidR="00DC7DAC" w:rsidRDefault="00DC7DAC" w:rsidP="00DC7DAC">
      <w:pPr>
        <w:rPr>
          <w:rFonts w:ascii="Times New Roman" w:hAnsi="Times New Roman"/>
          <w:color w:val="000000"/>
          <w:sz w:val="28"/>
          <w:szCs w:val="28"/>
        </w:rPr>
      </w:pPr>
    </w:p>
    <w:p w:rsidR="00DC7DAC" w:rsidRDefault="00DC7DAC" w:rsidP="00DC7DAC">
      <w:pPr>
        <w:rPr>
          <w:rFonts w:ascii="Times New Roman" w:hAnsi="Times New Roman"/>
          <w:color w:val="000000"/>
          <w:sz w:val="28"/>
          <w:szCs w:val="28"/>
        </w:rPr>
      </w:pPr>
      <w:r w:rsidRPr="00FA723D">
        <w:rPr>
          <w:rFonts w:ascii="Times New Roman" w:hAnsi="Times New Roman"/>
          <w:color w:val="000000"/>
          <w:sz w:val="28"/>
          <w:szCs w:val="28"/>
        </w:rPr>
        <w:t xml:space="preserve">5. An active member of the bar, not exempted, who serves as an arbitrator for a fee dispute resolution under the auspices of the State Bar Fee </w:t>
      </w:r>
      <w:r>
        <w:rPr>
          <w:rFonts w:ascii="Times New Roman" w:hAnsi="Times New Roman"/>
          <w:color w:val="000000"/>
          <w:sz w:val="28"/>
          <w:szCs w:val="28"/>
        </w:rPr>
        <w:t>Arbitration</w:t>
      </w:r>
      <w:r w:rsidRPr="00FA723D">
        <w:rPr>
          <w:rFonts w:ascii="Times New Roman" w:hAnsi="Times New Roman"/>
          <w:color w:val="000000"/>
          <w:sz w:val="28"/>
          <w:szCs w:val="28"/>
        </w:rPr>
        <w:t xml:space="preserve"> Committee  is eligible for one hour of professional responsibility continuing legal education activity credit  for each hearing actually conducted, to a maximum of two hours credit in any educational year, and this credit shall be applied to satisfying the required three hours of professional responsibility mandated for that educational year</w:t>
      </w:r>
      <w:r>
        <w:rPr>
          <w:rFonts w:ascii="Times New Roman" w:hAnsi="Times New Roman"/>
          <w:color w:val="000000"/>
          <w:sz w:val="28"/>
          <w:szCs w:val="28"/>
        </w:rPr>
        <w:t>.</w:t>
      </w:r>
    </w:p>
    <w:p w:rsidR="00DC7DAC" w:rsidRDefault="00DC7DAC" w:rsidP="00DC7DAC">
      <w:pPr>
        <w:rPr>
          <w:rFonts w:ascii="Times New Roman" w:hAnsi="Times New Roman"/>
          <w:color w:val="000000"/>
          <w:sz w:val="28"/>
          <w:szCs w:val="28"/>
        </w:rPr>
      </w:pPr>
    </w:p>
    <w:p w:rsidR="00DC7DAC" w:rsidRDefault="00DC7DAC" w:rsidP="00DC7DAC">
      <w:pPr>
        <w:rPr>
          <w:rFonts w:ascii="Times New Roman" w:hAnsi="Times New Roman"/>
          <w:color w:val="000000"/>
          <w:sz w:val="28"/>
          <w:szCs w:val="28"/>
        </w:rPr>
      </w:pPr>
    </w:p>
    <w:p w:rsidR="00DC7DAC" w:rsidRDefault="00DC7DAC" w:rsidP="00DC7DAC">
      <w:pPr>
        <w:rPr>
          <w:rFonts w:ascii="Times New Roman" w:hAnsi="Times New Roman"/>
          <w:color w:val="000000"/>
          <w:sz w:val="28"/>
          <w:szCs w:val="28"/>
        </w:rPr>
      </w:pPr>
    </w:p>
    <w:p w:rsidR="00DC7DAC" w:rsidRDefault="00DC7DAC" w:rsidP="00DC7DAC">
      <w:pPr>
        <w:rPr>
          <w:rFonts w:ascii="Times New Roman" w:hAnsi="Times New Roman"/>
          <w:color w:val="000000"/>
          <w:sz w:val="28"/>
          <w:szCs w:val="28"/>
        </w:rPr>
      </w:pPr>
    </w:p>
    <w:p w:rsidR="00DC7DAC" w:rsidRDefault="00DC7DAC" w:rsidP="00DC7DAC">
      <w:pPr>
        <w:rPr>
          <w:rFonts w:ascii="Times New Roman" w:hAnsi="Times New Roman"/>
          <w:color w:val="000000"/>
          <w:sz w:val="28"/>
          <w:szCs w:val="28"/>
        </w:rPr>
      </w:pPr>
    </w:p>
    <w:p w:rsidR="00DC7DAC" w:rsidRDefault="00DC7DAC" w:rsidP="00DC7DAC">
      <w:pPr>
        <w:rPr>
          <w:rFonts w:ascii="Times New Roman" w:hAnsi="Times New Roman"/>
          <w:color w:val="000000"/>
          <w:sz w:val="28"/>
          <w:szCs w:val="28"/>
        </w:rPr>
      </w:pPr>
    </w:p>
    <w:p w:rsidR="00DC7DAC" w:rsidRDefault="00DC7DAC" w:rsidP="00DC7DAC">
      <w:pPr>
        <w:rPr>
          <w:rFonts w:ascii="Times New Roman" w:hAnsi="Times New Roman"/>
          <w:color w:val="000000"/>
          <w:sz w:val="28"/>
          <w:szCs w:val="28"/>
        </w:rPr>
      </w:pPr>
    </w:p>
    <w:p w:rsidR="00DC7DAC" w:rsidRDefault="00DC7DAC" w:rsidP="00DC7DAC">
      <w:pPr>
        <w:rPr>
          <w:rFonts w:ascii="Times New Roman" w:hAnsi="Times New Roman"/>
          <w:color w:val="000000"/>
          <w:sz w:val="28"/>
          <w:szCs w:val="28"/>
        </w:rPr>
      </w:pPr>
    </w:p>
    <w:p w:rsidR="00DC7DAC" w:rsidRDefault="00DC7DAC" w:rsidP="00DC7DAC">
      <w:pPr>
        <w:rPr>
          <w:rFonts w:ascii="Times New Roman" w:hAnsi="Times New Roman"/>
          <w:color w:val="000000"/>
          <w:sz w:val="28"/>
          <w:szCs w:val="28"/>
        </w:rPr>
      </w:pPr>
    </w:p>
    <w:p w:rsidR="00DC7DAC" w:rsidRDefault="00DC7DAC" w:rsidP="00DC7DAC">
      <w:pPr>
        <w:rPr>
          <w:rFonts w:ascii="Times New Roman" w:hAnsi="Times New Roman"/>
          <w:color w:val="000000"/>
          <w:sz w:val="28"/>
          <w:szCs w:val="28"/>
        </w:rPr>
      </w:pPr>
    </w:p>
    <w:p w:rsidR="00DC7DAC" w:rsidRDefault="00DC7DAC" w:rsidP="00DC7DAC">
      <w:pPr>
        <w:rPr>
          <w:rFonts w:ascii="Times New Roman" w:hAnsi="Times New Roman"/>
          <w:color w:val="000000"/>
          <w:sz w:val="28"/>
          <w:szCs w:val="28"/>
        </w:rPr>
      </w:pPr>
    </w:p>
    <w:p w:rsidR="00DC7DAC" w:rsidRDefault="00DC7DAC" w:rsidP="00DC7DAC">
      <w:pPr>
        <w:rPr>
          <w:rFonts w:ascii="Times New Roman" w:hAnsi="Times New Roman"/>
          <w:color w:val="000000"/>
          <w:sz w:val="28"/>
          <w:szCs w:val="28"/>
        </w:rPr>
      </w:pPr>
    </w:p>
    <w:p w:rsidR="00DC7DAC" w:rsidRDefault="00DC7DAC" w:rsidP="00DC7DAC">
      <w:pPr>
        <w:rPr>
          <w:rFonts w:ascii="Times New Roman" w:hAnsi="Times New Roman"/>
          <w:color w:val="000000"/>
          <w:sz w:val="28"/>
          <w:szCs w:val="28"/>
        </w:rPr>
      </w:pPr>
    </w:p>
    <w:p w:rsidR="00DC7DAC" w:rsidRDefault="00DC7DAC" w:rsidP="00DC7DAC">
      <w:pPr>
        <w:jc w:val="center"/>
        <w:rPr>
          <w:rFonts w:ascii="Times New Roman" w:hAnsi="Times New Roman"/>
          <w:b/>
          <w:color w:val="000000"/>
          <w:sz w:val="28"/>
          <w:szCs w:val="28"/>
          <w:u w:val="single"/>
        </w:rPr>
      </w:pPr>
    </w:p>
    <w:p w:rsidR="00DC7DAC" w:rsidRDefault="00DC7DAC" w:rsidP="00DC7DAC">
      <w:pPr>
        <w:jc w:val="center"/>
        <w:rPr>
          <w:rFonts w:ascii="Times New Roman" w:hAnsi="Times New Roman"/>
          <w:b/>
          <w:color w:val="000000"/>
          <w:sz w:val="28"/>
          <w:szCs w:val="28"/>
          <w:u w:val="single"/>
        </w:rPr>
      </w:pPr>
    </w:p>
    <w:p w:rsidR="00DC7DAC" w:rsidRDefault="00DC7DAC" w:rsidP="00DC7DAC">
      <w:pPr>
        <w:jc w:val="center"/>
        <w:rPr>
          <w:rFonts w:ascii="Times New Roman" w:hAnsi="Times New Roman"/>
          <w:b/>
          <w:color w:val="000000"/>
          <w:sz w:val="28"/>
          <w:szCs w:val="28"/>
          <w:u w:val="single"/>
        </w:rPr>
      </w:pPr>
    </w:p>
    <w:p w:rsidR="00DC7DAC" w:rsidRDefault="00DC7DAC" w:rsidP="00DC7DAC">
      <w:pPr>
        <w:jc w:val="center"/>
        <w:rPr>
          <w:rFonts w:ascii="Arial" w:hAnsi="Arial" w:cs="Arial"/>
          <w:b/>
          <w:sz w:val="24"/>
          <w:szCs w:val="24"/>
        </w:rPr>
      </w:pPr>
      <w:r w:rsidRPr="009D7BF8">
        <w:rPr>
          <w:rFonts w:ascii="Times New Roman" w:hAnsi="Times New Roman"/>
          <w:b/>
          <w:color w:val="000000"/>
          <w:sz w:val="28"/>
          <w:szCs w:val="28"/>
          <w:u w:val="single"/>
        </w:rPr>
        <w:t>EXHIBIT 1</w:t>
      </w:r>
    </w:p>
    <w:sectPr w:rsidR="00DC7DAC" w:rsidSect="00C36099">
      <w:headerReference w:type="default" r:id="rId29"/>
      <w:footerReference w:type="default" r:id="rId30"/>
      <w:pgSz w:w="12240" w:h="15840" w:code="1"/>
      <w:pgMar w:top="1440" w:right="810" w:bottom="1440" w:left="2160"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117C" w:rsidRDefault="002D117C">
      <w:pPr>
        <w:spacing w:line="240" w:lineRule="auto"/>
      </w:pPr>
      <w:r>
        <w:separator/>
      </w:r>
    </w:p>
  </w:endnote>
  <w:endnote w:type="continuationSeparator" w:id="0">
    <w:p w:rsidR="002D117C" w:rsidRDefault="002D117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6D1" w:rsidRPr="0005246E" w:rsidRDefault="006748DF" w:rsidP="00312C88">
    <w:pPr>
      <w:pStyle w:val="Footer"/>
      <w:jc w:val="center"/>
      <w:rPr>
        <w:rFonts w:ascii="Arial" w:hAnsi="Arial" w:cs="Arial"/>
      </w:rPr>
    </w:pPr>
    <w:r w:rsidRPr="0005246E">
      <w:rPr>
        <w:rFonts w:ascii="Arial" w:hAnsi="Arial" w:cs="Arial"/>
      </w:rPr>
      <w:fldChar w:fldCharType="begin"/>
    </w:r>
    <w:r w:rsidR="002106D1" w:rsidRPr="0005246E">
      <w:rPr>
        <w:rFonts w:ascii="Arial" w:hAnsi="Arial" w:cs="Arial"/>
      </w:rPr>
      <w:instrText xml:space="preserve"> PAGE  \* MERGEFORMAT </w:instrText>
    </w:r>
    <w:r w:rsidRPr="0005246E">
      <w:rPr>
        <w:rFonts w:ascii="Arial" w:hAnsi="Arial" w:cs="Arial"/>
      </w:rPr>
      <w:fldChar w:fldCharType="separate"/>
    </w:r>
    <w:r w:rsidR="002D117C">
      <w:rPr>
        <w:rFonts w:ascii="Arial" w:hAnsi="Arial" w:cs="Arial"/>
        <w:noProof/>
      </w:rPr>
      <w:t>1</w:t>
    </w:r>
    <w:r w:rsidRPr="0005246E">
      <w:rPr>
        <w:rFonts w:ascii="Arial" w:hAnsi="Arial" w:cs="Arial"/>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117C" w:rsidRDefault="002D117C">
      <w:pPr>
        <w:spacing w:line="240" w:lineRule="auto"/>
      </w:pPr>
      <w:r>
        <w:separator/>
      </w:r>
    </w:p>
  </w:footnote>
  <w:footnote w:type="continuationSeparator" w:id="0">
    <w:p w:rsidR="002D117C" w:rsidRDefault="002D117C">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6D1" w:rsidRDefault="006748DF">
    <w:pPr>
      <w:pStyle w:val="Header"/>
    </w:pPr>
    <w:r>
      <w:rPr>
        <w:noProof/>
      </w:rPr>
      <w:pict>
        <v:shapetype id="_x0000_t202" coordsize="21600,21600" o:spt="202" path="m,l,21600r21600,l21600,xe">
          <v:stroke joinstyle="miter"/>
          <v:path gradientshapeok="t" o:connecttype="rect"/>
        </v:shapetype>
        <v:shape id="LineNumbers" o:spid="_x0000_s1028" type="#_x0000_t202" style="position:absolute;margin-left:-50.4pt;margin-top:0;width:36pt;height:665.5pt;z-index:251659264;mso-wrap-style:tight;mso-position-horizontal-relative:margin;mso-position-vertical-relative:margin" stroked="f">
          <v:textbox style="mso-rotate-with-shape:t" inset="0,0,0,0">
            <w:txbxContent>
              <w:p w:rsidR="002106D1" w:rsidRPr="0005246E" w:rsidRDefault="002106D1" w:rsidP="004601C2">
                <w:pPr>
                  <w:spacing w:line="475" w:lineRule="exact"/>
                  <w:jc w:val="right"/>
                  <w:rPr>
                    <w:rFonts w:ascii="Arial" w:hAnsi="Arial" w:cs="Arial"/>
                  </w:rPr>
                </w:pPr>
                <w:r w:rsidRPr="0005246E">
                  <w:rPr>
                    <w:rFonts w:ascii="Arial" w:hAnsi="Arial" w:cs="Arial"/>
                  </w:rPr>
                  <w:t>1</w:t>
                </w:r>
              </w:p>
              <w:p w:rsidR="002106D1" w:rsidRPr="0005246E" w:rsidRDefault="002106D1" w:rsidP="004601C2">
                <w:pPr>
                  <w:spacing w:line="475" w:lineRule="exact"/>
                  <w:jc w:val="right"/>
                  <w:rPr>
                    <w:rFonts w:ascii="Arial" w:hAnsi="Arial" w:cs="Arial"/>
                  </w:rPr>
                </w:pPr>
                <w:r w:rsidRPr="0005246E">
                  <w:rPr>
                    <w:rFonts w:ascii="Arial" w:hAnsi="Arial" w:cs="Arial"/>
                  </w:rPr>
                  <w:t>2</w:t>
                </w:r>
              </w:p>
              <w:p w:rsidR="002106D1" w:rsidRPr="0005246E" w:rsidRDefault="002106D1" w:rsidP="004601C2">
                <w:pPr>
                  <w:spacing w:line="475" w:lineRule="exact"/>
                  <w:jc w:val="right"/>
                  <w:rPr>
                    <w:rFonts w:ascii="Arial" w:hAnsi="Arial" w:cs="Arial"/>
                  </w:rPr>
                </w:pPr>
                <w:r w:rsidRPr="0005246E">
                  <w:rPr>
                    <w:rFonts w:ascii="Arial" w:hAnsi="Arial" w:cs="Arial"/>
                  </w:rPr>
                  <w:t>3</w:t>
                </w:r>
              </w:p>
              <w:p w:rsidR="002106D1" w:rsidRPr="0005246E" w:rsidRDefault="002106D1" w:rsidP="004601C2">
                <w:pPr>
                  <w:spacing w:line="475" w:lineRule="exact"/>
                  <w:jc w:val="right"/>
                  <w:rPr>
                    <w:rFonts w:ascii="Arial" w:hAnsi="Arial" w:cs="Arial"/>
                  </w:rPr>
                </w:pPr>
                <w:r w:rsidRPr="0005246E">
                  <w:rPr>
                    <w:rFonts w:ascii="Arial" w:hAnsi="Arial" w:cs="Arial"/>
                  </w:rPr>
                  <w:t>4</w:t>
                </w:r>
              </w:p>
              <w:p w:rsidR="002106D1" w:rsidRPr="0005246E" w:rsidRDefault="002106D1" w:rsidP="004601C2">
                <w:pPr>
                  <w:spacing w:line="475" w:lineRule="exact"/>
                  <w:jc w:val="right"/>
                  <w:rPr>
                    <w:rFonts w:ascii="Arial" w:hAnsi="Arial" w:cs="Arial"/>
                  </w:rPr>
                </w:pPr>
                <w:r w:rsidRPr="0005246E">
                  <w:rPr>
                    <w:rFonts w:ascii="Arial" w:hAnsi="Arial" w:cs="Arial"/>
                  </w:rPr>
                  <w:t>5</w:t>
                </w:r>
              </w:p>
              <w:p w:rsidR="002106D1" w:rsidRPr="0005246E" w:rsidRDefault="002106D1" w:rsidP="004601C2">
                <w:pPr>
                  <w:spacing w:line="475" w:lineRule="exact"/>
                  <w:jc w:val="right"/>
                  <w:rPr>
                    <w:rFonts w:ascii="Arial" w:hAnsi="Arial" w:cs="Arial"/>
                  </w:rPr>
                </w:pPr>
                <w:r w:rsidRPr="0005246E">
                  <w:rPr>
                    <w:rFonts w:ascii="Arial" w:hAnsi="Arial" w:cs="Arial"/>
                  </w:rPr>
                  <w:t>6</w:t>
                </w:r>
              </w:p>
              <w:p w:rsidR="002106D1" w:rsidRPr="0005246E" w:rsidRDefault="002106D1" w:rsidP="004601C2">
                <w:pPr>
                  <w:spacing w:line="475" w:lineRule="exact"/>
                  <w:jc w:val="right"/>
                  <w:rPr>
                    <w:rFonts w:ascii="Arial" w:hAnsi="Arial" w:cs="Arial"/>
                  </w:rPr>
                </w:pPr>
                <w:r w:rsidRPr="0005246E">
                  <w:rPr>
                    <w:rFonts w:ascii="Arial" w:hAnsi="Arial" w:cs="Arial"/>
                  </w:rPr>
                  <w:t>7</w:t>
                </w:r>
              </w:p>
              <w:p w:rsidR="002106D1" w:rsidRPr="0005246E" w:rsidRDefault="002106D1" w:rsidP="004601C2">
                <w:pPr>
                  <w:spacing w:line="475" w:lineRule="exact"/>
                  <w:jc w:val="right"/>
                  <w:rPr>
                    <w:rFonts w:ascii="Arial" w:hAnsi="Arial" w:cs="Arial"/>
                  </w:rPr>
                </w:pPr>
                <w:r w:rsidRPr="0005246E">
                  <w:rPr>
                    <w:rFonts w:ascii="Arial" w:hAnsi="Arial" w:cs="Arial"/>
                  </w:rPr>
                  <w:t>8</w:t>
                </w:r>
              </w:p>
              <w:p w:rsidR="002106D1" w:rsidRPr="0005246E" w:rsidRDefault="002106D1" w:rsidP="004601C2">
                <w:pPr>
                  <w:spacing w:line="475" w:lineRule="exact"/>
                  <w:jc w:val="right"/>
                  <w:rPr>
                    <w:rFonts w:ascii="Arial" w:hAnsi="Arial" w:cs="Arial"/>
                  </w:rPr>
                </w:pPr>
                <w:r w:rsidRPr="0005246E">
                  <w:rPr>
                    <w:rFonts w:ascii="Arial" w:hAnsi="Arial" w:cs="Arial"/>
                  </w:rPr>
                  <w:t>9</w:t>
                </w:r>
              </w:p>
              <w:p w:rsidR="002106D1" w:rsidRPr="0005246E" w:rsidRDefault="002106D1" w:rsidP="004601C2">
                <w:pPr>
                  <w:spacing w:line="475" w:lineRule="exact"/>
                  <w:jc w:val="right"/>
                  <w:rPr>
                    <w:rFonts w:ascii="Arial" w:hAnsi="Arial" w:cs="Arial"/>
                  </w:rPr>
                </w:pPr>
                <w:r w:rsidRPr="0005246E">
                  <w:rPr>
                    <w:rFonts w:ascii="Arial" w:hAnsi="Arial" w:cs="Arial"/>
                  </w:rPr>
                  <w:t>10</w:t>
                </w:r>
              </w:p>
              <w:p w:rsidR="002106D1" w:rsidRPr="0005246E" w:rsidRDefault="002106D1" w:rsidP="004601C2">
                <w:pPr>
                  <w:spacing w:line="475" w:lineRule="exact"/>
                  <w:jc w:val="right"/>
                  <w:rPr>
                    <w:rFonts w:ascii="Arial" w:hAnsi="Arial" w:cs="Arial"/>
                  </w:rPr>
                </w:pPr>
                <w:r w:rsidRPr="0005246E">
                  <w:rPr>
                    <w:rFonts w:ascii="Arial" w:hAnsi="Arial" w:cs="Arial"/>
                  </w:rPr>
                  <w:t>11</w:t>
                </w:r>
              </w:p>
              <w:p w:rsidR="002106D1" w:rsidRPr="0005246E" w:rsidRDefault="002106D1" w:rsidP="004601C2">
                <w:pPr>
                  <w:spacing w:line="475" w:lineRule="exact"/>
                  <w:jc w:val="right"/>
                  <w:rPr>
                    <w:rFonts w:ascii="Arial" w:hAnsi="Arial" w:cs="Arial"/>
                  </w:rPr>
                </w:pPr>
                <w:r w:rsidRPr="0005246E">
                  <w:rPr>
                    <w:rFonts w:ascii="Arial" w:hAnsi="Arial" w:cs="Arial"/>
                  </w:rPr>
                  <w:t>12</w:t>
                </w:r>
              </w:p>
              <w:p w:rsidR="002106D1" w:rsidRPr="0005246E" w:rsidRDefault="002106D1" w:rsidP="004601C2">
                <w:pPr>
                  <w:spacing w:line="475" w:lineRule="exact"/>
                  <w:jc w:val="right"/>
                  <w:rPr>
                    <w:rFonts w:ascii="Arial" w:hAnsi="Arial" w:cs="Arial"/>
                  </w:rPr>
                </w:pPr>
                <w:r w:rsidRPr="0005246E">
                  <w:rPr>
                    <w:rFonts w:ascii="Arial" w:hAnsi="Arial" w:cs="Arial"/>
                  </w:rPr>
                  <w:t>13</w:t>
                </w:r>
              </w:p>
              <w:p w:rsidR="002106D1" w:rsidRPr="0005246E" w:rsidRDefault="002106D1" w:rsidP="004601C2">
                <w:pPr>
                  <w:spacing w:line="475" w:lineRule="exact"/>
                  <w:jc w:val="right"/>
                  <w:rPr>
                    <w:rFonts w:ascii="Arial" w:hAnsi="Arial" w:cs="Arial"/>
                  </w:rPr>
                </w:pPr>
                <w:r w:rsidRPr="0005246E">
                  <w:rPr>
                    <w:rFonts w:ascii="Arial" w:hAnsi="Arial" w:cs="Arial"/>
                  </w:rPr>
                  <w:t>14</w:t>
                </w:r>
              </w:p>
              <w:p w:rsidR="002106D1" w:rsidRPr="0005246E" w:rsidRDefault="002106D1" w:rsidP="004601C2">
                <w:pPr>
                  <w:spacing w:line="475" w:lineRule="exact"/>
                  <w:jc w:val="right"/>
                  <w:rPr>
                    <w:rFonts w:ascii="Arial" w:hAnsi="Arial" w:cs="Arial"/>
                  </w:rPr>
                </w:pPr>
                <w:r w:rsidRPr="0005246E">
                  <w:rPr>
                    <w:rFonts w:ascii="Arial" w:hAnsi="Arial" w:cs="Arial"/>
                  </w:rPr>
                  <w:t>15</w:t>
                </w:r>
              </w:p>
              <w:p w:rsidR="002106D1" w:rsidRPr="0005246E" w:rsidRDefault="002106D1" w:rsidP="004601C2">
                <w:pPr>
                  <w:spacing w:line="475" w:lineRule="exact"/>
                  <w:jc w:val="right"/>
                  <w:rPr>
                    <w:rFonts w:ascii="Arial" w:hAnsi="Arial" w:cs="Arial"/>
                  </w:rPr>
                </w:pPr>
                <w:r w:rsidRPr="0005246E">
                  <w:rPr>
                    <w:rFonts w:ascii="Arial" w:hAnsi="Arial" w:cs="Arial"/>
                  </w:rPr>
                  <w:t>16</w:t>
                </w:r>
              </w:p>
              <w:p w:rsidR="002106D1" w:rsidRPr="0005246E" w:rsidRDefault="002106D1" w:rsidP="004601C2">
                <w:pPr>
                  <w:spacing w:line="475" w:lineRule="exact"/>
                  <w:jc w:val="right"/>
                  <w:rPr>
                    <w:rFonts w:ascii="Arial" w:hAnsi="Arial" w:cs="Arial"/>
                  </w:rPr>
                </w:pPr>
                <w:r w:rsidRPr="0005246E">
                  <w:rPr>
                    <w:rFonts w:ascii="Arial" w:hAnsi="Arial" w:cs="Arial"/>
                  </w:rPr>
                  <w:t>17</w:t>
                </w:r>
              </w:p>
              <w:p w:rsidR="002106D1" w:rsidRPr="0005246E" w:rsidRDefault="002106D1" w:rsidP="004601C2">
                <w:pPr>
                  <w:spacing w:line="475" w:lineRule="exact"/>
                  <w:jc w:val="right"/>
                  <w:rPr>
                    <w:rFonts w:ascii="Arial" w:hAnsi="Arial" w:cs="Arial"/>
                  </w:rPr>
                </w:pPr>
                <w:r w:rsidRPr="0005246E">
                  <w:rPr>
                    <w:rFonts w:ascii="Arial" w:hAnsi="Arial" w:cs="Arial"/>
                  </w:rPr>
                  <w:t>18</w:t>
                </w:r>
              </w:p>
              <w:p w:rsidR="002106D1" w:rsidRPr="0005246E" w:rsidRDefault="002106D1" w:rsidP="004601C2">
                <w:pPr>
                  <w:spacing w:line="475" w:lineRule="exact"/>
                  <w:jc w:val="right"/>
                  <w:rPr>
                    <w:rFonts w:ascii="Arial" w:hAnsi="Arial" w:cs="Arial"/>
                  </w:rPr>
                </w:pPr>
                <w:r w:rsidRPr="0005246E">
                  <w:rPr>
                    <w:rFonts w:ascii="Arial" w:hAnsi="Arial" w:cs="Arial"/>
                  </w:rPr>
                  <w:t>19</w:t>
                </w:r>
              </w:p>
              <w:p w:rsidR="002106D1" w:rsidRPr="0005246E" w:rsidRDefault="002106D1" w:rsidP="004601C2">
                <w:pPr>
                  <w:spacing w:line="475" w:lineRule="exact"/>
                  <w:jc w:val="right"/>
                  <w:rPr>
                    <w:rFonts w:ascii="Arial" w:hAnsi="Arial" w:cs="Arial"/>
                  </w:rPr>
                </w:pPr>
                <w:r w:rsidRPr="0005246E">
                  <w:rPr>
                    <w:rFonts w:ascii="Arial" w:hAnsi="Arial" w:cs="Arial"/>
                  </w:rPr>
                  <w:t>20</w:t>
                </w:r>
              </w:p>
              <w:p w:rsidR="002106D1" w:rsidRPr="0005246E" w:rsidRDefault="002106D1" w:rsidP="004601C2">
                <w:pPr>
                  <w:spacing w:line="475" w:lineRule="exact"/>
                  <w:jc w:val="right"/>
                  <w:rPr>
                    <w:rFonts w:ascii="Arial" w:hAnsi="Arial" w:cs="Arial"/>
                  </w:rPr>
                </w:pPr>
                <w:r w:rsidRPr="0005246E">
                  <w:rPr>
                    <w:rFonts w:ascii="Arial" w:hAnsi="Arial" w:cs="Arial"/>
                  </w:rPr>
                  <w:t>21</w:t>
                </w:r>
              </w:p>
              <w:p w:rsidR="002106D1" w:rsidRPr="0005246E" w:rsidRDefault="002106D1" w:rsidP="004601C2">
                <w:pPr>
                  <w:spacing w:line="475" w:lineRule="exact"/>
                  <w:jc w:val="right"/>
                  <w:rPr>
                    <w:rFonts w:ascii="Arial" w:hAnsi="Arial" w:cs="Arial"/>
                  </w:rPr>
                </w:pPr>
                <w:r w:rsidRPr="0005246E">
                  <w:rPr>
                    <w:rFonts w:ascii="Arial" w:hAnsi="Arial" w:cs="Arial"/>
                  </w:rPr>
                  <w:t>22</w:t>
                </w:r>
              </w:p>
              <w:p w:rsidR="002106D1" w:rsidRPr="0005246E" w:rsidRDefault="002106D1" w:rsidP="004601C2">
                <w:pPr>
                  <w:spacing w:line="475" w:lineRule="exact"/>
                  <w:jc w:val="right"/>
                  <w:rPr>
                    <w:rFonts w:ascii="Arial" w:hAnsi="Arial" w:cs="Arial"/>
                  </w:rPr>
                </w:pPr>
                <w:r w:rsidRPr="0005246E">
                  <w:rPr>
                    <w:rFonts w:ascii="Arial" w:hAnsi="Arial" w:cs="Arial"/>
                  </w:rPr>
                  <w:t>23</w:t>
                </w:r>
              </w:p>
              <w:p w:rsidR="002106D1" w:rsidRPr="0005246E" w:rsidRDefault="002106D1" w:rsidP="004601C2">
                <w:pPr>
                  <w:spacing w:line="475" w:lineRule="exact"/>
                  <w:jc w:val="right"/>
                  <w:rPr>
                    <w:rFonts w:ascii="Arial" w:hAnsi="Arial" w:cs="Arial"/>
                  </w:rPr>
                </w:pPr>
                <w:r w:rsidRPr="0005246E">
                  <w:rPr>
                    <w:rFonts w:ascii="Arial" w:hAnsi="Arial" w:cs="Arial"/>
                  </w:rPr>
                  <w:t>24</w:t>
                </w:r>
              </w:p>
              <w:p w:rsidR="002106D1" w:rsidRPr="0005246E" w:rsidRDefault="002106D1" w:rsidP="004601C2">
                <w:pPr>
                  <w:spacing w:line="475" w:lineRule="exact"/>
                  <w:jc w:val="right"/>
                  <w:rPr>
                    <w:rFonts w:ascii="Arial" w:hAnsi="Arial" w:cs="Arial"/>
                  </w:rPr>
                </w:pPr>
                <w:r w:rsidRPr="0005246E">
                  <w:rPr>
                    <w:rFonts w:ascii="Arial" w:hAnsi="Arial" w:cs="Arial"/>
                  </w:rPr>
                  <w:t>25</w:t>
                </w:r>
              </w:p>
              <w:p w:rsidR="002106D1" w:rsidRPr="0005246E" w:rsidRDefault="002106D1" w:rsidP="004601C2">
                <w:pPr>
                  <w:spacing w:line="475" w:lineRule="exact"/>
                  <w:jc w:val="right"/>
                  <w:rPr>
                    <w:rFonts w:ascii="Arial" w:hAnsi="Arial" w:cs="Arial"/>
                  </w:rPr>
                </w:pPr>
                <w:r w:rsidRPr="0005246E">
                  <w:rPr>
                    <w:rFonts w:ascii="Arial" w:hAnsi="Arial" w:cs="Arial"/>
                  </w:rPr>
                  <w:t>26</w:t>
                </w:r>
              </w:p>
              <w:p w:rsidR="002106D1" w:rsidRPr="0005246E" w:rsidRDefault="002106D1" w:rsidP="004601C2">
                <w:pPr>
                  <w:spacing w:line="475" w:lineRule="exact"/>
                  <w:jc w:val="right"/>
                  <w:rPr>
                    <w:rFonts w:ascii="Arial" w:hAnsi="Arial" w:cs="Arial"/>
                  </w:rPr>
                </w:pPr>
                <w:r w:rsidRPr="0005246E">
                  <w:rPr>
                    <w:rFonts w:ascii="Arial" w:hAnsi="Arial" w:cs="Arial"/>
                  </w:rPr>
                  <w:t>27</w:t>
                </w:r>
              </w:p>
              <w:p w:rsidR="002106D1" w:rsidRPr="0005246E" w:rsidRDefault="002106D1" w:rsidP="004601C2">
                <w:pPr>
                  <w:spacing w:line="475" w:lineRule="exact"/>
                  <w:jc w:val="right"/>
                  <w:rPr>
                    <w:rFonts w:ascii="Arial" w:hAnsi="Arial" w:cs="Arial"/>
                  </w:rPr>
                </w:pPr>
                <w:r w:rsidRPr="0005246E">
                  <w:rPr>
                    <w:rFonts w:ascii="Arial" w:hAnsi="Arial" w:cs="Arial"/>
                  </w:rPr>
                  <w:t>28</w:t>
                </w:r>
              </w:p>
              <w:p w:rsidR="002106D1" w:rsidRPr="0005246E" w:rsidRDefault="002106D1" w:rsidP="004601C2">
                <w:pPr>
                  <w:spacing w:line="475" w:lineRule="exact"/>
                  <w:jc w:val="right"/>
                  <w:rPr>
                    <w:rFonts w:ascii="Arial" w:hAnsi="Arial" w:cs="Arial"/>
                  </w:rPr>
                </w:pPr>
              </w:p>
            </w:txbxContent>
          </v:textbox>
          <w10:wrap anchorx="margin" anchory="margin"/>
        </v:shape>
      </w:pict>
    </w:r>
    <w:r>
      <w:rPr>
        <w:noProof/>
      </w:rPr>
      <w:pict>
        <v:line id="RightBorder" o:spid="_x0000_s1027" style="position:absolute;z-index:251658240;mso-position-horizontal-relative:margin;mso-position-vertical-relative:page" from="468pt,0" to="468pt,11in">
          <w10:wrap anchorx="margin" anchory="page"/>
        </v:line>
      </w:pict>
    </w:r>
    <w:r>
      <w:rPr>
        <w:noProof/>
      </w:rPr>
      <w:pict>
        <v:line id="LeftBorder2" o:spid="_x0000_s1026" style="position:absolute;z-index:251657216;mso-position-horizontal-relative:margin;mso-position-vertical-relative:page" from="-7.2pt,0" to="-7.2pt,11in">
          <w10:wrap anchorx="margin" anchory="page"/>
        </v:line>
      </w:pict>
    </w:r>
    <w:r>
      <w:rPr>
        <w:noProof/>
      </w:rPr>
      <w:pict>
        <v:line id="LeftBorder1" o:spid="_x0000_s1025" style="position:absolute;z-index:251656192;mso-position-horizontal-relative:margin;mso-position-vertical-relative:page" from="-3.6pt,0" to="-3.6pt,11in">
          <w10:wrap anchorx="margin" anchory="page"/>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A01380"/>
    <w:multiLevelType w:val="hybridMultilevel"/>
    <w:tmpl w:val="6F8A64E2"/>
    <w:lvl w:ilvl="0" w:tplc="960E1322">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
    <w:nsid w:val="250860CC"/>
    <w:multiLevelType w:val="hybridMultilevel"/>
    <w:tmpl w:val="EA0C638C"/>
    <w:lvl w:ilvl="0" w:tplc="1E503886">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B84FE1"/>
    <w:multiLevelType w:val="hybridMultilevel"/>
    <w:tmpl w:val="704C96E8"/>
    <w:lvl w:ilvl="0" w:tplc="1E503886">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5C130D7"/>
    <w:multiLevelType w:val="singleLevel"/>
    <w:tmpl w:val="A97A3C44"/>
    <w:lvl w:ilvl="0">
      <w:start w:val="1"/>
      <w:numFmt w:val="decimal"/>
      <w:lvlText w:val="%1."/>
      <w:lvlJc w:val="left"/>
      <w:pPr>
        <w:tabs>
          <w:tab w:val="num" w:pos="1440"/>
        </w:tabs>
        <w:ind w:left="1440" w:hanging="72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5"/>
  <w:attachedTemplate r:id="rId1"/>
  <w:stylePaneFormatFilter w:val="3F01"/>
  <w:defaultTabStop w:val="720"/>
  <w:drawingGridHorizontalSpacing w:val="90"/>
  <w:drawingGridVerticalSpacing w:val="187"/>
  <w:displayHorizontalDrawingGridEvery w:val="2"/>
  <w:noPunctuationKerning/>
  <w:characterSpacingControl w:val="doNotCompress"/>
  <w:savePreviewPicture/>
  <w:hdrShapeDefaults>
    <o:shapedefaults v:ext="edit" spidmax="4098"/>
    <o:shapelayout v:ext="edit">
      <o:idmap v:ext="edit" data="1"/>
    </o:shapelayout>
  </w:hdrShapeDefaults>
  <w:footnotePr>
    <w:footnote w:id="-1"/>
    <w:footnote w:id="0"/>
  </w:footnotePr>
  <w:endnotePr>
    <w:endnote w:id="-1"/>
    <w:endnote w:id="0"/>
  </w:endnotePr>
  <w:compat>
    <w:adjustLineHeightInTable/>
  </w:compat>
  <w:docVars>
    <w:docVar w:name="AttorneyName" w:val="⍄ㅈΠ⯌㪯 _x000A_耀耀㇠ꪔ㈈䋈䋈Yellow䀅耀䋈䋈＀Bright Green䋈䋈＀ÿTurquoise䋈䋈ÿÿPink䋈䋈ÿBlue䋈䋈ÿRed䋈䋈Dark Blue䋈䋈耀Teal䋈䋈耀GreenDocument1䋈䋈Violet䋈䋈Dark Red䋈䋈肀Dark Yellow䋈䋈肀Gray-50%䋈䋈샀ÀGray-25%䋈䋈Black"/>
    <w:docVar w:name="CaptionBoxStyle" w:val="橄ㄴ놨ͩͷ찔㈇"/>
    <w:docVar w:name="CourtAlignment" w:val="&lt;"/>
    <w:docVar w:name="CourtName" w:val="⍄ㅈΠ⯌㪯 _x000A_耀耀㇠ꪔ㈈䋈䋈Yellow䀅耀䋈䋈＀Bright Green䋈䋈＀ÿTurquoise䋈䋈ÿÿPink䋈䋈ÿBlue䋈䋈ÿRed䋈䋈Dark Blue䋈䋈耀Teal䋈䋈耀GreenDocument1䋈䋈Violet䋈䋈Dark Red䋈䋈肀Dark Yellow䋈䋈肀Gray-50%䋈䋈샀ÀGray-25%䋈䋈Black"/>
    <w:docVar w:name="Font" w:val="橄ㄴ놨ͩͷ찔㈇È률ͪ๙賐 률ͪᎨͪၟḀ㊧"/>
    <w:docVar w:name="FSigBlkYes" w:val="_x000A_@_x000A_&quot;BZs©ÏÛÜĊċĭā&quot;&quot;ā  ā릐ā陘ā猠ā俨ā&amp;&amp;Ⲱāॸāā..쌈ā鿐ā!!粘 頀&amp;㼴簀ↂЀ　ꣀͮꞹㅕፀͪ쾀ີ陘쀀'陘Ĩૂረͪ쾨ີ릐쀀荰*릐ꖖↂ"/>
    <w:docVar w:name="FSignWith" w:val="w:docVa"/>
    <w:docVar w:name="IncludeLineNumbers" w:val="逜࿳䕔员膀႔쩘ີშͪ逴࿳烠໶遌࿳䕔员膀႔쪀ີቀͪ遤࿳遼࿳䕔员膀႔쪨ີ፨ͪ邔࿳邬࿳䕔员膀႔쫐ີᇀͪ郄࿳鄌࿳郜࿳䕔员膀႔쫸ີჀͪ郴࿳鄌࿳䕔员膀႔쬠ີᅔͪ鄤࿳鄼࿳䕔员膀႔쭈ີᏨͪ酔࿳ׯ酬࿳䕔员膀႔쭰ີ႔ͪ醄࿳醜࿳䕔员膀႔쮘ີဨͪ醴࿳里࿳䕔员膀႔쯀ີနͪ釤࿳ֆ釼࿳䕔员膀႔쯨ີᆀͪ鈔࿳鈬࿳䕔员膀႔찐ີᆔͪ鉄࿳鉜࿳䕔员膀႔쳘ີጨͪ鉴࿳鋼࿳銌࿳䕔员膀႔촀ີၨͪ銤࿳簀銼࿳䕔员膀႔촨ີၔͪ鋔࿳錜࿳鋬࿳䕔员膀႔쵐ີ᪔ͪ錄࿳錜࿳䕔员膀႔㫰మᏀͪ錴࿳鋔࿳鍌࿳䕔员膀႔쵸ີᠨͪ鍤࿳㼴鍼࿳䕔员膀႔㬘మᎨͪ鎔࿳簀鎬࿳䕔员膀႔춠ີᅀͪ鏄࿳鏜࿳䕔员膀႔췰ີኔͪ鏴࿳鐌࿳䕔员膀႔츘ີကͪ鐤࿳鏄࿳鐼࿳䕔员膀႔칀ີᄀͪ鑔࿳㼴鑬࿳䕔员膀႔침ີᄨͪ钄࿳簀钜࿳䕔员膀႔캐ີᄔͪ钴࿳铌࿳䐀㼴镜࿳铤࿳簀锬࿳铼࿳릐锔࿳钴࿳쀀㼴锬࿳㼴簀镄࿳㼴镜࿳锄࿳"/>
    <w:docVar w:name="LineSpacing" w:val="⍄ㅈΠ⯌㪯 _x000A_耀耀㇠ꪔ㈈䋈䋈Yellow䀅耀䋈䋈＀Bright Green䋈䋈＀ÿTurquoise䋈䋈ÿÿPink䋈䋈ÿBlue䋈䋈ÿRed䋈䋈Dark Blue䋈䋈耀Teal䋈䋈耀GreenDocument1䋈䋈Violet䋈䋈Dark Red䋈䋈肀Dark Yellow䋈䋈肀Gray-50%䋈䋈샀ÀGray-25%䋈䋈Black"/>
  </w:docVars>
  <w:rsids>
    <w:rsidRoot w:val="00096695"/>
    <w:rsid w:val="000037D9"/>
    <w:rsid w:val="00011845"/>
    <w:rsid w:val="00040A01"/>
    <w:rsid w:val="0005246E"/>
    <w:rsid w:val="00054883"/>
    <w:rsid w:val="00067E6D"/>
    <w:rsid w:val="000957F4"/>
    <w:rsid w:val="00096695"/>
    <w:rsid w:val="000A0D8E"/>
    <w:rsid w:val="000A2AB5"/>
    <w:rsid w:val="000C0F02"/>
    <w:rsid w:val="000F3525"/>
    <w:rsid w:val="0010183D"/>
    <w:rsid w:val="001022D3"/>
    <w:rsid w:val="00106455"/>
    <w:rsid w:val="00107E40"/>
    <w:rsid w:val="00155AAE"/>
    <w:rsid w:val="001701F9"/>
    <w:rsid w:val="00180FD5"/>
    <w:rsid w:val="00183927"/>
    <w:rsid w:val="001C1DC1"/>
    <w:rsid w:val="001D0359"/>
    <w:rsid w:val="001D194C"/>
    <w:rsid w:val="001E30D4"/>
    <w:rsid w:val="001F430C"/>
    <w:rsid w:val="00200DC6"/>
    <w:rsid w:val="00201780"/>
    <w:rsid w:val="002106D1"/>
    <w:rsid w:val="00221E64"/>
    <w:rsid w:val="00296409"/>
    <w:rsid w:val="002A135B"/>
    <w:rsid w:val="002B01E3"/>
    <w:rsid w:val="002C0647"/>
    <w:rsid w:val="002D117C"/>
    <w:rsid w:val="003070E4"/>
    <w:rsid w:val="00311F18"/>
    <w:rsid w:val="00312C88"/>
    <w:rsid w:val="00341C6E"/>
    <w:rsid w:val="00345389"/>
    <w:rsid w:val="003610CA"/>
    <w:rsid w:val="003718EE"/>
    <w:rsid w:val="003B65DF"/>
    <w:rsid w:val="003D1D80"/>
    <w:rsid w:val="003D431B"/>
    <w:rsid w:val="003E6902"/>
    <w:rsid w:val="00402ADF"/>
    <w:rsid w:val="004264B4"/>
    <w:rsid w:val="0043289B"/>
    <w:rsid w:val="004601C2"/>
    <w:rsid w:val="0049116D"/>
    <w:rsid w:val="00491788"/>
    <w:rsid w:val="004C5EFC"/>
    <w:rsid w:val="004E72D9"/>
    <w:rsid w:val="004F1956"/>
    <w:rsid w:val="005122CD"/>
    <w:rsid w:val="005224D1"/>
    <w:rsid w:val="00526BBF"/>
    <w:rsid w:val="00535877"/>
    <w:rsid w:val="00536660"/>
    <w:rsid w:val="0054421F"/>
    <w:rsid w:val="00550E93"/>
    <w:rsid w:val="0056266F"/>
    <w:rsid w:val="005964D4"/>
    <w:rsid w:val="005B7BD9"/>
    <w:rsid w:val="005D718D"/>
    <w:rsid w:val="005E6889"/>
    <w:rsid w:val="005E7CE6"/>
    <w:rsid w:val="0063099B"/>
    <w:rsid w:val="00651AD5"/>
    <w:rsid w:val="00667BCF"/>
    <w:rsid w:val="006748DF"/>
    <w:rsid w:val="0068417A"/>
    <w:rsid w:val="006A6A6D"/>
    <w:rsid w:val="006B2E82"/>
    <w:rsid w:val="006D2D40"/>
    <w:rsid w:val="006E2BBC"/>
    <w:rsid w:val="007060E3"/>
    <w:rsid w:val="007219F1"/>
    <w:rsid w:val="00727779"/>
    <w:rsid w:val="00730B1C"/>
    <w:rsid w:val="0073102D"/>
    <w:rsid w:val="007436F0"/>
    <w:rsid w:val="007E4D07"/>
    <w:rsid w:val="007F5821"/>
    <w:rsid w:val="008002F7"/>
    <w:rsid w:val="00802491"/>
    <w:rsid w:val="00810FA7"/>
    <w:rsid w:val="00844786"/>
    <w:rsid w:val="00846E38"/>
    <w:rsid w:val="00864127"/>
    <w:rsid w:val="00895144"/>
    <w:rsid w:val="00896E0C"/>
    <w:rsid w:val="0089702B"/>
    <w:rsid w:val="008B3219"/>
    <w:rsid w:val="008D31FB"/>
    <w:rsid w:val="008E044F"/>
    <w:rsid w:val="008E4221"/>
    <w:rsid w:val="0094633D"/>
    <w:rsid w:val="00952743"/>
    <w:rsid w:val="009573CD"/>
    <w:rsid w:val="00966B4E"/>
    <w:rsid w:val="00966C0F"/>
    <w:rsid w:val="009A0544"/>
    <w:rsid w:val="009B4FB7"/>
    <w:rsid w:val="009C3E59"/>
    <w:rsid w:val="009C4255"/>
    <w:rsid w:val="00A13486"/>
    <w:rsid w:val="00A40743"/>
    <w:rsid w:val="00A4483D"/>
    <w:rsid w:val="00A87C4B"/>
    <w:rsid w:val="00AA0936"/>
    <w:rsid w:val="00AC091F"/>
    <w:rsid w:val="00B135C9"/>
    <w:rsid w:val="00B1361C"/>
    <w:rsid w:val="00B20F43"/>
    <w:rsid w:val="00B333D8"/>
    <w:rsid w:val="00B63E6F"/>
    <w:rsid w:val="00B95507"/>
    <w:rsid w:val="00BA40BB"/>
    <w:rsid w:val="00BE54DA"/>
    <w:rsid w:val="00BF4BD5"/>
    <w:rsid w:val="00C15682"/>
    <w:rsid w:val="00C333D5"/>
    <w:rsid w:val="00C36099"/>
    <w:rsid w:val="00C526D2"/>
    <w:rsid w:val="00C84A14"/>
    <w:rsid w:val="00C84FD6"/>
    <w:rsid w:val="00CD10F7"/>
    <w:rsid w:val="00CD133F"/>
    <w:rsid w:val="00CE3F16"/>
    <w:rsid w:val="00D22F87"/>
    <w:rsid w:val="00D32A66"/>
    <w:rsid w:val="00D32D50"/>
    <w:rsid w:val="00D366E8"/>
    <w:rsid w:val="00D52D4D"/>
    <w:rsid w:val="00D67338"/>
    <w:rsid w:val="00D7681D"/>
    <w:rsid w:val="00DA5BAC"/>
    <w:rsid w:val="00DB4A16"/>
    <w:rsid w:val="00DB4AE5"/>
    <w:rsid w:val="00DC7DAC"/>
    <w:rsid w:val="00DD0C3A"/>
    <w:rsid w:val="00DD2690"/>
    <w:rsid w:val="00DD5C52"/>
    <w:rsid w:val="00DD6683"/>
    <w:rsid w:val="00DF3DE2"/>
    <w:rsid w:val="00E07AB8"/>
    <w:rsid w:val="00E20140"/>
    <w:rsid w:val="00E20DA8"/>
    <w:rsid w:val="00E24009"/>
    <w:rsid w:val="00E47259"/>
    <w:rsid w:val="00E84EBE"/>
    <w:rsid w:val="00EB75F1"/>
    <w:rsid w:val="00EC14A9"/>
    <w:rsid w:val="00EC2CC5"/>
    <w:rsid w:val="00ED5729"/>
    <w:rsid w:val="00F05DC0"/>
    <w:rsid w:val="00F10E87"/>
    <w:rsid w:val="00F11649"/>
    <w:rsid w:val="00F5363A"/>
    <w:rsid w:val="00F74354"/>
    <w:rsid w:val="00F935EA"/>
    <w:rsid w:val="00FA66F6"/>
    <w:rsid w:val="00FA70F0"/>
    <w:rsid w:val="00FE4D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5BAC"/>
    <w:pPr>
      <w:spacing w:line="455" w:lineRule="exact"/>
    </w:pPr>
    <w:rPr>
      <w:rFonts w:ascii="Courier New" w:hAnsi="Courier New"/>
      <w:sz w:val="18"/>
    </w:rPr>
  </w:style>
  <w:style w:type="paragraph" w:styleId="Heading1">
    <w:name w:val="heading 1"/>
    <w:basedOn w:val="Normal"/>
    <w:link w:val="Heading1Char"/>
    <w:uiPriority w:val="9"/>
    <w:qFormat/>
    <w:rsid w:val="00DD5C52"/>
    <w:pPr>
      <w:keepNext/>
      <w:spacing w:line="240" w:lineRule="auto"/>
      <w:outlineLvl w:val="0"/>
    </w:pPr>
    <w:rPr>
      <w:rFonts w:ascii="Garamond" w:eastAsiaTheme="minorHAnsi" w:hAnsi="Garamond"/>
      <w:b/>
      <w:bCs/>
      <w:kern w:val="36"/>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Spacing">
    <w:name w:val="Single Spacing"/>
    <w:basedOn w:val="Normal"/>
    <w:rsid w:val="00DA5BAC"/>
    <w:pPr>
      <w:spacing w:line="227" w:lineRule="exact"/>
    </w:pPr>
  </w:style>
  <w:style w:type="paragraph" w:customStyle="1" w:styleId="AttorneyName">
    <w:name w:val="Attorney Name"/>
    <w:basedOn w:val="SingleSpacing"/>
    <w:rsid w:val="00DA5BAC"/>
  </w:style>
  <w:style w:type="paragraph" w:styleId="Header">
    <w:name w:val="header"/>
    <w:basedOn w:val="Normal"/>
    <w:rsid w:val="00DA5BAC"/>
    <w:pPr>
      <w:tabs>
        <w:tab w:val="center" w:pos="4320"/>
        <w:tab w:val="right" w:pos="8640"/>
      </w:tabs>
    </w:pPr>
  </w:style>
  <w:style w:type="paragraph" w:styleId="Footer">
    <w:name w:val="footer"/>
    <w:basedOn w:val="Normal"/>
    <w:rsid w:val="00DA5BAC"/>
    <w:pPr>
      <w:tabs>
        <w:tab w:val="center" w:pos="4320"/>
        <w:tab w:val="right" w:pos="8640"/>
      </w:tabs>
    </w:pPr>
  </w:style>
  <w:style w:type="paragraph" w:customStyle="1" w:styleId="Signatureblockdate">
    <w:name w:val="Signature block date"/>
    <w:basedOn w:val="Normal"/>
    <w:rsid w:val="003D1D80"/>
    <w:pPr>
      <w:spacing w:line="245" w:lineRule="exact"/>
      <w:ind w:left="4680"/>
    </w:pPr>
    <w:rPr>
      <w:sz w:val="20"/>
    </w:rPr>
  </w:style>
  <w:style w:type="paragraph" w:customStyle="1" w:styleId="Signatureblockline">
    <w:name w:val="Signature block line"/>
    <w:basedOn w:val="Normal"/>
    <w:rsid w:val="003D1D80"/>
    <w:pPr>
      <w:tabs>
        <w:tab w:val="left" w:leader="underscore" w:pos="9360"/>
      </w:tabs>
      <w:spacing w:line="245" w:lineRule="exact"/>
      <w:ind w:left="6000"/>
    </w:pPr>
    <w:rPr>
      <w:sz w:val="20"/>
    </w:rPr>
  </w:style>
  <w:style w:type="paragraph" w:styleId="ListParagraph">
    <w:name w:val="List Paragraph"/>
    <w:basedOn w:val="Normal"/>
    <w:uiPriority w:val="99"/>
    <w:qFormat/>
    <w:rsid w:val="001E30D4"/>
    <w:pPr>
      <w:ind w:left="720"/>
    </w:pPr>
    <w:rPr>
      <w:rFonts w:cs="Courier New"/>
      <w:szCs w:val="18"/>
    </w:rPr>
  </w:style>
  <w:style w:type="paragraph" w:styleId="BalloonText">
    <w:name w:val="Balloon Text"/>
    <w:basedOn w:val="Normal"/>
    <w:link w:val="BalloonTextChar"/>
    <w:uiPriority w:val="99"/>
    <w:semiHidden/>
    <w:unhideWhenUsed/>
    <w:rsid w:val="00B1361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61C"/>
    <w:rPr>
      <w:rFonts w:ascii="Tahoma" w:hAnsi="Tahoma" w:cs="Tahoma"/>
      <w:sz w:val="16"/>
      <w:szCs w:val="16"/>
    </w:rPr>
  </w:style>
  <w:style w:type="paragraph" w:customStyle="1" w:styleId="DoubleSpacing">
    <w:name w:val="Double Spacing"/>
    <w:basedOn w:val="Normal"/>
    <w:rsid w:val="0089702B"/>
    <w:pPr>
      <w:spacing w:line="508" w:lineRule="exact"/>
    </w:pPr>
    <w:rPr>
      <w:rFonts w:ascii="Times New Roman" w:hAnsi="Times New Roman"/>
      <w:sz w:val="20"/>
    </w:rPr>
  </w:style>
  <w:style w:type="paragraph" w:customStyle="1" w:styleId="FirmName">
    <w:name w:val="Firm Name"/>
    <w:basedOn w:val="SingleSpacing"/>
    <w:rsid w:val="0089702B"/>
    <w:pPr>
      <w:spacing w:line="254" w:lineRule="exact"/>
      <w:jc w:val="center"/>
    </w:pPr>
    <w:rPr>
      <w:rFonts w:ascii="Times New Roman" w:hAnsi="Times New Roman"/>
      <w:sz w:val="20"/>
    </w:rPr>
  </w:style>
  <w:style w:type="character" w:customStyle="1" w:styleId="Heading1Char">
    <w:name w:val="Heading 1 Char"/>
    <w:basedOn w:val="DefaultParagraphFont"/>
    <w:link w:val="Heading1"/>
    <w:uiPriority w:val="9"/>
    <w:rsid w:val="00DD5C52"/>
    <w:rPr>
      <w:rFonts w:ascii="Garamond" w:eastAsiaTheme="minorHAnsi" w:hAnsi="Garamond"/>
      <w:b/>
      <w:bCs/>
      <w:kern w:val="36"/>
      <w:sz w:val="24"/>
      <w:szCs w:val="24"/>
    </w:rPr>
  </w:style>
  <w:style w:type="paragraph" w:styleId="BodyText">
    <w:name w:val="Body Text"/>
    <w:basedOn w:val="Normal"/>
    <w:link w:val="BodyTextChar"/>
    <w:uiPriority w:val="99"/>
    <w:unhideWhenUsed/>
    <w:rsid w:val="00DD5C52"/>
    <w:pPr>
      <w:spacing w:line="240" w:lineRule="auto"/>
    </w:pPr>
    <w:rPr>
      <w:rFonts w:ascii="Times New Roman" w:eastAsiaTheme="minorHAnsi" w:hAnsi="Times New Roman"/>
      <w:sz w:val="20"/>
    </w:rPr>
  </w:style>
  <w:style w:type="character" w:customStyle="1" w:styleId="BodyTextChar">
    <w:name w:val="Body Text Char"/>
    <w:basedOn w:val="DefaultParagraphFont"/>
    <w:link w:val="BodyText"/>
    <w:uiPriority w:val="99"/>
    <w:rsid w:val="00DD5C52"/>
    <w:rPr>
      <w:rFonts w:eastAsiaTheme="minorHAnsi"/>
    </w:rPr>
  </w:style>
  <w:style w:type="character" w:styleId="Strong">
    <w:name w:val="Strong"/>
    <w:basedOn w:val="DefaultParagraphFont"/>
    <w:uiPriority w:val="22"/>
    <w:qFormat/>
    <w:rsid w:val="00DD5C52"/>
    <w:rPr>
      <w:b/>
      <w:bCs/>
    </w:rPr>
  </w:style>
  <w:style w:type="character" w:styleId="Hyperlink">
    <w:name w:val="Hyperlink"/>
    <w:basedOn w:val="DefaultParagraphFont"/>
    <w:uiPriority w:val="99"/>
    <w:unhideWhenUsed/>
    <w:rsid w:val="00BA40B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eb2.westlaw.com/find/default.wl?mt=4&amp;db=1000251&amp;docname=AZR42ER1.5&amp;rp=%2ffind%2fdefault.wl&amp;findtype=L&amp;ordoc=2002534538&amp;tc=-1&amp;vr=2.0&amp;fn=_top&amp;sv=Split&amp;tf=-1&amp;pbc=54B8DC25&amp;rs=WLW13.10" TargetMode="External"/><Relationship Id="rId13" Type="http://schemas.openxmlformats.org/officeDocument/2006/relationships/hyperlink" Target="mailto:kcarman@lawwmc.com" TargetMode="External"/><Relationship Id="rId18" Type="http://schemas.openxmlformats.org/officeDocument/2006/relationships/hyperlink" Target="mailto:mpalumbo@jsslaw.com" TargetMode="External"/><Relationship Id="rId26" Type="http://schemas.openxmlformats.org/officeDocument/2006/relationships/hyperlink" Target="mailto:ehw@udallshumway.com" TargetMode="External"/><Relationship Id="rId3" Type="http://schemas.openxmlformats.org/officeDocument/2006/relationships/styles" Target="styles.xml"/><Relationship Id="rId21" Type="http://schemas.openxmlformats.org/officeDocument/2006/relationships/hyperlink" Target="mailto:John.Gravina@azbar.org" TargetMode="External"/><Relationship Id="rId7" Type="http://schemas.openxmlformats.org/officeDocument/2006/relationships/endnotes" Target="endnotes.xml"/><Relationship Id="rId12" Type="http://schemas.openxmlformats.org/officeDocument/2006/relationships/hyperlink" Target="mailto:tom@pakmoring.com" TargetMode="External"/><Relationship Id="rId17" Type="http://schemas.openxmlformats.org/officeDocument/2006/relationships/hyperlink" Target="mailto:giblaw@mindspring.com" TargetMode="External"/><Relationship Id="rId25" Type="http://schemas.openxmlformats.org/officeDocument/2006/relationships/hyperlink" Target="mailto:ehl@edwardlaber.com" TargetMode="External"/><Relationship Id="rId2" Type="http://schemas.openxmlformats.org/officeDocument/2006/relationships/numbering" Target="numbering.xml"/><Relationship Id="rId16" Type="http://schemas.openxmlformats.org/officeDocument/2006/relationships/hyperlink" Target="mailto:mrperry@pchhlaw.com" TargetMode="External"/><Relationship Id="rId20" Type="http://schemas.openxmlformats.org/officeDocument/2006/relationships/hyperlink" Target="mailto:FPowers@HPC-Lawyers.co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tb@jaburgwilk.com" TargetMode="External"/><Relationship Id="rId24" Type="http://schemas.openxmlformats.org/officeDocument/2006/relationships/hyperlink" Target="mailto:surias@uriaslaw.co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wfife@fifecestalaw.com" TargetMode="External"/><Relationship Id="rId23" Type="http://schemas.openxmlformats.org/officeDocument/2006/relationships/hyperlink" Target="mailto:mark@northernarizonainjurylaw.com" TargetMode="External"/><Relationship Id="rId28" Type="http://schemas.openxmlformats.org/officeDocument/2006/relationships/hyperlink" Target="mailto:bwarnock@lawwmc.com" TargetMode="External"/><Relationship Id="rId10" Type="http://schemas.openxmlformats.org/officeDocument/2006/relationships/hyperlink" Target="http://web2.westlaw.com/find/default.wl?mt=4&amp;db=1000251&amp;docname=AZSCTR6&amp;rp=%2ffind%2fdefault.wl&amp;findtype=L&amp;ordoc=2002534538&amp;tc=-1&amp;vr=2.0&amp;fn=_top&amp;sv=Split&amp;tf=-1&amp;pbc=54B8DC25&amp;rs=WLW13.10" TargetMode="External"/><Relationship Id="rId19" Type="http://schemas.openxmlformats.org/officeDocument/2006/relationships/hyperlink" Target="mailto:chris@grahamlawaz.co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eb2.westlaw.com/find/default.wl?mt=4&amp;db=1000251&amp;docname=AZSCTR53&amp;rp=%2ffind%2fdefault.wl&amp;findtype=L&amp;ordoc=2002534538&amp;tc=-1&amp;vr=2.0&amp;fn=_top&amp;sv=Split&amp;tf=-1&amp;pbc=54B8DC25&amp;rs=WLW13.10" TargetMode="External"/><Relationship Id="rId14" Type="http://schemas.openxmlformats.org/officeDocument/2006/relationships/hyperlink" Target="mailto:jowen@swlaw.com" TargetMode="External"/><Relationship Id="rId22" Type="http://schemas.openxmlformats.org/officeDocument/2006/relationships/hyperlink" Target="mailto:Tevis@TReichlaw.com" TargetMode="External"/><Relationship Id="rId27" Type="http://schemas.openxmlformats.org/officeDocument/2006/relationships/hyperlink" Target="mailto:micklevin@tidmorelaw.com" TargetMode="External"/><Relationship Id="rId3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carman\Application%20Data\Microsoft\Templates\Pleading%20form%20with%2028%20lin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FCA29A-9B99-4785-9BC9-44593E240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Pleading form with 28 lines</Template>
  <TotalTime>1</TotalTime>
  <Pages>7</Pages>
  <Words>1716</Words>
  <Characters>9785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11479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 E. Carman</dc:creator>
  <cp:lastModifiedBy>Arizona Supreme Court</cp:lastModifiedBy>
  <cp:revision>2</cp:revision>
  <cp:lastPrinted>2013-12-10T17:46:00Z</cp:lastPrinted>
  <dcterms:created xsi:type="dcterms:W3CDTF">2013-12-10T21:29:00Z</dcterms:created>
  <dcterms:modified xsi:type="dcterms:W3CDTF">2013-12-10T21:29:00Z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TC060870011033</vt:lpwstr>
  </property>
</Properties>
</file>